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5A" w:rsidRDefault="00DB706D" w:rsidP="00DA36DF">
      <w:pPr>
        <w:spacing w:line="276" w:lineRule="auto"/>
        <w:jc w:val="both"/>
      </w:pPr>
      <w:r>
        <w:rPr>
          <w:noProof/>
          <w:lang w:val="en-GB" w:eastAsia="ja-JP"/>
        </w:rPr>
        <mc:AlternateContent>
          <mc:Choice Requires="wps">
            <w:drawing>
              <wp:anchor distT="45720" distB="45720" distL="114300" distR="114300" simplePos="0" relativeHeight="251659264" behindDoc="0" locked="0" layoutInCell="1" allowOverlap="1">
                <wp:simplePos x="0" y="0"/>
                <wp:positionH relativeFrom="column">
                  <wp:posOffset>-69215</wp:posOffset>
                </wp:positionH>
                <wp:positionV relativeFrom="paragraph">
                  <wp:posOffset>-473075</wp:posOffset>
                </wp:positionV>
                <wp:extent cx="3421380" cy="1404620"/>
                <wp:effectExtent l="0" t="0" r="0" b="254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404620"/>
                        </a:xfrm>
                        <a:prstGeom prst="rect">
                          <a:avLst/>
                        </a:prstGeom>
                        <a:noFill/>
                        <a:ln w="9525">
                          <a:noFill/>
                          <a:miter lim="800000"/>
                          <a:headEnd/>
                          <a:tailEnd/>
                        </a:ln>
                      </wps:spPr>
                      <wps:txbx>
                        <w:txbxContent>
                          <w:p w:rsidR="007922CE" w:rsidRPr="005D5BEB" w:rsidRDefault="007922CE">
                            <w:pPr>
                              <w:rPr>
                                <w:rFonts w:ascii="DIN-Regular" w:hAnsi="DIN-Regular"/>
                                <w:color w:val="FFFFFF" w:themeColor="background1"/>
                                <w:sz w:val="44"/>
                                <w:szCs w:val="44"/>
                              </w:rPr>
                            </w:pPr>
                            <w:r>
                              <w:rPr>
                                <w:rFonts w:ascii="DIN-Regular" w:hAnsi="DIN-Regular"/>
                                <w:color w:val="FFFFFF" w:themeColor="background1"/>
                                <w:sz w:val="44"/>
                                <w:szCs w:val="44"/>
                              </w:rPr>
                              <w:t>Stellungnahme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5.45pt;margin-top:-37.25pt;width:269.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" filled="f" stroked="f">
                <v:textbox style="mso-fit-shape-to-text:t">
                  <w:txbxContent>
                    <w:p w:rsidR="007922CE" w:rsidRPr="005D5BEB" w:rsidRDefault="007922CE">
                      <w:pPr>
                        <w:rPr>
                          <w:rFonts w:ascii="DIN-Regular" w:hAnsi="DIN-Regular"/>
                          <w:color w:val="FFFFFF" w:themeColor="background1"/>
                          <w:sz w:val="44"/>
                          <w:szCs w:val="44"/>
                        </w:rPr>
                      </w:pPr>
                      <w:r>
                        <w:rPr>
                          <w:rFonts w:ascii="DIN-Regular" w:hAnsi="DIN-Regular"/>
                          <w:color w:val="FFFFFF" w:themeColor="background1"/>
                          <w:sz w:val="44"/>
                          <w:szCs w:val="44"/>
                        </w:rPr>
                        <w:t>Stellungnahme</w:t>
                      </w:r>
                    </w:p>
                  </w:txbxContent>
                </v:textbox>
              </v:shape>
            </w:pict>
          </mc:Fallback>
        </mc:AlternateContent>
      </w:r>
    </w:p>
    <w:p w:rsidR="003E306F" w:rsidRDefault="003E306F" w:rsidP="00DA36DF">
      <w:pPr>
        <w:spacing w:line="276" w:lineRule="auto"/>
        <w:jc w:val="both"/>
      </w:pPr>
    </w:p>
    <w:p w:rsidR="001D3866" w:rsidRDefault="00356649" w:rsidP="00DA36DF">
      <w:pPr>
        <w:spacing w:after="200" w:line="276" w:lineRule="auto"/>
        <w:jc w:val="both"/>
        <w:rPr>
          <w:rFonts w:ascii="DIN-Regular" w:hAnsi="DIN-Regular"/>
          <w:b/>
          <w:color w:val="111274"/>
        </w:rPr>
      </w:pPr>
      <w:r w:rsidRPr="00356649">
        <w:rPr>
          <w:rFonts w:ascii="DIN-Regular" w:hAnsi="DIN-Regular"/>
          <w:b/>
          <w:color w:val="111274"/>
        </w:rPr>
        <w:t>Referentenentwurf des Bundesministeriums für Wirtscha</w:t>
      </w:r>
      <w:r>
        <w:rPr>
          <w:rFonts w:ascii="DIN-Regular" w:hAnsi="DIN-Regular"/>
          <w:b/>
          <w:color w:val="111274"/>
        </w:rPr>
        <w:t>ft und Klimaschutz (BMWK) zu So</w:t>
      </w:r>
      <w:r w:rsidRPr="00356649">
        <w:rPr>
          <w:rFonts w:ascii="DIN-Regular" w:hAnsi="DIN-Regular"/>
          <w:b/>
          <w:color w:val="111274"/>
        </w:rPr>
        <w:t>fortmaßnahmen für einen beschleunigten Ausbau der erneuerbaren Energien und weiteren Maßnahmen im Stromsektor</w:t>
      </w:r>
    </w:p>
    <w:p w:rsidR="001976D2" w:rsidRDefault="001976D2" w:rsidP="001976D2">
      <w:pPr>
        <w:spacing w:line="276" w:lineRule="auto"/>
        <w:jc w:val="both"/>
      </w:pPr>
    </w:p>
    <w:p w:rsidR="00683EB4" w:rsidRDefault="00F06212" w:rsidP="001976D2">
      <w:pPr>
        <w:spacing w:line="276" w:lineRule="auto"/>
        <w:jc w:val="both"/>
      </w:pPr>
      <w:r w:rsidRPr="00F06212">
        <w:t xml:space="preserve">Der Bundesverband Baustoffe </w:t>
      </w:r>
      <w:r w:rsidR="00777DB0">
        <w:t>–</w:t>
      </w:r>
      <w:r w:rsidRPr="00F06212">
        <w:t xml:space="preserve"> Steine und Erden e.V. (</w:t>
      </w:r>
      <w:proofErr w:type="spellStart"/>
      <w:r w:rsidRPr="00F06212">
        <w:t>bbs</w:t>
      </w:r>
      <w:proofErr w:type="spellEnd"/>
      <w:r w:rsidRPr="00F06212">
        <w:t xml:space="preserve">) </w:t>
      </w:r>
      <w:r w:rsidR="00042BE0">
        <w:t>begrüßt die Möglichkeit</w:t>
      </w:r>
      <w:r w:rsidR="00356649" w:rsidRPr="00356649">
        <w:t>, zum vorgenannten Referentenentwurf Stellung nehmen zu können. Für die Baustoff</w:t>
      </w:r>
      <w:r w:rsidR="00356649">
        <w:t>e</w:t>
      </w:r>
      <w:r w:rsidR="00356649" w:rsidRPr="00356649">
        <w:t>-Steine-Erden</w:t>
      </w:r>
      <w:r w:rsidR="00356649">
        <w:t>-</w:t>
      </w:r>
      <w:r w:rsidR="00356649" w:rsidRPr="00356649">
        <w:t>Industrie ist insbesondere Artikel 3 des Referentenent</w:t>
      </w:r>
      <w:r w:rsidR="00356649">
        <w:t xml:space="preserve">wurfs (Energie-Umlagen-Gesetz, </w:t>
      </w:r>
      <w:proofErr w:type="spellStart"/>
      <w:r w:rsidR="00356649" w:rsidRPr="00356649">
        <w:t>EnUG</w:t>
      </w:r>
      <w:proofErr w:type="spellEnd"/>
      <w:r w:rsidR="00356649" w:rsidRPr="00356649">
        <w:t xml:space="preserve">) relevant, zu dem wir </w:t>
      </w:r>
      <w:r w:rsidR="00356649">
        <w:t>wie folgt Änderungsbedarf sehen</w:t>
      </w:r>
      <w:r w:rsidR="00356649" w:rsidRPr="00356649">
        <w:t>.</w:t>
      </w:r>
    </w:p>
    <w:p w:rsidR="006349AF" w:rsidRDefault="006349AF" w:rsidP="001976D2">
      <w:pPr>
        <w:spacing w:line="276" w:lineRule="auto"/>
        <w:jc w:val="both"/>
      </w:pPr>
    </w:p>
    <w:p w:rsidR="00042BE0" w:rsidRPr="007922CE" w:rsidRDefault="00356649" w:rsidP="006349AF">
      <w:pPr>
        <w:spacing w:line="276" w:lineRule="auto"/>
        <w:jc w:val="both"/>
        <w:rPr>
          <w:b/>
          <w:color w:val="111274"/>
        </w:rPr>
      </w:pPr>
      <w:r w:rsidRPr="00356649">
        <w:rPr>
          <w:b/>
          <w:color w:val="111274"/>
        </w:rPr>
        <w:t xml:space="preserve">EEG-Finanzierungsbedarf aus dem Anwendungsbereich des </w:t>
      </w:r>
      <w:proofErr w:type="spellStart"/>
      <w:r w:rsidRPr="00356649">
        <w:rPr>
          <w:b/>
          <w:color w:val="111274"/>
        </w:rPr>
        <w:t>EnUG</w:t>
      </w:r>
      <w:proofErr w:type="spellEnd"/>
      <w:r w:rsidRPr="00356649">
        <w:rPr>
          <w:b/>
          <w:color w:val="111274"/>
        </w:rPr>
        <w:t xml:space="preserve"> ausschließen</w:t>
      </w:r>
    </w:p>
    <w:p w:rsidR="00356649" w:rsidRDefault="00356649" w:rsidP="00356649">
      <w:pPr>
        <w:spacing w:line="276" w:lineRule="auto"/>
        <w:jc w:val="both"/>
      </w:pPr>
      <w:r>
        <w:t xml:space="preserve">Der aktuelle Entwurf des </w:t>
      </w:r>
      <w:proofErr w:type="spellStart"/>
      <w:r>
        <w:t>EnUG</w:t>
      </w:r>
      <w:proofErr w:type="spellEnd"/>
      <w:r>
        <w:t xml:space="preserve"> enthält zwar in § 6 einen „Grundsatz der Haushaltsfinanzi</w:t>
      </w:r>
      <w:r>
        <w:t>e</w:t>
      </w:r>
      <w:r>
        <w:t>rung“ für den Finanzierungsbedarf des EEG, schließt diesen aber nichtsdestotrotz in den A</w:t>
      </w:r>
      <w:r>
        <w:t>n</w:t>
      </w:r>
      <w:r>
        <w:t xml:space="preserve">wendungsbereich des </w:t>
      </w:r>
      <w:proofErr w:type="spellStart"/>
      <w:r>
        <w:t>EnUG</w:t>
      </w:r>
      <w:proofErr w:type="spellEnd"/>
      <w:r>
        <w:t xml:space="preserve"> mit ein. Auf diese Weise wäre jährlich eine Rückkehr zur best</w:t>
      </w:r>
      <w:r>
        <w:t>e</w:t>
      </w:r>
      <w:r>
        <w:t>henden EEG-Umlage möglich, sodass Stromverbraucher jederzeit mit erhöhten Stro</w:t>
      </w:r>
      <w:r w:rsidR="003C0131">
        <w:t>mpreisen rechnen müssten. Insbe</w:t>
      </w:r>
      <w:r>
        <w:t>sondere für Unternehmen der stromintensiven Baustoff-Steine-Erden-Industrie würde dies die Planungssicherheit erheblich belasten – zumal laut Refere</w:t>
      </w:r>
      <w:r>
        <w:t>n</w:t>
      </w:r>
      <w:r>
        <w:t xml:space="preserve">tenentwurf frühestens am 20. Oktober eines Jahres mit dem entsprechenden Bescheid des Bundes an die Übertragungsnetzbetreiber bekannt ist, ob im Folgejahr eine Umlage erhoben wird oder nicht (die genaue Höhe gar erst ab dem 31. Oktober). </w:t>
      </w:r>
      <w:r w:rsidR="003C0131">
        <w:t>Eine Antragstellung auf En</w:t>
      </w:r>
      <w:r w:rsidR="003C0131">
        <w:t>t</w:t>
      </w:r>
      <w:r w:rsidR="003C0131">
        <w:t xml:space="preserve">lastung muss dagegen entsprechend § 40 Abs. 1 und 3 des Entwurfs in den meisten Fällen bereits zum 30. Juni erfolgen. </w:t>
      </w:r>
      <w:r>
        <w:t>Diese Unsicherheit sollte vermieden werden, indem der Fina</w:t>
      </w:r>
      <w:r>
        <w:t>n</w:t>
      </w:r>
      <w:r>
        <w:t xml:space="preserve">zierungsbedarf des EEG aus dem Anwendungsbereich des </w:t>
      </w:r>
      <w:proofErr w:type="spellStart"/>
      <w:r>
        <w:t>EnUG</w:t>
      </w:r>
      <w:proofErr w:type="spellEnd"/>
      <w:r>
        <w:t xml:space="preserve"> ausg</w:t>
      </w:r>
      <w:r>
        <w:t>e</w:t>
      </w:r>
      <w:r>
        <w:t>schlossen wird.</w:t>
      </w:r>
    </w:p>
    <w:p w:rsidR="00356649" w:rsidRDefault="00356649" w:rsidP="00356649">
      <w:pPr>
        <w:spacing w:line="276" w:lineRule="auto"/>
        <w:jc w:val="both"/>
      </w:pPr>
    </w:p>
    <w:p w:rsidR="00342ACD" w:rsidRDefault="00356649" w:rsidP="00356649">
      <w:pPr>
        <w:spacing w:line="276" w:lineRule="auto"/>
        <w:jc w:val="both"/>
      </w:pPr>
      <w:r>
        <w:t xml:space="preserve">Darüber hinaus würde der Gesetzgeber auf diese Weise die Entscheidung über die </w:t>
      </w:r>
      <w:proofErr w:type="spellStart"/>
      <w:r>
        <w:t>Be</w:t>
      </w:r>
      <w:proofErr w:type="spellEnd"/>
      <w:r>
        <w:t>- oder Entlastung von Verbrauchern und Wirtschaft in Deutschland in unbestimmter Größenor</w:t>
      </w:r>
      <w:r>
        <w:t>d</w:t>
      </w:r>
      <w:r>
        <w:t>nung und für unbestimmte Zeit an die Bundesregierung delegieren.</w:t>
      </w:r>
    </w:p>
    <w:p w:rsidR="00342ACD" w:rsidRDefault="00342ACD" w:rsidP="007922CE">
      <w:pPr>
        <w:spacing w:line="276" w:lineRule="auto"/>
        <w:jc w:val="both"/>
      </w:pPr>
    </w:p>
    <w:p w:rsidR="00342ACD" w:rsidRPr="007922CE" w:rsidRDefault="00356649" w:rsidP="00342ACD">
      <w:pPr>
        <w:spacing w:line="276" w:lineRule="auto"/>
        <w:jc w:val="both"/>
        <w:rPr>
          <w:b/>
          <w:color w:val="111274"/>
        </w:rPr>
      </w:pPr>
      <w:r w:rsidRPr="00356649">
        <w:rPr>
          <w:b/>
          <w:color w:val="111274"/>
        </w:rPr>
        <w:t xml:space="preserve">Erweiterung der </w:t>
      </w:r>
      <w:proofErr w:type="spellStart"/>
      <w:r w:rsidRPr="00356649">
        <w:rPr>
          <w:b/>
          <w:color w:val="111274"/>
        </w:rPr>
        <w:t>Sektorliste</w:t>
      </w:r>
      <w:proofErr w:type="spellEnd"/>
      <w:r w:rsidRPr="00356649">
        <w:rPr>
          <w:b/>
          <w:color w:val="111274"/>
        </w:rPr>
        <w:t xml:space="preserve"> nach Anlage 2 des </w:t>
      </w:r>
      <w:proofErr w:type="spellStart"/>
      <w:r w:rsidRPr="00356649">
        <w:rPr>
          <w:b/>
          <w:color w:val="111274"/>
        </w:rPr>
        <w:t>EnUG</w:t>
      </w:r>
      <w:proofErr w:type="spellEnd"/>
    </w:p>
    <w:p w:rsidR="00342ACD" w:rsidRDefault="00356649" w:rsidP="00342ACD">
      <w:pPr>
        <w:spacing w:line="276" w:lineRule="auto"/>
        <w:jc w:val="both"/>
      </w:pPr>
      <w:r w:rsidRPr="00356649">
        <w:t xml:space="preserve">Randnummer 406 der EU-Beihilfeleitlinien für Klima, Umweltschutz und Energie ermöglicht es Sektoren oder Teilsektoren, die nicht Teil der </w:t>
      </w:r>
      <w:proofErr w:type="spellStart"/>
      <w:r w:rsidRPr="00356649">
        <w:t>Sektorliste</w:t>
      </w:r>
      <w:proofErr w:type="spellEnd"/>
      <w:r w:rsidRPr="00356649">
        <w:t xml:space="preserve"> in Anlage 2 des </w:t>
      </w:r>
      <w:proofErr w:type="spellStart"/>
      <w:r w:rsidRPr="00356649">
        <w:t>EnUG</w:t>
      </w:r>
      <w:proofErr w:type="spellEnd"/>
      <w:r w:rsidRPr="00356649">
        <w:t xml:space="preserve"> sind, nac</w:t>
      </w:r>
      <w:r w:rsidRPr="00356649">
        <w:t>h</w:t>
      </w:r>
      <w:r w:rsidRPr="00356649">
        <w:t xml:space="preserve">träglich aufgenommen zu werden, wenn die Beihilfefähigkeitskriterien unter Randnummer 405 erfüllt sind. Diese Möglichkeit sollte im Sinne einer 1:1 Umsetzung der EU-Beihilfeleitlinien auch im </w:t>
      </w:r>
      <w:proofErr w:type="spellStart"/>
      <w:r w:rsidRPr="00356649">
        <w:t>EnUG</w:t>
      </w:r>
      <w:proofErr w:type="spellEnd"/>
      <w:r w:rsidRPr="00356649">
        <w:t xml:space="preserve"> auf-gegriffen werden. Hintergrund ist die Heterogenität vi</w:t>
      </w:r>
      <w:r w:rsidRPr="00356649">
        <w:t>e</w:t>
      </w:r>
      <w:r w:rsidRPr="00356649">
        <w:t>ler Sektoren mit Blick auf die entscheidenden Kriterien Handels- und Stromkostenintensität. Die EU-Kommission hat hier lediglich Sektoren auf 4-Steller-Ebene der statistischen Klassif</w:t>
      </w:r>
      <w:r w:rsidRPr="00356649">
        <w:t>i</w:t>
      </w:r>
      <w:r w:rsidRPr="00356649">
        <w:t>kation der Wirtschaftszweige betrachtet. Eine Prüfung auf Ebene der Teilsektoren sollte d</w:t>
      </w:r>
      <w:r w:rsidRPr="00356649">
        <w:t>a</w:t>
      </w:r>
      <w:r w:rsidRPr="00356649">
        <w:t>her ermöglicht werden. Andernfalls würden stromintensive Unternehmen nur aufgrund e</w:t>
      </w:r>
      <w:r w:rsidRPr="00356649">
        <w:t>i</w:t>
      </w:r>
      <w:r w:rsidRPr="00356649">
        <w:t>ner unvorteilhaften statistischen Klassifikation ihres Teilsektors von der Besonderen Au</w:t>
      </w:r>
      <w:r w:rsidRPr="00356649">
        <w:t>s</w:t>
      </w:r>
      <w:r w:rsidRPr="00356649">
        <w:t>gleichsregelung ausgeschlossen.</w:t>
      </w:r>
    </w:p>
    <w:p w:rsidR="00342ACD" w:rsidRDefault="00342ACD" w:rsidP="007922CE">
      <w:pPr>
        <w:spacing w:line="276" w:lineRule="auto"/>
        <w:jc w:val="both"/>
      </w:pPr>
    </w:p>
    <w:p w:rsidR="00777DB0" w:rsidRPr="00777DB0" w:rsidRDefault="00356649" w:rsidP="007922CE">
      <w:pPr>
        <w:spacing w:line="276" w:lineRule="auto"/>
        <w:jc w:val="both"/>
        <w:rPr>
          <w:b/>
          <w:color w:val="111274"/>
        </w:rPr>
      </w:pPr>
      <w:r w:rsidRPr="00356649">
        <w:rPr>
          <w:b/>
          <w:color w:val="111274"/>
        </w:rPr>
        <w:t>Vereinfachung der Antragstellung für die Besondere Ausgleichsregelung</w:t>
      </w:r>
    </w:p>
    <w:p w:rsidR="00356649" w:rsidRDefault="00356649" w:rsidP="00356649">
      <w:pPr>
        <w:spacing w:line="276" w:lineRule="auto"/>
        <w:jc w:val="both"/>
      </w:pPr>
      <w:r>
        <w:t>Durch die geplante Finanzierung des Förderbedarfs erneuerbarer Energien aus dem Bunde</w:t>
      </w:r>
      <w:r>
        <w:t>s</w:t>
      </w:r>
      <w:r>
        <w:t xml:space="preserve">haushalt sinkt das mit der Besonderen Ausgleichsregelung verknüpfte Entlastungsvolumen deutlich. Der </w:t>
      </w:r>
      <w:proofErr w:type="spellStart"/>
      <w:r>
        <w:t>bbs</w:t>
      </w:r>
      <w:proofErr w:type="spellEnd"/>
      <w:r>
        <w:t xml:space="preserve"> begrüßt diesen Schritt zur Entlastung von Verbrauchern und Wirtschaft ausdrücklich. Ebenfalls zu begrüßen ist, dass das BMWK entsprechend der EU-Beihilfeleitlinien für Klima, Umweltschutz und Energie keine nationalen Schwellenwerte mehr für die Stromkostenintensität der Unternehmen vorsieht.</w:t>
      </w:r>
    </w:p>
    <w:p w:rsidR="00356649" w:rsidRDefault="00356649" w:rsidP="00356649">
      <w:pPr>
        <w:spacing w:line="276" w:lineRule="auto"/>
        <w:jc w:val="both"/>
      </w:pPr>
    </w:p>
    <w:p w:rsidR="00A30A80" w:rsidRDefault="00356649" w:rsidP="00356649">
      <w:pPr>
        <w:spacing w:line="276" w:lineRule="auto"/>
        <w:jc w:val="both"/>
      </w:pPr>
      <w:r>
        <w:t xml:space="preserve">Nichtsdestotrotz sollte der bürokratische Aufwand, der mit dem Antragsverfahren für die Besondere Ausgleichsregelung verbunden ist, deutlich reduziert werden. Hierzu macht der </w:t>
      </w:r>
      <w:proofErr w:type="spellStart"/>
      <w:r>
        <w:t>bbs</w:t>
      </w:r>
      <w:proofErr w:type="spellEnd"/>
      <w:r>
        <w:t xml:space="preserve"> folgende Vorschläge:</w:t>
      </w:r>
    </w:p>
    <w:p w:rsidR="00356649" w:rsidRDefault="00356649" w:rsidP="00356649">
      <w:pPr>
        <w:spacing w:line="276" w:lineRule="auto"/>
        <w:jc w:val="both"/>
      </w:pPr>
    </w:p>
    <w:p w:rsidR="00356649" w:rsidRDefault="00356649" w:rsidP="00356649">
      <w:pPr>
        <w:pStyle w:val="Listenabsatz"/>
        <w:numPr>
          <w:ilvl w:val="0"/>
          <w:numId w:val="11"/>
        </w:numPr>
        <w:spacing w:line="276" w:lineRule="auto"/>
        <w:jc w:val="both"/>
      </w:pPr>
      <w:r>
        <w:t>Mehrjährige Bescheidung nach der Besonderen Ausgleichsregelung (z.B. 3 Jahre) und entsprechende Antragstellungen</w:t>
      </w:r>
    </w:p>
    <w:p w:rsidR="00356649" w:rsidRDefault="00356649" w:rsidP="00356649">
      <w:pPr>
        <w:pStyle w:val="Listenabsatz"/>
        <w:numPr>
          <w:ilvl w:val="0"/>
          <w:numId w:val="11"/>
        </w:numPr>
        <w:spacing w:line="276" w:lineRule="auto"/>
        <w:jc w:val="both"/>
      </w:pPr>
      <w:r>
        <w:t>Umwandlung materielle Ausschlusspflicht in normale Ausschlusspflicht</w:t>
      </w:r>
    </w:p>
    <w:p w:rsidR="00A30A80" w:rsidRDefault="00356649" w:rsidP="00356649">
      <w:pPr>
        <w:pStyle w:val="Listenabsatz"/>
        <w:numPr>
          <w:ilvl w:val="0"/>
          <w:numId w:val="11"/>
        </w:numPr>
        <w:spacing w:line="276" w:lineRule="auto"/>
        <w:jc w:val="both"/>
      </w:pPr>
      <w:r>
        <w:t>Nutzerorientiertes IT-System: Angaben sollten soweit möglich aus den vorherigen Antragstellungen übernommen werden können</w:t>
      </w:r>
    </w:p>
    <w:p w:rsidR="001976D2" w:rsidRDefault="001976D2" w:rsidP="001976D2">
      <w:pPr>
        <w:spacing w:line="276" w:lineRule="auto"/>
        <w:jc w:val="both"/>
      </w:pPr>
    </w:p>
    <w:p w:rsidR="00356649" w:rsidRDefault="00356649" w:rsidP="001976D2">
      <w:pPr>
        <w:spacing w:line="276" w:lineRule="auto"/>
        <w:jc w:val="both"/>
      </w:pPr>
      <w:r w:rsidRPr="00356649">
        <w:t xml:space="preserve">Darüber hinaus sollten die Regelungen zur Strommengenabgrenzung vereinfacht werden, indem neben geeichten auch </w:t>
      </w:r>
      <w:proofErr w:type="spellStart"/>
      <w:r w:rsidRPr="00356649">
        <w:t>ungeeichte</w:t>
      </w:r>
      <w:proofErr w:type="spellEnd"/>
      <w:r w:rsidRPr="00356649">
        <w:t xml:space="preserve"> Messungen akzeptiert werden und die Möglichkeit zur Schätzung erweitert wird:</w:t>
      </w:r>
    </w:p>
    <w:p w:rsidR="00356649" w:rsidRDefault="00356649" w:rsidP="001976D2">
      <w:pPr>
        <w:spacing w:line="276" w:lineRule="auto"/>
        <w:jc w:val="both"/>
      </w:pPr>
    </w:p>
    <w:tbl>
      <w:tblPr>
        <w:tblStyle w:val="Tabellenraster"/>
        <w:tblW w:w="0" w:type="auto"/>
        <w:tblLook w:val="04A0" w:firstRow="1" w:lastRow="0" w:firstColumn="1" w:lastColumn="0" w:noHBand="0" w:noVBand="1"/>
      </w:tblPr>
      <w:tblGrid>
        <w:gridCol w:w="9288"/>
      </w:tblGrid>
      <w:tr w:rsidR="00356649" w:rsidTr="00356649">
        <w:tc>
          <w:tcPr>
            <w:tcW w:w="9288" w:type="dxa"/>
          </w:tcPr>
          <w:p w:rsidR="00356649" w:rsidRDefault="00356649" w:rsidP="00356649">
            <w:pPr>
              <w:spacing w:line="276" w:lineRule="auto"/>
              <w:jc w:val="both"/>
            </w:pPr>
            <w:r>
              <w:t>Änderung § 46 Messung und Schätzung</w:t>
            </w:r>
          </w:p>
          <w:p w:rsidR="00356649" w:rsidRDefault="00356649" w:rsidP="00356649">
            <w:pPr>
              <w:spacing w:line="276" w:lineRule="auto"/>
              <w:jc w:val="both"/>
            </w:pPr>
          </w:p>
          <w:p w:rsidR="00356649" w:rsidRDefault="00356649" w:rsidP="00356649">
            <w:pPr>
              <w:spacing w:line="276" w:lineRule="auto"/>
              <w:jc w:val="both"/>
            </w:pPr>
            <w:r>
              <w:t xml:space="preserve">„(1) Strommengen, für die eine Umlage zu zahlen ist, sind durch </w:t>
            </w:r>
            <w:r w:rsidRPr="00356649">
              <w:rPr>
                <w:b/>
                <w:strike/>
              </w:rPr>
              <w:t>mess- und eichrechtsko</w:t>
            </w:r>
            <w:r w:rsidRPr="00356649">
              <w:rPr>
                <w:b/>
                <w:strike/>
              </w:rPr>
              <w:t>n</w:t>
            </w:r>
            <w:r w:rsidRPr="00356649">
              <w:rPr>
                <w:b/>
                <w:strike/>
              </w:rPr>
              <w:t>forme</w:t>
            </w:r>
            <w:r>
              <w:rPr>
                <w:b/>
                <w:strike/>
              </w:rPr>
              <w:t xml:space="preserve"> </w:t>
            </w:r>
            <w:r>
              <w:t xml:space="preserve">Messeinrichtungen zu erfassen. Wenn für Strommengen nur eine anteilige oder keine Umlage zu zahlen ist oder die Zahlung verweigert werden kann, sind diese Strommengen von Strommengen, die einer Pflicht zur Zahlung einer Umlage in anderer Höhe unterliegen, durch </w:t>
            </w:r>
            <w:r w:rsidRPr="00356649">
              <w:rPr>
                <w:b/>
                <w:strike/>
              </w:rPr>
              <w:t>mess- und eichrechtskonforme</w:t>
            </w:r>
            <w:r>
              <w:t xml:space="preserve"> Messeinrichtungen abzugrenzen.</w:t>
            </w:r>
          </w:p>
          <w:p w:rsidR="00356649" w:rsidRDefault="00356649" w:rsidP="00356649">
            <w:pPr>
              <w:spacing w:line="276" w:lineRule="auto"/>
              <w:jc w:val="both"/>
            </w:pPr>
          </w:p>
          <w:p w:rsidR="00356649" w:rsidRDefault="00356649" w:rsidP="00356649">
            <w:pPr>
              <w:spacing w:line="276" w:lineRule="auto"/>
              <w:jc w:val="both"/>
            </w:pPr>
            <w:r>
              <w:t xml:space="preserve">(2) Einer Abgrenzung von Strommengen durch </w:t>
            </w:r>
            <w:r w:rsidRPr="00356649">
              <w:rPr>
                <w:b/>
                <w:strike/>
              </w:rPr>
              <w:t>mess- und eichrechtskonforme</w:t>
            </w:r>
            <w:r>
              <w:t xml:space="preserve"> Messeinric</w:t>
            </w:r>
            <w:r>
              <w:t>h</w:t>
            </w:r>
            <w:r>
              <w:t>tungen bedarf es abweichend von Absatz 1 Satz 2 nicht, wenn</w:t>
            </w:r>
          </w:p>
          <w:p w:rsidR="00356649" w:rsidRDefault="00356649" w:rsidP="00356649">
            <w:pPr>
              <w:spacing w:line="276" w:lineRule="auto"/>
              <w:jc w:val="both"/>
            </w:pPr>
          </w:p>
          <w:p w:rsidR="00356649" w:rsidRDefault="00356649" w:rsidP="00356649">
            <w:pPr>
              <w:spacing w:line="276" w:lineRule="auto"/>
              <w:jc w:val="both"/>
            </w:pPr>
            <w:r>
              <w:t>1. für die gesamte Strommenge der innerhalb dieser Strommenge geltende höchste EEG-Umlagesatz geltend gemacht wird oder</w:t>
            </w:r>
          </w:p>
          <w:p w:rsidR="00356649" w:rsidRDefault="00356649" w:rsidP="00356649">
            <w:pPr>
              <w:spacing w:line="276" w:lineRule="auto"/>
              <w:jc w:val="both"/>
            </w:pPr>
          </w:p>
          <w:p w:rsidR="00356649" w:rsidRDefault="00356649" w:rsidP="00356649">
            <w:pPr>
              <w:spacing w:line="276" w:lineRule="auto"/>
              <w:jc w:val="both"/>
            </w:pPr>
            <w:r>
              <w:t xml:space="preserve">2. die Abgrenzung technisch unmöglich oder mit unvertretbarem Aufwand verbunden ist </w:t>
            </w:r>
            <w:r w:rsidRPr="00356649">
              <w:rPr>
                <w:b/>
                <w:strike/>
              </w:rPr>
              <w:t>und</w:t>
            </w:r>
            <w:r w:rsidRPr="00356649">
              <w:rPr>
                <w:b/>
              </w:rPr>
              <w:t xml:space="preserve"> oder</w:t>
            </w:r>
            <w:r>
              <w:t xml:space="preserve"> auch eine Abrechnung nach Nummer 1 aufgrund der Menge des privilegierten Stroms, für den in Ermangelung der Abgrenzung der innerhalb dieser Strommenge geltende höchste EEG-Umlagesatz anzuwenden wäre, nicht wirtschaftlich zumutbar ist.“</w:t>
            </w:r>
          </w:p>
        </w:tc>
      </w:tr>
    </w:tbl>
    <w:p w:rsidR="00356649" w:rsidRDefault="00356649" w:rsidP="001976D2">
      <w:pPr>
        <w:spacing w:line="276" w:lineRule="auto"/>
        <w:jc w:val="both"/>
      </w:pPr>
    </w:p>
    <w:p w:rsidR="00C1134C" w:rsidRDefault="00356649" w:rsidP="00DA36DF">
      <w:pPr>
        <w:spacing w:line="276" w:lineRule="auto"/>
        <w:jc w:val="both"/>
      </w:pPr>
      <w:r w:rsidRPr="00356649">
        <w:lastRenderedPageBreak/>
        <w:t xml:space="preserve">Unabhängig hiervon sollte folgende pragmatische Regelung in § 46 </w:t>
      </w:r>
      <w:proofErr w:type="spellStart"/>
      <w:r w:rsidRPr="00356649">
        <w:t>EnUG</w:t>
      </w:r>
      <w:proofErr w:type="spellEnd"/>
      <w:r w:rsidRPr="00356649">
        <w:t xml:space="preserve"> aufgenommen werden: Um unverhältnismäßigen bürokratischen Aufwand zu vermeiden, sollte für Unte</w:t>
      </w:r>
      <w:r w:rsidRPr="00356649">
        <w:t>r</w:t>
      </w:r>
      <w:r w:rsidRPr="00356649">
        <w:t>nehmen, in denen Letztverbrauch weit überwiegend oberhalb der Niederspannungsebene erfolgt, eine Optionsreg</w:t>
      </w:r>
      <w:r w:rsidR="005E241B">
        <w:t>e</w:t>
      </w:r>
      <w:bookmarkStart w:id="0" w:name="_GoBack"/>
      <w:bookmarkEnd w:id="0"/>
      <w:r w:rsidRPr="00356649">
        <w:t xml:space="preserve">lung zur Vermeidung unangemessenen administrativen Aufwandes eingeführt werden. Hierbei wird ein Prozentsatz z.B. </w:t>
      </w:r>
      <w:proofErr w:type="spellStart"/>
      <w:r w:rsidRPr="00356649">
        <w:t>i.H.v</w:t>
      </w:r>
      <w:proofErr w:type="spellEnd"/>
      <w:r w:rsidRPr="00356649">
        <w:t>. 0,05 % festgelegt und mit dem Jahresgesamtverbrauch des Unternehmens multipliziert. Der sich ergebende Verbrauch wird als Fremdverbrauch eingestuft, sodass auf diese Strommenge entsprechend die höchste i</w:t>
      </w:r>
      <w:r w:rsidRPr="00356649">
        <w:t>n</w:t>
      </w:r>
      <w:r w:rsidRPr="00356649">
        <w:t>frage kommende EEG-Umlage zu entrichten wäre. Durch eine entsprechende Umlageza</w:t>
      </w:r>
      <w:r w:rsidRPr="00356649">
        <w:t>h</w:t>
      </w:r>
      <w:r w:rsidRPr="00356649">
        <w:t>lung kann sich ein Unternehmen optional von der Pflicht zur Abgrenzung sämtlicher Weite</w:t>
      </w:r>
      <w:r w:rsidRPr="00356649">
        <w:t>r</w:t>
      </w:r>
      <w:r w:rsidRPr="00356649">
        <w:t>leitungen an Dritte auf Niederspannungsebene entbinden.</w:t>
      </w:r>
    </w:p>
    <w:p w:rsidR="00356649" w:rsidRDefault="00356649" w:rsidP="00DA36DF">
      <w:pPr>
        <w:spacing w:line="276" w:lineRule="auto"/>
        <w:jc w:val="both"/>
      </w:pPr>
    </w:p>
    <w:p w:rsidR="00356649" w:rsidRPr="00356649" w:rsidRDefault="00356649" w:rsidP="00356649">
      <w:pPr>
        <w:spacing w:line="276" w:lineRule="auto"/>
        <w:jc w:val="both"/>
        <w:rPr>
          <w:b/>
          <w:color w:val="111274"/>
        </w:rPr>
      </w:pPr>
      <w:r w:rsidRPr="00356649">
        <w:rPr>
          <w:b/>
          <w:color w:val="111274"/>
        </w:rPr>
        <w:t xml:space="preserve">Über den </w:t>
      </w:r>
      <w:proofErr w:type="spellStart"/>
      <w:r w:rsidRPr="00356649">
        <w:rPr>
          <w:b/>
          <w:color w:val="111274"/>
        </w:rPr>
        <w:t>bbs</w:t>
      </w:r>
      <w:proofErr w:type="spellEnd"/>
    </w:p>
    <w:p w:rsidR="00356649" w:rsidRDefault="00356649" w:rsidP="00356649">
      <w:pPr>
        <w:spacing w:line="276" w:lineRule="auto"/>
        <w:jc w:val="both"/>
      </w:pPr>
      <w:r>
        <w:t>Der Bundesverband Baustoffe – Steine und Erden (</w:t>
      </w:r>
      <w:proofErr w:type="spellStart"/>
      <w:r>
        <w:t>bbs</w:t>
      </w:r>
      <w:proofErr w:type="spellEnd"/>
      <w:r>
        <w:t>) vertritt als Dachverband insgesamt 19 Fachzweige, die in 15 Bundesfachverbänden organisiert sind und deren Mitglieder min</w:t>
      </w:r>
      <w:r>
        <w:t>e</w:t>
      </w:r>
      <w:r>
        <w:t>ralische Roh- und Baustoffe produzieren. Hierzu zählen die Bereiche Betonbauteile, Eise</w:t>
      </w:r>
      <w:r>
        <w:t>n</w:t>
      </w:r>
      <w:r>
        <w:t>hüttenschlacken, Feuerfest, Fliesen, Gips, Kalk, Kalksandstein, Keramische Rohstoffe und Industrieminerale, Kies, Sand und Naturstein, Leichtbeton, Mineralwolle, Mörtel, Naturwer</w:t>
      </w:r>
      <w:r>
        <w:t>k</w:t>
      </w:r>
      <w:r>
        <w:t xml:space="preserve">stein, Porenbeton, Recycling-Baustoffe, Transportbeton, Zement und Ziegel. Der </w:t>
      </w:r>
      <w:proofErr w:type="spellStart"/>
      <w:r>
        <w:t>bbs</w:t>
      </w:r>
      <w:proofErr w:type="spellEnd"/>
      <w:r>
        <w:t xml:space="preserve"> ist Mi</w:t>
      </w:r>
      <w:r>
        <w:t>t</w:t>
      </w:r>
      <w:r>
        <w:t>glied im Bundesverband der Deutschen Industrie (BDI) und bei den Energieintensiven Indus</w:t>
      </w:r>
      <w:r>
        <w:t>t</w:t>
      </w:r>
      <w:r>
        <w:t>rien in Deutschland (EID).</w:t>
      </w:r>
    </w:p>
    <w:p w:rsidR="00356649" w:rsidRDefault="00356649" w:rsidP="00356649">
      <w:pPr>
        <w:spacing w:line="276" w:lineRule="auto"/>
        <w:jc w:val="both"/>
      </w:pPr>
    </w:p>
    <w:p w:rsidR="00C1134C" w:rsidRPr="003E306F" w:rsidRDefault="00C1134C" w:rsidP="00DA36DF">
      <w:pPr>
        <w:spacing w:line="276" w:lineRule="auto"/>
        <w:jc w:val="both"/>
      </w:pPr>
      <w:r>
        <w:t xml:space="preserve">Berlin, </w:t>
      </w:r>
      <w:r w:rsidR="00356649">
        <w:t>17</w:t>
      </w:r>
      <w:r w:rsidR="00E6697A">
        <w:t xml:space="preserve">. </w:t>
      </w:r>
      <w:r w:rsidR="00356649">
        <w:t>März 2022</w:t>
      </w:r>
    </w:p>
    <w:sectPr w:rsidR="00C1134C" w:rsidRPr="003E306F" w:rsidSect="00AD21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6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2CE" w:rsidRDefault="007922CE" w:rsidP="008A6BD1">
      <w:r>
        <w:separator/>
      </w:r>
    </w:p>
  </w:endnote>
  <w:endnote w:type="continuationSeparator" w:id="0">
    <w:p w:rsidR="007922CE" w:rsidRDefault="007922CE" w:rsidP="008A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Regular">
    <w:altName w:val="Corbel"/>
    <w:charset w:val="00"/>
    <w:family w:val="swiss"/>
    <w:pitch w:val="variable"/>
    <w:sig w:usb0="80000027" w:usb1="00000000" w:usb2="00000000" w:usb3="00000000" w:csb0="00000001" w:csb1="00000000"/>
  </w:font>
  <w:font w:name="DIN-Light">
    <w:altName w:val="Corbel"/>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84" w:rsidRDefault="00F3178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225752"/>
      <w:docPartObj>
        <w:docPartGallery w:val="Page Numbers (Bottom of Page)"/>
        <w:docPartUnique/>
      </w:docPartObj>
    </w:sdtPr>
    <w:sdtEndPr>
      <w:rPr>
        <w:rFonts w:ascii="DIN-Regular" w:hAnsi="DIN-Regular"/>
        <w:b/>
        <w:color w:val="121174"/>
      </w:rPr>
    </w:sdtEndPr>
    <w:sdtContent>
      <w:p w:rsidR="007922CE" w:rsidRPr="00541510" w:rsidRDefault="007922CE" w:rsidP="00F973EC">
        <w:pPr>
          <w:pStyle w:val="Fuzeile"/>
          <w:pBdr>
            <w:top w:val="single" w:sz="4" w:space="1" w:color="121174"/>
          </w:pBdr>
          <w:jc w:val="center"/>
          <w:rPr>
            <w:rFonts w:ascii="DIN-Regular" w:hAnsi="DIN-Regular"/>
            <w:b/>
            <w:color w:val="121174"/>
          </w:rPr>
        </w:pPr>
        <w:r w:rsidRPr="00541510">
          <w:rPr>
            <w:rFonts w:ascii="DIN-Regular" w:hAnsi="DIN-Regular"/>
            <w:b/>
            <w:color w:val="121174"/>
            <w:sz w:val="20"/>
          </w:rPr>
          <w:fldChar w:fldCharType="begin"/>
        </w:r>
        <w:r w:rsidRPr="00541510">
          <w:rPr>
            <w:rFonts w:ascii="DIN-Regular" w:hAnsi="DIN-Regular"/>
            <w:b/>
            <w:color w:val="121174"/>
            <w:sz w:val="20"/>
          </w:rPr>
          <w:instrText>PAGE   \* MERGEFORMAT</w:instrText>
        </w:r>
        <w:r w:rsidRPr="00541510">
          <w:rPr>
            <w:rFonts w:ascii="DIN-Regular" w:hAnsi="DIN-Regular"/>
            <w:b/>
            <w:color w:val="121174"/>
            <w:sz w:val="20"/>
          </w:rPr>
          <w:fldChar w:fldCharType="separate"/>
        </w:r>
        <w:r w:rsidR="005E241B">
          <w:rPr>
            <w:rFonts w:ascii="DIN-Regular" w:hAnsi="DIN-Regular"/>
            <w:b/>
            <w:noProof/>
            <w:color w:val="121174"/>
            <w:sz w:val="20"/>
          </w:rPr>
          <w:t>3</w:t>
        </w:r>
        <w:r w:rsidRPr="00541510">
          <w:rPr>
            <w:rFonts w:ascii="DIN-Regular" w:hAnsi="DIN-Regular"/>
            <w:b/>
            <w:color w:val="121174"/>
            <w:sz w:val="20"/>
          </w:rPr>
          <w:fldChar w:fldCharType="end"/>
        </w:r>
      </w:p>
    </w:sdtContent>
  </w:sdt>
  <w:p w:rsidR="007922CE" w:rsidRDefault="007922C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CE" w:rsidRPr="0014000C" w:rsidRDefault="007922CE" w:rsidP="005A223F">
    <w:pPr>
      <w:spacing w:before="60" w:line="220" w:lineRule="exact"/>
      <w:rPr>
        <w:rFonts w:ascii="DIN-Regular" w:hAnsi="DIN-Regular"/>
        <w:color w:val="111274"/>
        <w:sz w:val="14"/>
        <w:szCs w:val="14"/>
      </w:rPr>
    </w:pPr>
    <w:r>
      <w:rPr>
        <w:rFonts w:ascii="DIN-Regular" w:hAnsi="DIN-Regular"/>
        <w:noProof/>
        <w:color w:val="111274"/>
        <w:sz w:val="14"/>
        <w:szCs w:val="14"/>
        <w:lang w:val="en-GB" w:eastAsia="ja-JP"/>
      </w:rPr>
      <mc:AlternateContent>
        <mc:Choice Requires="wps">
          <w:drawing>
            <wp:anchor distT="0" distB="0" distL="114300" distR="114300" simplePos="0" relativeHeight="251666432" behindDoc="0" locked="0" layoutInCell="1" allowOverlap="1" wp14:anchorId="764F8713" wp14:editId="63FDED8B">
              <wp:simplePos x="0" y="0"/>
              <wp:positionH relativeFrom="column">
                <wp:posOffset>-369265</wp:posOffset>
              </wp:positionH>
              <wp:positionV relativeFrom="paragraph">
                <wp:posOffset>87630</wp:posOffset>
              </wp:positionV>
              <wp:extent cx="57150" cy="5715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57150" cy="57150"/>
                      </a:xfrm>
                      <a:prstGeom prst="rect">
                        <a:avLst/>
                      </a:prstGeom>
                      <a:solidFill>
                        <a:srgbClr val="121174"/>
                      </a:solidFill>
                      <a:ln w="6350">
                        <a:solidFill>
                          <a:srgbClr val="121174"/>
                        </a:solidFill>
                      </a:ln>
                    </wps:spPr>
                    <wps:txbx>
                      <w:txbxContent>
                        <w:p w:rsidR="007922CE" w:rsidRDefault="00792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9.1pt;margin-top:6.9pt;width:4.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" fillcolor="#121174" strokecolor="#121174" strokeweight=".5pt">
              <v:textbox>
                <w:txbxContent>
                  <w:p w:rsidR="007922CE" w:rsidRDefault="007922CE"/>
                </w:txbxContent>
              </v:textbox>
            </v:shape>
          </w:pict>
        </mc:Fallback>
      </mc:AlternateContent>
    </w:r>
    <w:r w:rsidRPr="00B334F2">
      <w:rPr>
        <w:rFonts w:ascii="DIN-Regular" w:hAnsi="DIN-Regular" w:cs="Arial"/>
        <w:noProof/>
        <w:sz w:val="22"/>
        <w:szCs w:val="22"/>
        <w:lang w:val="en-GB" w:eastAsia="ja-JP"/>
      </w:rPr>
      <mc:AlternateContent>
        <mc:Choice Requires="wps">
          <w:drawing>
            <wp:anchor distT="45720" distB="45720" distL="114300" distR="114300" simplePos="0" relativeHeight="251659264" behindDoc="1" locked="0" layoutInCell="1" allowOverlap="1" wp14:anchorId="23590E75" wp14:editId="2A8C646A">
              <wp:simplePos x="0" y="0"/>
              <wp:positionH relativeFrom="column">
                <wp:posOffset>-473075</wp:posOffset>
              </wp:positionH>
              <wp:positionV relativeFrom="paragraph">
                <wp:posOffset>-26035</wp:posOffset>
              </wp:positionV>
              <wp:extent cx="6478905" cy="42608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426085"/>
                      </a:xfrm>
                      <a:prstGeom prst="rect">
                        <a:avLst/>
                      </a:prstGeom>
                      <a:solidFill>
                        <a:srgbClr val="FFFFFF"/>
                      </a:solidFill>
                      <a:ln w="9525">
                        <a:noFill/>
                        <a:miter lim="800000"/>
                        <a:headEnd/>
                        <a:tailEnd/>
                      </a:ln>
                    </wps:spPr>
                    <wps:txbx>
                      <w:txbxContent>
                        <w:p w:rsidR="007922CE" w:rsidRPr="00C26187" w:rsidRDefault="007922CE" w:rsidP="00D80D0D">
                          <w:pPr>
                            <w:pStyle w:val="Fuzeile"/>
                            <w:pBdr>
                              <w:top w:val="single" w:sz="4" w:space="1" w:color="121174"/>
                            </w:pBdr>
                            <w:jc w:val="center"/>
                            <w:rPr>
                              <w:rFonts w:ascii="DIN-Regular" w:hAnsi="DIN-Regular"/>
                              <w:color w:val="111274"/>
                              <w:sz w:val="16"/>
                              <w:szCs w:val="16"/>
                            </w:rPr>
                          </w:pPr>
                          <w:r w:rsidRPr="00C26187">
                            <w:rPr>
                              <w:rFonts w:ascii="DIN-Regular" w:hAnsi="DIN-Regular"/>
                              <w:color w:val="111274"/>
                              <w:sz w:val="16"/>
                              <w:szCs w:val="16"/>
                            </w:rPr>
                            <w:t>Bundesverband Baustoffe – Steine und Erde</w:t>
                          </w:r>
                          <w:r>
                            <w:rPr>
                              <w:rFonts w:ascii="DIN-Regular" w:hAnsi="DIN-Regular"/>
                              <w:color w:val="111274"/>
                              <w:sz w:val="16"/>
                              <w:szCs w:val="16"/>
                            </w:rPr>
                            <w:t>n</w:t>
                          </w:r>
                          <w:r w:rsidRPr="00C26187">
                            <w:rPr>
                              <w:rFonts w:ascii="DIN-Regular" w:hAnsi="DIN-Regular"/>
                              <w:color w:val="111274"/>
                              <w:sz w:val="16"/>
                              <w:szCs w:val="16"/>
                            </w:rPr>
                            <w:t xml:space="preserve"> e.V. | Kochstr. 6-7 | 10969 Berlin | E-Mail: info@bvbaustoffe.de | www.baustoffindustrie.de</w:t>
                          </w:r>
                        </w:p>
                        <w:p w:rsidR="007922CE" w:rsidRPr="00C26187" w:rsidRDefault="007922CE" w:rsidP="00D80D0D">
                          <w:pPr>
                            <w:pStyle w:val="Fuzeile"/>
                            <w:pBdr>
                              <w:top w:val="single" w:sz="4" w:space="1" w:color="121174"/>
                            </w:pBdr>
                            <w:jc w:val="center"/>
                            <w:rPr>
                              <w:color w:val="000000" w:themeColor="text1"/>
                              <w:sz w:val="16"/>
                              <w:szCs w:val="16"/>
                            </w:rPr>
                          </w:pPr>
                          <w:r w:rsidRPr="00C26187">
                            <w:rPr>
                              <w:rFonts w:ascii="DIN-Regular" w:hAnsi="DIN-Regular"/>
                              <w:color w:val="111274"/>
                              <w:sz w:val="16"/>
                              <w:szCs w:val="16"/>
                            </w:rPr>
                            <w:t>Postfach 61 04 86 | 10928 Berlin | Telefon: 030 / 7261999-0 | Telefax: 030 / 7261999-12</w:t>
                          </w:r>
                        </w:p>
                        <w:p w:rsidR="007922CE" w:rsidRPr="00B334F2" w:rsidRDefault="007922CE" w:rsidP="00D80D0D">
                          <w:pPr>
                            <w:jc w:val="center"/>
                            <w:rPr>
                              <w:rFonts w:ascii="DIN-Regular" w:hAnsi="DIN-Regular" w:cs="Arial"/>
                              <w:color w:val="FFFFFF" w:themeColor="background1"/>
                              <w:sz w:val="22"/>
                              <w:szCs w:val="22"/>
                            </w:rPr>
                          </w:pPr>
                          <w:r w:rsidRPr="00B334F2">
                            <w:rPr>
                              <w:rFonts w:ascii="DIN-Regular" w:hAnsi="DIN-Regular"/>
                              <w:color w:val="FFFFFF" w:themeColor="background1"/>
                              <w:sz w:val="14"/>
                              <w:szCs w:val="14"/>
                            </w:rPr>
                            <w:t>Telefon: 030 / 7261999-0 | Telefax: 030 / 7261999-12</w:t>
                          </w:r>
                        </w:p>
                        <w:p w:rsidR="007922CE" w:rsidRDefault="007922CE" w:rsidP="00D80D0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25pt;margin-top:-2.05pt;width:510.15pt;height:33.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" stroked="f">
              <v:textbox>
                <w:txbxContent>
                  <w:p w:rsidR="007922CE" w:rsidRPr="00C26187" w:rsidRDefault="007922CE" w:rsidP="00D80D0D">
                    <w:pPr>
                      <w:pStyle w:val="Fuzeile"/>
                      <w:pBdr>
                        <w:top w:val="single" w:sz="4" w:space="1" w:color="121174"/>
                      </w:pBdr>
                      <w:jc w:val="center"/>
                      <w:rPr>
                        <w:rFonts w:ascii="DIN-Regular" w:hAnsi="DIN-Regular"/>
                        <w:color w:val="111274"/>
                        <w:sz w:val="16"/>
                        <w:szCs w:val="16"/>
                      </w:rPr>
                    </w:pPr>
                    <w:r w:rsidRPr="00C26187">
                      <w:rPr>
                        <w:rFonts w:ascii="DIN-Regular" w:hAnsi="DIN-Regular"/>
                        <w:color w:val="111274"/>
                        <w:sz w:val="16"/>
                        <w:szCs w:val="16"/>
                      </w:rPr>
                      <w:t>Bundesverband Baustoffe – Steine und Erde</w:t>
                    </w:r>
                    <w:r>
                      <w:rPr>
                        <w:rFonts w:ascii="DIN-Regular" w:hAnsi="DIN-Regular"/>
                        <w:color w:val="111274"/>
                        <w:sz w:val="16"/>
                        <w:szCs w:val="16"/>
                      </w:rPr>
                      <w:t>n</w:t>
                    </w:r>
                    <w:r w:rsidRPr="00C26187">
                      <w:rPr>
                        <w:rFonts w:ascii="DIN-Regular" w:hAnsi="DIN-Regular"/>
                        <w:color w:val="111274"/>
                        <w:sz w:val="16"/>
                        <w:szCs w:val="16"/>
                      </w:rPr>
                      <w:t xml:space="preserve"> e.V. | Kochstr. 6-7 | 10969 Berlin | E-Mail: info@bvbaustoffe.de | www.baustoffindustrie.de</w:t>
                    </w:r>
                  </w:p>
                  <w:p w:rsidR="007922CE" w:rsidRPr="00C26187" w:rsidRDefault="007922CE" w:rsidP="00D80D0D">
                    <w:pPr>
                      <w:pStyle w:val="Fuzeile"/>
                      <w:pBdr>
                        <w:top w:val="single" w:sz="4" w:space="1" w:color="121174"/>
                      </w:pBdr>
                      <w:jc w:val="center"/>
                      <w:rPr>
                        <w:color w:val="000000" w:themeColor="text1"/>
                        <w:sz w:val="16"/>
                        <w:szCs w:val="16"/>
                      </w:rPr>
                    </w:pPr>
                    <w:r w:rsidRPr="00C26187">
                      <w:rPr>
                        <w:rFonts w:ascii="DIN-Regular" w:hAnsi="DIN-Regular"/>
                        <w:color w:val="111274"/>
                        <w:sz w:val="16"/>
                        <w:szCs w:val="16"/>
                      </w:rPr>
                      <w:t>Postfach 61 04 86 | 10928 Berlin | Telefon: 030 / 7261999-0 | Telefax: 030 / 7261999-12</w:t>
                    </w:r>
                  </w:p>
                  <w:p w:rsidR="007922CE" w:rsidRPr="00B334F2" w:rsidRDefault="007922CE" w:rsidP="00D80D0D">
                    <w:pPr>
                      <w:jc w:val="center"/>
                      <w:rPr>
                        <w:rFonts w:ascii="DIN-Regular" w:hAnsi="DIN-Regular" w:cs="Arial"/>
                        <w:color w:val="FFFFFF" w:themeColor="background1"/>
                        <w:sz w:val="22"/>
                        <w:szCs w:val="22"/>
                      </w:rPr>
                    </w:pPr>
                    <w:r w:rsidRPr="00B334F2">
                      <w:rPr>
                        <w:rFonts w:ascii="DIN-Regular" w:hAnsi="DIN-Regular"/>
                        <w:color w:val="FFFFFF" w:themeColor="background1"/>
                        <w:sz w:val="14"/>
                        <w:szCs w:val="14"/>
                      </w:rPr>
                      <w:t>Telefon: 030 / 7261999-0 | Telefax: 030 / 7261999-12</w:t>
                    </w:r>
                  </w:p>
                  <w:p w:rsidR="007922CE" w:rsidRDefault="007922CE" w:rsidP="00D80D0D">
                    <w:pPr>
                      <w:jc w:val="center"/>
                    </w:pPr>
                  </w:p>
                </w:txbxContent>
              </v:textbox>
            </v:shape>
          </w:pict>
        </mc:Fallback>
      </mc:AlternateContent>
    </w:r>
    <w:r>
      <w:rPr>
        <w:rFonts w:ascii="DIN-Regular" w:hAnsi="DIN-Regular"/>
        <w:color w:val="111274"/>
        <w:sz w:val="14"/>
        <w:szCs w:val="14"/>
      </w:rPr>
      <w:t xml:space="preserve">     </w:t>
    </w:r>
  </w:p>
  <w:p w:rsidR="007922CE" w:rsidRPr="0014000C" w:rsidRDefault="007922CE" w:rsidP="00D80D0D">
    <w:pPr>
      <w:spacing w:before="60" w:line="220" w:lineRule="exact"/>
      <w:rPr>
        <w:rFonts w:ascii="DIN-Regular" w:hAnsi="DIN-Regular"/>
        <w:color w:val="111274"/>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2CE" w:rsidRDefault="007922CE" w:rsidP="008A6BD1">
      <w:r>
        <w:separator/>
      </w:r>
    </w:p>
  </w:footnote>
  <w:footnote w:type="continuationSeparator" w:id="0">
    <w:p w:rsidR="007922CE" w:rsidRDefault="007922CE" w:rsidP="008A6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84" w:rsidRDefault="005E241B">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81219" o:spid="_x0000_s2050" type="#_x0000_t136" style="position:absolute;margin-left:0;margin-top:0;width:465.1pt;height:174.4pt;rotation:315;z-index:-2516459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84" w:rsidRDefault="005E241B">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81220" o:spid="_x0000_s2051" type="#_x0000_t136" style="position:absolute;margin-left:0;margin-top:0;width:465.1pt;height:174.4pt;rotation:315;z-index:-251643904;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CE" w:rsidRDefault="005E241B">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81218" o:spid="_x0000_s2049" type="#_x0000_t136" style="position:absolute;margin-left:0;margin-top:0;width:465.1pt;height:174.4pt;rotation:315;z-index:-251648000;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r w:rsidR="007922CE" w:rsidRPr="00541510">
      <w:rPr>
        <w:rFonts w:ascii="DIN-Regular" w:hAnsi="DIN-Regular"/>
        <w:noProof/>
        <w:sz w:val="36"/>
        <w:szCs w:val="36"/>
        <w:lang w:val="en-GB" w:eastAsia="ja-JP"/>
      </w:rPr>
      <mc:AlternateContent>
        <mc:Choice Requires="wps">
          <w:drawing>
            <wp:anchor distT="0" distB="0" distL="114300" distR="114300" simplePos="0" relativeHeight="251665408" behindDoc="0" locked="0" layoutInCell="1" allowOverlap="1" wp14:anchorId="572EF0FB" wp14:editId="3EDFB63C">
              <wp:simplePos x="0" y="0"/>
              <wp:positionH relativeFrom="column">
                <wp:posOffset>-552450</wp:posOffset>
              </wp:positionH>
              <wp:positionV relativeFrom="paragraph">
                <wp:posOffset>-153035</wp:posOffset>
              </wp:positionV>
              <wp:extent cx="6838950" cy="631190"/>
              <wp:effectExtent l="0" t="0" r="0" b="0"/>
              <wp:wrapNone/>
              <wp:docPr id="17" name="Rechteck 17"/>
              <wp:cNvGraphicFramePr/>
              <a:graphic xmlns:a="http://schemas.openxmlformats.org/drawingml/2006/main">
                <a:graphicData uri="http://schemas.microsoft.com/office/word/2010/wordprocessingShape">
                  <wps:wsp>
                    <wps:cNvSpPr/>
                    <wps:spPr>
                      <a:xfrm>
                        <a:off x="0" y="0"/>
                        <a:ext cx="6838950" cy="631190"/>
                      </a:xfrm>
                      <a:prstGeom prst="rect">
                        <a:avLst/>
                      </a:prstGeom>
                      <a:solidFill>
                        <a:srgbClr val="111274"/>
                      </a:solidFill>
                      <a:ln>
                        <a:noFill/>
                      </a:ln>
                      <a:effectLst/>
                    </wps:spPr>
                    <wps:style>
                      <a:lnRef idx="1">
                        <a:schemeClr val="accent1"/>
                      </a:lnRef>
                      <a:fillRef idx="3">
                        <a:schemeClr val="accent1"/>
                      </a:fillRef>
                      <a:effectRef idx="2">
                        <a:schemeClr val="accent1"/>
                      </a:effectRef>
                      <a:fontRef idx="minor">
                        <a:schemeClr val="lt1"/>
                      </a:fontRef>
                    </wps:style>
                    <wps:txbx>
                      <w:txbxContent>
                        <w:p w:rsidR="007922CE" w:rsidRPr="0029775A" w:rsidRDefault="007922CE" w:rsidP="003E306F">
                          <w:pPr>
                            <w:jc w:val="right"/>
                            <w:rPr>
                              <w:rFonts w:ascii="DIN-Light" w:hAnsi="DIN-Light"/>
                              <w:b/>
                              <w:sz w:val="36"/>
                            </w:rPr>
                          </w:pPr>
                          <w:r>
                            <w:rPr>
                              <w:rFonts w:ascii="DIN-Light" w:hAnsi="DIN-Light"/>
                              <w:b/>
                              <w:sz w:val="36"/>
                            </w:rPr>
                            <w:t xml:space="preserve">       </w:t>
                          </w:r>
                          <w:r>
                            <w:rPr>
                              <w:rFonts w:ascii="DIN-Light" w:hAnsi="DIN-Light"/>
                              <w:b/>
                              <w:noProof/>
                              <w:sz w:val="36"/>
                            </w:rPr>
                            <w:t xml:space="preserve">                   </w:t>
                          </w:r>
                          <w:r w:rsidRPr="003E306F">
                            <w:rPr>
                              <w:rFonts w:ascii="DIN-Light" w:hAnsi="DIN-Light"/>
                              <w:b/>
                              <w:noProof/>
                              <w:sz w:val="36"/>
                            </w:rPr>
                            <w:t xml:space="preserve"> </w:t>
                          </w:r>
                          <w:r>
                            <w:rPr>
                              <w:rFonts w:ascii="DIN-Light" w:hAnsi="DIN-Light"/>
                              <w:b/>
                              <w:noProof/>
                              <w:sz w:val="36"/>
                              <w:lang w:val="en-GB" w:eastAsia="ja-JP"/>
                            </w:rPr>
                            <w:drawing>
                              <wp:inline distT="0" distB="0" distL="0" distR="0" wp14:anchorId="0642249B" wp14:editId="3283059B">
                                <wp:extent cx="1568958" cy="27051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BS_Ohne_RGB_300dpi_invertiert.png"/>
                                        <pic:cNvPicPr/>
                                      </pic:nvPicPr>
                                      <pic:blipFill>
                                        <a:blip r:embed="rId1">
                                          <a:extLst>
                                            <a:ext uri="{28A0092B-C50C-407E-A947-70E740481C1C}">
                                              <a14:useLocalDpi xmlns:a14="http://schemas.microsoft.com/office/drawing/2010/main" val="0"/>
                                            </a:ext>
                                          </a:extLst>
                                        </a:blip>
                                        <a:stretch>
                                          <a:fillRect/>
                                        </a:stretch>
                                      </pic:blipFill>
                                      <pic:spPr>
                                        <a:xfrm>
                                          <a:off x="0" y="0"/>
                                          <a:ext cx="1568958" cy="270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7" o:spid="_x0000_s1027" style="position:absolute;margin-left:-43.5pt;margin-top:-12.05pt;width:538.5pt;height:4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" fillcolor="#111274" stroked="f" strokeweight=".5pt">
              <v:textbox>
                <w:txbxContent>
                  <w:p w:rsidR="007922CE" w:rsidRPr="0029775A" w:rsidRDefault="007922CE" w:rsidP="003E306F">
                    <w:pPr>
                      <w:jc w:val="right"/>
                      <w:rPr>
                        <w:rFonts w:ascii="DIN-Light" w:hAnsi="DIN-Light"/>
                        <w:b/>
                        <w:sz w:val="36"/>
                      </w:rPr>
                    </w:pPr>
                    <w:r>
                      <w:rPr>
                        <w:rFonts w:ascii="DIN-Light" w:hAnsi="DIN-Light"/>
                        <w:b/>
                        <w:sz w:val="36"/>
                      </w:rPr>
                      <w:t xml:space="preserve">       </w:t>
                    </w:r>
                    <w:r>
                      <w:rPr>
                        <w:rFonts w:ascii="DIN-Light" w:hAnsi="DIN-Light"/>
                        <w:b/>
                        <w:noProof/>
                        <w:sz w:val="36"/>
                      </w:rPr>
                      <w:t xml:space="preserve">                   </w:t>
                    </w:r>
                    <w:r w:rsidRPr="003E306F">
                      <w:rPr>
                        <w:rFonts w:ascii="DIN-Light" w:hAnsi="DIN-Light"/>
                        <w:b/>
                        <w:noProof/>
                        <w:sz w:val="36"/>
                      </w:rPr>
                      <w:t xml:space="preserve"> </w:t>
                    </w:r>
                    <w:r>
                      <w:rPr>
                        <w:rFonts w:ascii="DIN-Light" w:hAnsi="DIN-Light"/>
                        <w:b/>
                        <w:noProof/>
                        <w:sz w:val="36"/>
                        <w:lang w:val="en-GB" w:eastAsia="ja-JP"/>
                      </w:rPr>
                      <w:drawing>
                        <wp:inline distT="0" distB="0" distL="0" distR="0" wp14:anchorId="0642249B" wp14:editId="3283059B">
                          <wp:extent cx="1568958" cy="27051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BS_Ohne_RGB_300dpi_invertiert.png"/>
                                  <pic:cNvPicPr/>
                                </pic:nvPicPr>
                                <pic:blipFill>
                                  <a:blip r:embed="rId2">
                                    <a:extLst>
                                      <a:ext uri="{28A0092B-C50C-407E-A947-70E740481C1C}">
                                        <a14:useLocalDpi xmlns:a14="http://schemas.microsoft.com/office/drawing/2010/main" val="0"/>
                                      </a:ext>
                                    </a:extLst>
                                  </a:blip>
                                  <a:stretch>
                                    <a:fillRect/>
                                  </a:stretch>
                                </pic:blipFill>
                                <pic:spPr>
                                  <a:xfrm>
                                    <a:off x="0" y="0"/>
                                    <a:ext cx="1568958" cy="270510"/>
                                  </a:xfrm>
                                  <a:prstGeom prst="rect">
                                    <a:avLst/>
                                  </a:prstGeom>
                                </pic:spPr>
                              </pic:pic>
                            </a:graphicData>
                          </a:graphic>
                        </wp:inline>
                      </w:drawing>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9A64F0C"/>
    <w:multiLevelType w:val="multilevel"/>
    <w:tmpl w:val="A978F8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FD46A92"/>
    <w:multiLevelType w:val="hybridMultilevel"/>
    <w:tmpl w:val="8C2CEB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E72FA4"/>
    <w:multiLevelType w:val="hybridMultilevel"/>
    <w:tmpl w:val="E0ACE4AC"/>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B9075F"/>
    <w:multiLevelType w:val="hybridMultilevel"/>
    <w:tmpl w:val="FCEA2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13B1752"/>
    <w:multiLevelType w:val="multilevel"/>
    <w:tmpl w:val="FED86F4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604120A"/>
    <w:multiLevelType w:val="hybridMultilevel"/>
    <w:tmpl w:val="6E7CFC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6DB575D"/>
    <w:multiLevelType w:val="hybridMultilevel"/>
    <w:tmpl w:val="BC74386E"/>
    <w:lvl w:ilvl="0" w:tplc="A58A40D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D58366A"/>
    <w:multiLevelType w:val="multilevel"/>
    <w:tmpl w:val="9E665A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53C74E2"/>
    <w:multiLevelType w:val="hybridMultilevel"/>
    <w:tmpl w:val="82F68BD6"/>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A81CB3"/>
    <w:multiLevelType w:val="hybridMultilevel"/>
    <w:tmpl w:val="73C48700"/>
    <w:lvl w:ilvl="0" w:tplc="246C97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B753DB"/>
    <w:multiLevelType w:val="multilevel"/>
    <w:tmpl w:val="71600714"/>
    <w:lvl w:ilvl="0">
      <w:start w:val="1"/>
      <w:numFmt w:val="bullet"/>
      <w:lvlText w:val=""/>
      <w:lvlJc w:val="left"/>
      <w:pPr>
        <w:ind w:left="720" w:hanging="360"/>
      </w:pPr>
      <w:rPr>
        <w:rFonts w:ascii="Wingdings" w:hAnsi="Wingdings" w:hint="default"/>
        <w:color w:val="111274"/>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5"/>
  </w:num>
  <w:num w:numId="4">
    <w:abstractNumId w:val="1"/>
  </w:num>
  <w:num w:numId="5">
    <w:abstractNumId w:val="4"/>
  </w:num>
  <w:num w:numId="6">
    <w:abstractNumId w:val="7"/>
  </w:num>
  <w:num w:numId="7">
    <w:abstractNumId w:val="0"/>
  </w:num>
  <w:num w:numId="8">
    <w:abstractNumId w:val="10"/>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D1"/>
    <w:rsid w:val="00040A66"/>
    <w:rsid w:val="00042BE0"/>
    <w:rsid w:val="00051EFA"/>
    <w:rsid w:val="00071371"/>
    <w:rsid w:val="000A17E4"/>
    <w:rsid w:val="000A3557"/>
    <w:rsid w:val="000C07ED"/>
    <w:rsid w:val="000C6974"/>
    <w:rsid w:val="000D45D0"/>
    <w:rsid w:val="000F7286"/>
    <w:rsid w:val="000F7EC9"/>
    <w:rsid w:val="00124893"/>
    <w:rsid w:val="0012762C"/>
    <w:rsid w:val="0014000C"/>
    <w:rsid w:val="001976D2"/>
    <w:rsid w:val="001A48E0"/>
    <w:rsid w:val="001C3E7C"/>
    <w:rsid w:val="001D3866"/>
    <w:rsid w:val="001F0890"/>
    <w:rsid w:val="00206384"/>
    <w:rsid w:val="00221677"/>
    <w:rsid w:val="002448D6"/>
    <w:rsid w:val="00257566"/>
    <w:rsid w:val="002757BF"/>
    <w:rsid w:val="0029775A"/>
    <w:rsid w:val="002D46EE"/>
    <w:rsid w:val="00312262"/>
    <w:rsid w:val="00315588"/>
    <w:rsid w:val="00342ACD"/>
    <w:rsid w:val="003458C2"/>
    <w:rsid w:val="00356649"/>
    <w:rsid w:val="003C0131"/>
    <w:rsid w:val="003E306F"/>
    <w:rsid w:val="00447FEE"/>
    <w:rsid w:val="004524F3"/>
    <w:rsid w:val="004545B0"/>
    <w:rsid w:val="004770C6"/>
    <w:rsid w:val="004B478B"/>
    <w:rsid w:val="004E1BC8"/>
    <w:rsid w:val="004E4463"/>
    <w:rsid w:val="00531765"/>
    <w:rsid w:val="00540BCE"/>
    <w:rsid w:val="00541510"/>
    <w:rsid w:val="005A223F"/>
    <w:rsid w:val="005D5BEB"/>
    <w:rsid w:val="005E241B"/>
    <w:rsid w:val="006349AF"/>
    <w:rsid w:val="006378F4"/>
    <w:rsid w:val="0066583D"/>
    <w:rsid w:val="00683EB4"/>
    <w:rsid w:val="00692CDC"/>
    <w:rsid w:val="006A4CE4"/>
    <w:rsid w:val="006B4EF6"/>
    <w:rsid w:val="006C5557"/>
    <w:rsid w:val="006E2067"/>
    <w:rsid w:val="00730B68"/>
    <w:rsid w:val="00764135"/>
    <w:rsid w:val="00777DB0"/>
    <w:rsid w:val="007922CE"/>
    <w:rsid w:val="007E3D61"/>
    <w:rsid w:val="00852488"/>
    <w:rsid w:val="008654D1"/>
    <w:rsid w:val="00891530"/>
    <w:rsid w:val="0089210A"/>
    <w:rsid w:val="008A6BD1"/>
    <w:rsid w:val="00902860"/>
    <w:rsid w:val="00965730"/>
    <w:rsid w:val="00996B6F"/>
    <w:rsid w:val="009C30CA"/>
    <w:rsid w:val="009D4697"/>
    <w:rsid w:val="00A1014A"/>
    <w:rsid w:val="00A30A80"/>
    <w:rsid w:val="00A37FC0"/>
    <w:rsid w:val="00A56498"/>
    <w:rsid w:val="00A718F9"/>
    <w:rsid w:val="00A944B9"/>
    <w:rsid w:val="00AA3771"/>
    <w:rsid w:val="00AC61C7"/>
    <w:rsid w:val="00AD21FA"/>
    <w:rsid w:val="00AD40B6"/>
    <w:rsid w:val="00AE5596"/>
    <w:rsid w:val="00B334F2"/>
    <w:rsid w:val="00B554E9"/>
    <w:rsid w:val="00B93BBF"/>
    <w:rsid w:val="00B97B27"/>
    <w:rsid w:val="00BA7747"/>
    <w:rsid w:val="00BB0252"/>
    <w:rsid w:val="00BC16B7"/>
    <w:rsid w:val="00BE4995"/>
    <w:rsid w:val="00BF5064"/>
    <w:rsid w:val="00C1134C"/>
    <w:rsid w:val="00C26187"/>
    <w:rsid w:val="00C7381F"/>
    <w:rsid w:val="00C85717"/>
    <w:rsid w:val="00CF447E"/>
    <w:rsid w:val="00D069C0"/>
    <w:rsid w:val="00D06AD8"/>
    <w:rsid w:val="00D10841"/>
    <w:rsid w:val="00D14467"/>
    <w:rsid w:val="00D153F6"/>
    <w:rsid w:val="00D56A1E"/>
    <w:rsid w:val="00D6344F"/>
    <w:rsid w:val="00D80D0D"/>
    <w:rsid w:val="00DA0154"/>
    <w:rsid w:val="00DA36DF"/>
    <w:rsid w:val="00DB706D"/>
    <w:rsid w:val="00DD707F"/>
    <w:rsid w:val="00DE03AA"/>
    <w:rsid w:val="00DE357A"/>
    <w:rsid w:val="00E00D6F"/>
    <w:rsid w:val="00E04CD5"/>
    <w:rsid w:val="00E26251"/>
    <w:rsid w:val="00E36C74"/>
    <w:rsid w:val="00E533E3"/>
    <w:rsid w:val="00E53F87"/>
    <w:rsid w:val="00E55CE6"/>
    <w:rsid w:val="00E6697A"/>
    <w:rsid w:val="00E93739"/>
    <w:rsid w:val="00EF2C67"/>
    <w:rsid w:val="00EF6853"/>
    <w:rsid w:val="00F06212"/>
    <w:rsid w:val="00F31784"/>
    <w:rsid w:val="00F654D4"/>
    <w:rsid w:val="00F973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4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6BD1"/>
    <w:pPr>
      <w:spacing w:after="0" w:line="240" w:lineRule="auto"/>
    </w:pPr>
    <w:rPr>
      <w:rFonts w:eastAsiaTheme="minorEastAsia"/>
      <w:sz w:val="24"/>
      <w:szCs w:val="24"/>
      <w:lang w:eastAsia="de-DE"/>
    </w:rPr>
  </w:style>
  <w:style w:type="paragraph" w:styleId="berschrift8">
    <w:name w:val="heading 8"/>
    <w:basedOn w:val="Standard"/>
    <w:next w:val="Standard"/>
    <w:link w:val="berschrift8Zchn"/>
    <w:qFormat/>
    <w:rsid w:val="00DE03AA"/>
    <w:pPr>
      <w:keepNext/>
      <w:spacing w:line="288" w:lineRule="exact"/>
      <w:outlineLvl w:val="7"/>
    </w:pPr>
    <w:rPr>
      <w:rFonts w:ascii="Helvetica 45 Light" w:eastAsia="Times New Roman" w:hAnsi="Helvetica 45 Light" w:cs="Times New Roman"/>
      <w:b/>
      <w:sz w:val="22"/>
      <w:szCs w:val="20"/>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A6BD1"/>
    <w:pPr>
      <w:tabs>
        <w:tab w:val="center" w:pos="4536"/>
        <w:tab w:val="right" w:pos="9072"/>
      </w:tabs>
    </w:pPr>
  </w:style>
  <w:style w:type="character" w:customStyle="1" w:styleId="KopfzeileZchn">
    <w:name w:val="Kopfzeile Zchn"/>
    <w:basedOn w:val="Absatz-Standardschriftart"/>
    <w:link w:val="Kopfzeile"/>
    <w:rsid w:val="008A6BD1"/>
    <w:rPr>
      <w:rFonts w:eastAsiaTheme="minorEastAsia"/>
      <w:sz w:val="24"/>
      <w:szCs w:val="24"/>
      <w:lang w:eastAsia="de-DE"/>
    </w:rPr>
  </w:style>
  <w:style w:type="paragraph" w:styleId="Fuzeile">
    <w:name w:val="footer"/>
    <w:basedOn w:val="Standard"/>
    <w:link w:val="FuzeileZchn"/>
    <w:uiPriority w:val="99"/>
    <w:unhideWhenUsed/>
    <w:rsid w:val="008A6BD1"/>
    <w:pPr>
      <w:tabs>
        <w:tab w:val="center" w:pos="4536"/>
        <w:tab w:val="right" w:pos="9072"/>
      </w:tabs>
    </w:pPr>
  </w:style>
  <w:style w:type="character" w:customStyle="1" w:styleId="FuzeileZchn">
    <w:name w:val="Fußzeile Zchn"/>
    <w:basedOn w:val="Absatz-Standardschriftart"/>
    <w:link w:val="Fuzeile"/>
    <w:uiPriority w:val="99"/>
    <w:rsid w:val="008A6BD1"/>
    <w:rPr>
      <w:rFonts w:eastAsiaTheme="minorEastAsia"/>
      <w:sz w:val="24"/>
      <w:szCs w:val="24"/>
      <w:lang w:eastAsia="de-DE"/>
    </w:rPr>
  </w:style>
  <w:style w:type="character" w:styleId="Seitenzahl">
    <w:name w:val="page number"/>
    <w:basedOn w:val="Absatz-Standardschriftart"/>
    <w:uiPriority w:val="99"/>
    <w:semiHidden/>
    <w:unhideWhenUsed/>
    <w:rsid w:val="008A6BD1"/>
  </w:style>
  <w:style w:type="character" w:styleId="Hyperlink">
    <w:name w:val="Hyperlink"/>
    <w:basedOn w:val="Absatz-Standardschriftart"/>
    <w:uiPriority w:val="99"/>
    <w:unhideWhenUsed/>
    <w:rsid w:val="008A6BD1"/>
    <w:rPr>
      <w:color w:val="0563C1" w:themeColor="hyperlink"/>
      <w:u w:val="single"/>
    </w:rPr>
  </w:style>
  <w:style w:type="character" w:styleId="Hervorhebung">
    <w:name w:val="Emphasis"/>
    <w:uiPriority w:val="20"/>
    <w:qFormat/>
    <w:rsid w:val="00996B6F"/>
    <w:rPr>
      <w:i/>
      <w:iCs/>
    </w:rPr>
  </w:style>
  <w:style w:type="paragraph" w:styleId="Listenabsatz">
    <w:name w:val="List Paragraph"/>
    <w:basedOn w:val="Standard"/>
    <w:uiPriority w:val="34"/>
    <w:qFormat/>
    <w:rsid w:val="00EF2C67"/>
    <w:pPr>
      <w:ind w:left="720"/>
      <w:contextualSpacing/>
    </w:pPr>
  </w:style>
  <w:style w:type="paragraph" w:styleId="Sprechblasentext">
    <w:name w:val="Balloon Text"/>
    <w:basedOn w:val="Standard"/>
    <w:link w:val="SprechblasentextZchn"/>
    <w:uiPriority w:val="99"/>
    <w:semiHidden/>
    <w:unhideWhenUsed/>
    <w:rsid w:val="00EF2C6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2C67"/>
    <w:rPr>
      <w:rFonts w:ascii="Segoe UI" w:eastAsiaTheme="minorEastAsia" w:hAnsi="Segoe UI" w:cs="Segoe UI"/>
      <w:sz w:val="18"/>
      <w:szCs w:val="18"/>
      <w:lang w:eastAsia="de-DE"/>
    </w:rPr>
  </w:style>
  <w:style w:type="character" w:customStyle="1" w:styleId="berschrift8Zchn">
    <w:name w:val="Überschrift 8 Zchn"/>
    <w:basedOn w:val="Absatz-Standardschriftart"/>
    <w:link w:val="berschrift8"/>
    <w:rsid w:val="00DE03AA"/>
    <w:rPr>
      <w:rFonts w:ascii="Helvetica 45 Light" w:eastAsia="Times New Roman" w:hAnsi="Helvetica 45 Light" w:cs="Times New Roman"/>
      <w:b/>
      <w:szCs w:val="20"/>
      <w:lang w:eastAsia="ko-KR"/>
    </w:rPr>
  </w:style>
  <w:style w:type="paragraph" w:styleId="Textkrper2">
    <w:name w:val="Body Text 2"/>
    <w:basedOn w:val="Standard"/>
    <w:link w:val="Textkrper2Zchn"/>
    <w:semiHidden/>
    <w:rsid w:val="00DE03AA"/>
    <w:pPr>
      <w:jc w:val="both"/>
    </w:pPr>
    <w:rPr>
      <w:rFonts w:ascii="Arial" w:eastAsia="Times New Roman" w:hAnsi="Arial" w:cs="Arial"/>
      <w:sz w:val="22"/>
      <w:szCs w:val="20"/>
      <w:lang w:eastAsia="ko-KR"/>
    </w:rPr>
  </w:style>
  <w:style w:type="character" w:customStyle="1" w:styleId="Textkrper2Zchn">
    <w:name w:val="Textkörper 2 Zchn"/>
    <w:basedOn w:val="Absatz-Standardschriftart"/>
    <w:link w:val="Textkrper2"/>
    <w:semiHidden/>
    <w:rsid w:val="00DE03AA"/>
    <w:rPr>
      <w:rFonts w:ascii="Arial" w:eastAsia="Times New Roman" w:hAnsi="Arial" w:cs="Arial"/>
      <w:szCs w:val="20"/>
      <w:lang w:eastAsia="ko-KR"/>
    </w:rPr>
  </w:style>
  <w:style w:type="paragraph" w:styleId="Textkrper3">
    <w:name w:val="Body Text 3"/>
    <w:basedOn w:val="Standard"/>
    <w:link w:val="Textkrper3Zchn"/>
    <w:semiHidden/>
    <w:rsid w:val="00DE03AA"/>
    <w:rPr>
      <w:rFonts w:ascii="Arial" w:eastAsia="Times New Roman" w:hAnsi="Arial" w:cs="Arial"/>
      <w:b/>
      <w:bCs/>
      <w:sz w:val="22"/>
      <w:szCs w:val="20"/>
      <w:lang w:eastAsia="ko-KR"/>
    </w:rPr>
  </w:style>
  <w:style w:type="character" w:customStyle="1" w:styleId="Textkrper3Zchn">
    <w:name w:val="Textkörper 3 Zchn"/>
    <w:basedOn w:val="Absatz-Standardschriftart"/>
    <w:link w:val="Textkrper3"/>
    <w:semiHidden/>
    <w:rsid w:val="00DE03AA"/>
    <w:rPr>
      <w:rFonts w:ascii="Arial" w:eastAsia="Times New Roman" w:hAnsi="Arial" w:cs="Arial"/>
      <w:b/>
      <w:bCs/>
      <w:szCs w:val="20"/>
      <w:lang w:eastAsia="ko-KR"/>
    </w:rPr>
  </w:style>
  <w:style w:type="paragraph" w:customStyle="1" w:styleId="Default">
    <w:name w:val="Default"/>
    <w:rsid w:val="00DE03AA"/>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Textkrper">
    <w:name w:val="Body Text"/>
    <w:basedOn w:val="Standard"/>
    <w:link w:val="TextkrperZchn"/>
    <w:uiPriority w:val="99"/>
    <w:semiHidden/>
    <w:unhideWhenUsed/>
    <w:rsid w:val="006C5557"/>
    <w:pPr>
      <w:spacing w:after="120"/>
    </w:pPr>
  </w:style>
  <w:style w:type="character" w:customStyle="1" w:styleId="TextkrperZchn">
    <w:name w:val="Textkörper Zchn"/>
    <w:basedOn w:val="Absatz-Standardschriftart"/>
    <w:link w:val="Textkrper"/>
    <w:uiPriority w:val="99"/>
    <w:semiHidden/>
    <w:rsid w:val="006C5557"/>
    <w:rPr>
      <w:rFonts w:eastAsiaTheme="minorEastAsia"/>
      <w:sz w:val="24"/>
      <w:szCs w:val="24"/>
      <w:lang w:eastAsia="de-DE"/>
    </w:rPr>
  </w:style>
  <w:style w:type="paragraph" w:styleId="Funotentext">
    <w:name w:val="footnote text"/>
    <w:basedOn w:val="Standard"/>
    <w:link w:val="FunotentextZchn"/>
    <w:uiPriority w:val="99"/>
    <w:semiHidden/>
    <w:unhideWhenUsed/>
    <w:rsid w:val="001A48E0"/>
    <w:rPr>
      <w:sz w:val="20"/>
      <w:szCs w:val="20"/>
    </w:rPr>
  </w:style>
  <w:style w:type="character" w:customStyle="1" w:styleId="FunotentextZchn">
    <w:name w:val="Fußnotentext Zchn"/>
    <w:basedOn w:val="Absatz-Standardschriftart"/>
    <w:link w:val="Funotentext"/>
    <w:uiPriority w:val="99"/>
    <w:semiHidden/>
    <w:rsid w:val="001A48E0"/>
    <w:rPr>
      <w:rFonts w:eastAsiaTheme="minorEastAsia"/>
      <w:sz w:val="20"/>
      <w:szCs w:val="20"/>
      <w:lang w:eastAsia="de-DE"/>
    </w:rPr>
  </w:style>
  <w:style w:type="character" w:styleId="Funotenzeichen">
    <w:name w:val="footnote reference"/>
    <w:basedOn w:val="Absatz-Standardschriftart"/>
    <w:uiPriority w:val="99"/>
    <w:semiHidden/>
    <w:unhideWhenUsed/>
    <w:rsid w:val="001A48E0"/>
    <w:rPr>
      <w:vertAlign w:val="superscript"/>
    </w:rPr>
  </w:style>
  <w:style w:type="table" w:styleId="Tabellenraster">
    <w:name w:val="Table Grid"/>
    <w:basedOn w:val="NormaleTabelle"/>
    <w:uiPriority w:val="39"/>
    <w:rsid w:val="00356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6BD1"/>
    <w:pPr>
      <w:spacing w:after="0" w:line="240" w:lineRule="auto"/>
    </w:pPr>
    <w:rPr>
      <w:rFonts w:eastAsiaTheme="minorEastAsia"/>
      <w:sz w:val="24"/>
      <w:szCs w:val="24"/>
      <w:lang w:eastAsia="de-DE"/>
    </w:rPr>
  </w:style>
  <w:style w:type="paragraph" w:styleId="berschrift8">
    <w:name w:val="heading 8"/>
    <w:basedOn w:val="Standard"/>
    <w:next w:val="Standard"/>
    <w:link w:val="berschrift8Zchn"/>
    <w:qFormat/>
    <w:rsid w:val="00DE03AA"/>
    <w:pPr>
      <w:keepNext/>
      <w:spacing w:line="288" w:lineRule="exact"/>
      <w:outlineLvl w:val="7"/>
    </w:pPr>
    <w:rPr>
      <w:rFonts w:ascii="Helvetica 45 Light" w:eastAsia="Times New Roman" w:hAnsi="Helvetica 45 Light" w:cs="Times New Roman"/>
      <w:b/>
      <w:sz w:val="22"/>
      <w:szCs w:val="20"/>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A6BD1"/>
    <w:pPr>
      <w:tabs>
        <w:tab w:val="center" w:pos="4536"/>
        <w:tab w:val="right" w:pos="9072"/>
      </w:tabs>
    </w:pPr>
  </w:style>
  <w:style w:type="character" w:customStyle="1" w:styleId="KopfzeileZchn">
    <w:name w:val="Kopfzeile Zchn"/>
    <w:basedOn w:val="Absatz-Standardschriftart"/>
    <w:link w:val="Kopfzeile"/>
    <w:rsid w:val="008A6BD1"/>
    <w:rPr>
      <w:rFonts w:eastAsiaTheme="minorEastAsia"/>
      <w:sz w:val="24"/>
      <w:szCs w:val="24"/>
      <w:lang w:eastAsia="de-DE"/>
    </w:rPr>
  </w:style>
  <w:style w:type="paragraph" w:styleId="Fuzeile">
    <w:name w:val="footer"/>
    <w:basedOn w:val="Standard"/>
    <w:link w:val="FuzeileZchn"/>
    <w:uiPriority w:val="99"/>
    <w:unhideWhenUsed/>
    <w:rsid w:val="008A6BD1"/>
    <w:pPr>
      <w:tabs>
        <w:tab w:val="center" w:pos="4536"/>
        <w:tab w:val="right" w:pos="9072"/>
      </w:tabs>
    </w:pPr>
  </w:style>
  <w:style w:type="character" w:customStyle="1" w:styleId="FuzeileZchn">
    <w:name w:val="Fußzeile Zchn"/>
    <w:basedOn w:val="Absatz-Standardschriftart"/>
    <w:link w:val="Fuzeile"/>
    <w:uiPriority w:val="99"/>
    <w:rsid w:val="008A6BD1"/>
    <w:rPr>
      <w:rFonts w:eastAsiaTheme="minorEastAsia"/>
      <w:sz w:val="24"/>
      <w:szCs w:val="24"/>
      <w:lang w:eastAsia="de-DE"/>
    </w:rPr>
  </w:style>
  <w:style w:type="character" w:styleId="Seitenzahl">
    <w:name w:val="page number"/>
    <w:basedOn w:val="Absatz-Standardschriftart"/>
    <w:uiPriority w:val="99"/>
    <w:semiHidden/>
    <w:unhideWhenUsed/>
    <w:rsid w:val="008A6BD1"/>
  </w:style>
  <w:style w:type="character" w:styleId="Hyperlink">
    <w:name w:val="Hyperlink"/>
    <w:basedOn w:val="Absatz-Standardschriftart"/>
    <w:uiPriority w:val="99"/>
    <w:unhideWhenUsed/>
    <w:rsid w:val="008A6BD1"/>
    <w:rPr>
      <w:color w:val="0563C1" w:themeColor="hyperlink"/>
      <w:u w:val="single"/>
    </w:rPr>
  </w:style>
  <w:style w:type="character" w:styleId="Hervorhebung">
    <w:name w:val="Emphasis"/>
    <w:uiPriority w:val="20"/>
    <w:qFormat/>
    <w:rsid w:val="00996B6F"/>
    <w:rPr>
      <w:i/>
      <w:iCs/>
    </w:rPr>
  </w:style>
  <w:style w:type="paragraph" w:styleId="Listenabsatz">
    <w:name w:val="List Paragraph"/>
    <w:basedOn w:val="Standard"/>
    <w:uiPriority w:val="34"/>
    <w:qFormat/>
    <w:rsid w:val="00EF2C67"/>
    <w:pPr>
      <w:ind w:left="720"/>
      <w:contextualSpacing/>
    </w:pPr>
  </w:style>
  <w:style w:type="paragraph" w:styleId="Sprechblasentext">
    <w:name w:val="Balloon Text"/>
    <w:basedOn w:val="Standard"/>
    <w:link w:val="SprechblasentextZchn"/>
    <w:uiPriority w:val="99"/>
    <w:semiHidden/>
    <w:unhideWhenUsed/>
    <w:rsid w:val="00EF2C6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2C67"/>
    <w:rPr>
      <w:rFonts w:ascii="Segoe UI" w:eastAsiaTheme="minorEastAsia" w:hAnsi="Segoe UI" w:cs="Segoe UI"/>
      <w:sz w:val="18"/>
      <w:szCs w:val="18"/>
      <w:lang w:eastAsia="de-DE"/>
    </w:rPr>
  </w:style>
  <w:style w:type="character" w:customStyle="1" w:styleId="berschrift8Zchn">
    <w:name w:val="Überschrift 8 Zchn"/>
    <w:basedOn w:val="Absatz-Standardschriftart"/>
    <w:link w:val="berschrift8"/>
    <w:rsid w:val="00DE03AA"/>
    <w:rPr>
      <w:rFonts w:ascii="Helvetica 45 Light" w:eastAsia="Times New Roman" w:hAnsi="Helvetica 45 Light" w:cs="Times New Roman"/>
      <w:b/>
      <w:szCs w:val="20"/>
      <w:lang w:eastAsia="ko-KR"/>
    </w:rPr>
  </w:style>
  <w:style w:type="paragraph" w:styleId="Textkrper2">
    <w:name w:val="Body Text 2"/>
    <w:basedOn w:val="Standard"/>
    <w:link w:val="Textkrper2Zchn"/>
    <w:semiHidden/>
    <w:rsid w:val="00DE03AA"/>
    <w:pPr>
      <w:jc w:val="both"/>
    </w:pPr>
    <w:rPr>
      <w:rFonts w:ascii="Arial" w:eastAsia="Times New Roman" w:hAnsi="Arial" w:cs="Arial"/>
      <w:sz w:val="22"/>
      <w:szCs w:val="20"/>
      <w:lang w:eastAsia="ko-KR"/>
    </w:rPr>
  </w:style>
  <w:style w:type="character" w:customStyle="1" w:styleId="Textkrper2Zchn">
    <w:name w:val="Textkörper 2 Zchn"/>
    <w:basedOn w:val="Absatz-Standardschriftart"/>
    <w:link w:val="Textkrper2"/>
    <w:semiHidden/>
    <w:rsid w:val="00DE03AA"/>
    <w:rPr>
      <w:rFonts w:ascii="Arial" w:eastAsia="Times New Roman" w:hAnsi="Arial" w:cs="Arial"/>
      <w:szCs w:val="20"/>
      <w:lang w:eastAsia="ko-KR"/>
    </w:rPr>
  </w:style>
  <w:style w:type="paragraph" w:styleId="Textkrper3">
    <w:name w:val="Body Text 3"/>
    <w:basedOn w:val="Standard"/>
    <w:link w:val="Textkrper3Zchn"/>
    <w:semiHidden/>
    <w:rsid w:val="00DE03AA"/>
    <w:rPr>
      <w:rFonts w:ascii="Arial" w:eastAsia="Times New Roman" w:hAnsi="Arial" w:cs="Arial"/>
      <w:b/>
      <w:bCs/>
      <w:sz w:val="22"/>
      <w:szCs w:val="20"/>
      <w:lang w:eastAsia="ko-KR"/>
    </w:rPr>
  </w:style>
  <w:style w:type="character" w:customStyle="1" w:styleId="Textkrper3Zchn">
    <w:name w:val="Textkörper 3 Zchn"/>
    <w:basedOn w:val="Absatz-Standardschriftart"/>
    <w:link w:val="Textkrper3"/>
    <w:semiHidden/>
    <w:rsid w:val="00DE03AA"/>
    <w:rPr>
      <w:rFonts w:ascii="Arial" w:eastAsia="Times New Roman" w:hAnsi="Arial" w:cs="Arial"/>
      <w:b/>
      <w:bCs/>
      <w:szCs w:val="20"/>
      <w:lang w:eastAsia="ko-KR"/>
    </w:rPr>
  </w:style>
  <w:style w:type="paragraph" w:customStyle="1" w:styleId="Default">
    <w:name w:val="Default"/>
    <w:rsid w:val="00DE03AA"/>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Textkrper">
    <w:name w:val="Body Text"/>
    <w:basedOn w:val="Standard"/>
    <w:link w:val="TextkrperZchn"/>
    <w:uiPriority w:val="99"/>
    <w:semiHidden/>
    <w:unhideWhenUsed/>
    <w:rsid w:val="006C5557"/>
    <w:pPr>
      <w:spacing w:after="120"/>
    </w:pPr>
  </w:style>
  <w:style w:type="character" w:customStyle="1" w:styleId="TextkrperZchn">
    <w:name w:val="Textkörper Zchn"/>
    <w:basedOn w:val="Absatz-Standardschriftart"/>
    <w:link w:val="Textkrper"/>
    <w:uiPriority w:val="99"/>
    <w:semiHidden/>
    <w:rsid w:val="006C5557"/>
    <w:rPr>
      <w:rFonts w:eastAsiaTheme="minorEastAsia"/>
      <w:sz w:val="24"/>
      <w:szCs w:val="24"/>
      <w:lang w:eastAsia="de-DE"/>
    </w:rPr>
  </w:style>
  <w:style w:type="paragraph" w:styleId="Funotentext">
    <w:name w:val="footnote text"/>
    <w:basedOn w:val="Standard"/>
    <w:link w:val="FunotentextZchn"/>
    <w:uiPriority w:val="99"/>
    <w:semiHidden/>
    <w:unhideWhenUsed/>
    <w:rsid w:val="001A48E0"/>
    <w:rPr>
      <w:sz w:val="20"/>
      <w:szCs w:val="20"/>
    </w:rPr>
  </w:style>
  <w:style w:type="character" w:customStyle="1" w:styleId="FunotentextZchn">
    <w:name w:val="Fußnotentext Zchn"/>
    <w:basedOn w:val="Absatz-Standardschriftart"/>
    <w:link w:val="Funotentext"/>
    <w:uiPriority w:val="99"/>
    <w:semiHidden/>
    <w:rsid w:val="001A48E0"/>
    <w:rPr>
      <w:rFonts w:eastAsiaTheme="minorEastAsia"/>
      <w:sz w:val="20"/>
      <w:szCs w:val="20"/>
      <w:lang w:eastAsia="de-DE"/>
    </w:rPr>
  </w:style>
  <w:style w:type="character" w:styleId="Funotenzeichen">
    <w:name w:val="footnote reference"/>
    <w:basedOn w:val="Absatz-Standardschriftart"/>
    <w:uiPriority w:val="99"/>
    <w:semiHidden/>
    <w:unhideWhenUsed/>
    <w:rsid w:val="001A48E0"/>
    <w:rPr>
      <w:vertAlign w:val="superscript"/>
    </w:rPr>
  </w:style>
  <w:style w:type="table" w:styleId="Tabellenraster">
    <w:name w:val="Table Grid"/>
    <w:basedOn w:val="NormaleTabelle"/>
    <w:uiPriority w:val="39"/>
    <w:rsid w:val="00356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0555">
      <w:bodyDiv w:val="1"/>
      <w:marLeft w:val="0"/>
      <w:marRight w:val="0"/>
      <w:marTop w:val="0"/>
      <w:marBottom w:val="0"/>
      <w:divBdr>
        <w:top w:val="none" w:sz="0" w:space="0" w:color="auto"/>
        <w:left w:val="none" w:sz="0" w:space="0" w:color="auto"/>
        <w:bottom w:val="none" w:sz="0" w:space="0" w:color="auto"/>
        <w:right w:val="none" w:sz="0" w:space="0" w:color="auto"/>
      </w:divBdr>
    </w:div>
    <w:div w:id="919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63B7-3E38-4996-A6AE-1863BB6E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VDZ gGmbH</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Lenz</dc:creator>
  <cp:lastModifiedBy>Romeike, Jens</cp:lastModifiedBy>
  <cp:revision>5</cp:revision>
  <cp:lastPrinted>2021-11-17T19:45:00Z</cp:lastPrinted>
  <dcterms:created xsi:type="dcterms:W3CDTF">2022-03-04T17:21:00Z</dcterms:created>
  <dcterms:modified xsi:type="dcterms:W3CDTF">2022-03-07T07:32:00Z</dcterms:modified>
</cp:coreProperties>
</file>