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EF270" w14:textId="7AFCAE4D" w:rsidR="0057628B" w:rsidRDefault="00EC13B1" w:rsidP="00505AD3">
      <w:pPr>
        <w:pStyle w:val="berschrift1"/>
      </w:pPr>
      <w:r>
        <w:t xml:space="preserve">Befreiung von </w:t>
      </w:r>
      <w:r w:rsidR="00E410DE">
        <w:t>EU ETS</w:t>
      </w:r>
      <w:r>
        <w:t>-Anlagen</w:t>
      </w:r>
      <w:r w:rsidR="00887B29">
        <w:t xml:space="preserve"> </w:t>
      </w:r>
      <w:r w:rsidR="004F1D98">
        <w:t xml:space="preserve">im Brennstoffemissionshandelsgesetz </w:t>
      </w:r>
      <w:r w:rsidR="00505AD3">
        <w:t>– §</w:t>
      </w:r>
      <w:r>
        <w:t>§</w:t>
      </w:r>
      <w:r w:rsidR="00505AD3">
        <w:t xml:space="preserve"> </w:t>
      </w:r>
      <w:r>
        <w:t>7 (5</w:t>
      </w:r>
      <w:r w:rsidR="00505AD3">
        <w:t>)</w:t>
      </w:r>
      <w:r>
        <w:t xml:space="preserve"> und 11 (2)</w:t>
      </w:r>
    </w:p>
    <w:p w14:paraId="2794A4A3" w14:textId="65E2E8CA" w:rsidR="0003603A" w:rsidRDefault="0003603A" w:rsidP="00DD54E0"/>
    <w:p w14:paraId="52A5A830" w14:textId="4CAF799B" w:rsidR="00717DFA" w:rsidRDefault="00456BF4" w:rsidP="00717DFA">
      <w:r>
        <w:t>Im Dezember 2019 wurde das Brennstoffemissionshandelsgesetz beschlossen. Dadurch wird es mit Wirkung zum 1. Januar 2021 einen Preisaufschlag von 25 € je Tonne CO2 auf fossile Brennstoffe erhoben. Bis 2025 steigt der Preis anhand eines vorgegebenen Pfades auf 55 € je Tonne CO2. Diesen Preis müssen grundsätzlich alle Verbraucher von fossilen Energieträgern in Deutschland bezahlen</w:t>
      </w:r>
      <w:r>
        <w:rPr>
          <w:rStyle w:val="Funotenzeichen"/>
        </w:rPr>
        <w:footnoteReference w:id="1"/>
      </w:r>
      <w:r>
        <w:t>. Es ist jedoch existenziell wichtig, zwischen verschiedenen Verbrauchergruppen zu unterscheiden: Erstens dürfen Anlagen, deren Emissionen bereits im europäischen Emissionshandel erfasst sind (</w:t>
      </w:r>
      <w:r w:rsidR="00E410DE">
        <w:t>EU ETS</w:t>
      </w:r>
      <w:r w:rsidR="000C6F0F">
        <w:t>-Anlagen), nicht zusätzlich durch den nationalen Emissionshandel belastet werden. Zweitens muss für Industriebetriebe, die bislang nicht vom EU-Emissionshandel erfasst sind (Non-</w:t>
      </w:r>
      <w:r w:rsidR="00E410DE">
        <w:t>EU ETS</w:t>
      </w:r>
      <w:r w:rsidR="000C6F0F">
        <w:t xml:space="preserve">-Anlagen), ein </w:t>
      </w:r>
      <w:r w:rsidR="006B6901">
        <w:t>Belastungsausgleich</w:t>
      </w:r>
      <w:r w:rsidR="000C6F0F">
        <w:t xml:space="preserve"> greifen, da der nationale CO</w:t>
      </w:r>
      <w:r w:rsidR="000C6F0F" w:rsidRPr="00A41681">
        <w:rPr>
          <w:vertAlign w:val="subscript"/>
        </w:rPr>
        <w:t>2</w:t>
      </w:r>
      <w:r w:rsidR="000C6F0F">
        <w:t>-Preis hier ein</w:t>
      </w:r>
      <w:r w:rsidR="00CF2DDE">
        <w:t>en</w:t>
      </w:r>
      <w:r w:rsidR="000C6F0F">
        <w:t xml:space="preserve"> erhebliche</w:t>
      </w:r>
      <w:r w:rsidR="00CF2DDE">
        <w:t>n</w:t>
      </w:r>
      <w:r w:rsidR="000C6F0F">
        <w:t xml:space="preserve"> Wettbewerbsnachteil gegenüber europäischen und internationalen Konkurrenten </w:t>
      </w:r>
      <w:r w:rsidR="00CF2DDE">
        <w:t>darstellt</w:t>
      </w:r>
      <w:r w:rsidR="000C6F0F">
        <w:t>. Das vorliegende Papier enthält Vorschläge dazu, wie ein</w:t>
      </w:r>
      <w:r w:rsidR="00EC13B1">
        <w:t xml:space="preserve">e Doppelbelastung von </w:t>
      </w:r>
      <w:r w:rsidR="00E410DE">
        <w:t>EU ETS</w:t>
      </w:r>
      <w:r w:rsidR="00EC13B1">
        <w:t>-Anlagen mit dem nationalen CO</w:t>
      </w:r>
      <w:r w:rsidR="00EC13B1" w:rsidRPr="00A41681">
        <w:rPr>
          <w:vertAlign w:val="subscript"/>
        </w:rPr>
        <w:t>2</w:t>
      </w:r>
      <w:r w:rsidR="00EC13B1">
        <w:t>-Preis wirksam vermieden werden kann.</w:t>
      </w:r>
    </w:p>
    <w:p w14:paraId="6751DB05" w14:textId="76B38A94" w:rsidR="00792B9C" w:rsidRDefault="00792B9C" w:rsidP="00717DFA"/>
    <w:p w14:paraId="50300DB8" w14:textId="5D463132" w:rsidR="00792B9C" w:rsidRPr="00567980" w:rsidRDefault="00E410DE" w:rsidP="00792B9C">
      <w:pPr>
        <w:rPr>
          <w:b/>
          <w:bCs/>
        </w:rPr>
      </w:pPr>
      <w:r>
        <w:rPr>
          <w:b/>
          <w:bCs/>
        </w:rPr>
        <w:t>EU ETS</w:t>
      </w:r>
      <w:r w:rsidR="00EC13B1">
        <w:rPr>
          <w:b/>
          <w:bCs/>
        </w:rPr>
        <w:t xml:space="preserve">-Anlagen drohen ab </w:t>
      </w:r>
      <w:r w:rsidR="00792B9C" w:rsidRPr="00567980">
        <w:rPr>
          <w:b/>
          <w:bCs/>
        </w:rPr>
        <w:t xml:space="preserve">2021 </w:t>
      </w:r>
      <w:r w:rsidR="00EC13B1">
        <w:rPr>
          <w:b/>
          <w:bCs/>
        </w:rPr>
        <w:t xml:space="preserve">jährlich mehr als 3 </w:t>
      </w:r>
      <w:r w:rsidR="00792B9C">
        <w:rPr>
          <w:b/>
          <w:bCs/>
        </w:rPr>
        <w:t>Milliarde</w:t>
      </w:r>
      <w:r w:rsidR="00EC13B1">
        <w:rPr>
          <w:b/>
          <w:bCs/>
        </w:rPr>
        <w:t>n Euro</w:t>
      </w:r>
      <w:r w:rsidR="00792B9C">
        <w:rPr>
          <w:b/>
          <w:bCs/>
        </w:rPr>
        <w:t xml:space="preserve"> Mehrkosten</w:t>
      </w:r>
    </w:p>
    <w:p w14:paraId="08779392" w14:textId="77E34C1E" w:rsidR="00717DFA" w:rsidRDefault="00717DFA" w:rsidP="00717DFA"/>
    <w:p w14:paraId="20B5B2DC" w14:textId="524D1702" w:rsidR="00FF6542" w:rsidRDefault="00305EA4">
      <w:pPr>
        <w:rPr>
          <w:highlight w:val="yellow"/>
        </w:rPr>
      </w:pPr>
      <w:r>
        <w:rPr>
          <w:noProof/>
          <w:lang w:val="en-GB" w:eastAsia="en-GB"/>
        </w:rPr>
        <w:drawing>
          <wp:anchor distT="0" distB="0" distL="114300" distR="114300" simplePos="0" relativeHeight="251745280" behindDoc="0" locked="0" layoutInCell="1" allowOverlap="1" wp14:anchorId="5DB0EB15" wp14:editId="1A99F339">
            <wp:simplePos x="0" y="0"/>
            <wp:positionH relativeFrom="margin">
              <wp:align>center</wp:align>
            </wp:positionH>
            <wp:positionV relativeFrom="margin">
              <wp:posOffset>5033645</wp:posOffset>
            </wp:positionV>
            <wp:extent cx="6286500" cy="3648075"/>
            <wp:effectExtent l="0" t="0" r="0" b="9525"/>
            <wp:wrapSquare wrapText="bothSides"/>
            <wp:docPr id="5" name="Grafik 5"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Aufteilung Sektoren BEHG_v3.png"/>
                    <pic:cNvPicPr/>
                  </pic:nvPicPr>
                  <pic:blipFill>
                    <a:blip r:embed="rId11">
                      <a:extLst>
                        <a:ext uri="{28A0092B-C50C-407E-A947-70E740481C1C}">
                          <a14:useLocalDpi xmlns:a14="http://schemas.microsoft.com/office/drawing/2010/main" val="0"/>
                        </a:ext>
                      </a:extLst>
                    </a:blip>
                    <a:stretch>
                      <a:fillRect/>
                    </a:stretch>
                  </pic:blipFill>
                  <pic:spPr>
                    <a:xfrm>
                      <a:off x="0" y="0"/>
                      <a:ext cx="6286500" cy="3648075"/>
                    </a:xfrm>
                    <a:prstGeom prst="rect">
                      <a:avLst/>
                    </a:prstGeom>
                  </pic:spPr>
                </pic:pic>
              </a:graphicData>
            </a:graphic>
            <wp14:sizeRelH relativeFrom="margin">
              <wp14:pctWidth>0</wp14:pctWidth>
            </wp14:sizeRelH>
            <wp14:sizeRelV relativeFrom="margin">
              <wp14:pctHeight>0</wp14:pctHeight>
            </wp14:sizeRelV>
          </wp:anchor>
        </w:drawing>
      </w:r>
      <w:r w:rsidR="00717DFA" w:rsidRPr="00941865">
        <w:t>Aktuell sind 1</w:t>
      </w:r>
      <w:r w:rsidR="00717DFA">
        <w:t>.</w:t>
      </w:r>
      <w:r w:rsidR="00717DFA" w:rsidRPr="00941865">
        <w:t>8</w:t>
      </w:r>
      <w:r w:rsidR="00CA7BC8">
        <w:t>7</w:t>
      </w:r>
      <w:r w:rsidR="00717DFA" w:rsidRPr="00941865">
        <w:t>0 Anlagen von ca. 1</w:t>
      </w:r>
      <w:r w:rsidR="00717DFA">
        <w:t>.</w:t>
      </w:r>
      <w:r w:rsidR="00717DFA" w:rsidRPr="00941865">
        <w:t>200 Unternehmen im europäischen Emissionshandel (EU</w:t>
      </w:r>
      <w:r w:rsidR="00717DFA">
        <w:t xml:space="preserve"> </w:t>
      </w:r>
      <w:r w:rsidR="00E410DE">
        <w:t>ETS</w:t>
      </w:r>
      <w:r w:rsidR="00717DFA" w:rsidRPr="00941865">
        <w:t xml:space="preserve">). </w:t>
      </w:r>
      <w:r w:rsidR="00E32DD4">
        <w:t>Dieser deckt damit große Industrie- und Energieerzeugungsanlagen mit einer Feuerungsleistung von mehr als 20 Megawatt ab (</w:t>
      </w:r>
      <w:r w:rsidR="00E410DE">
        <w:t>EU ETS</w:t>
      </w:r>
      <w:r w:rsidR="00E32DD4">
        <w:t xml:space="preserve">-Anlagen). </w:t>
      </w:r>
      <w:r w:rsidR="005E1734">
        <w:t>Durch das</w:t>
      </w:r>
      <w:r w:rsidR="00717DFA" w:rsidRPr="00941865">
        <w:t xml:space="preserve"> </w:t>
      </w:r>
      <w:r w:rsidR="005E1734">
        <w:t>Brennstoffemissionshandelsgesetz</w:t>
      </w:r>
      <w:r w:rsidR="00717DFA" w:rsidRPr="00941865">
        <w:t xml:space="preserve"> </w:t>
      </w:r>
      <w:r w:rsidR="00EC13B1">
        <w:t>sollen nunmehr alle Brennstofflieferungen in Deutschland mit einem nationalen CO</w:t>
      </w:r>
      <w:r w:rsidR="00EC13B1" w:rsidRPr="00A41681">
        <w:rPr>
          <w:vertAlign w:val="subscript"/>
        </w:rPr>
        <w:t>2</w:t>
      </w:r>
      <w:r w:rsidR="00EC13B1">
        <w:t>-Preis belastet werden</w:t>
      </w:r>
      <w:r w:rsidR="00717DFA" w:rsidRPr="00941865">
        <w:t xml:space="preserve">. Betroffen </w:t>
      </w:r>
      <w:r w:rsidR="00B74EAF">
        <w:t xml:space="preserve">sind damit </w:t>
      </w:r>
      <w:r w:rsidR="0055566B">
        <w:t>zunächst</w:t>
      </w:r>
      <w:r w:rsidR="00EC13B1">
        <w:t xml:space="preserve"> alle Industrieunternehmen </w:t>
      </w:r>
      <w:r w:rsidR="00B74EAF">
        <w:t>– v</w:t>
      </w:r>
      <w:r w:rsidR="00717DFA" w:rsidRPr="00941865">
        <w:t>on der Baustoffindustrie, über die Chemie</w:t>
      </w:r>
      <w:r w:rsidR="00FD731B">
        <w:t xml:space="preserve"> und Glasveredelung</w:t>
      </w:r>
      <w:r w:rsidR="00717DFA" w:rsidRPr="00941865">
        <w:t xml:space="preserve"> hin zu Keramik und der </w:t>
      </w:r>
      <w:r w:rsidR="00D517CF">
        <w:t>Metallverarbeitung</w:t>
      </w:r>
      <w:r w:rsidR="00EC13B1">
        <w:t xml:space="preserve"> – egal ob bereits vom EU-Emissionshandel erfasst oder nicht</w:t>
      </w:r>
      <w:r w:rsidR="00717DFA" w:rsidRPr="00941865">
        <w:t>.</w:t>
      </w:r>
      <w:r w:rsidR="00FF6542">
        <w:rPr>
          <w:highlight w:val="yellow"/>
        </w:rPr>
        <w:br w:type="page"/>
      </w:r>
    </w:p>
    <w:p w14:paraId="2723D534" w14:textId="4E0FF6D4" w:rsidR="001D3D0E" w:rsidRDefault="00EC13B1" w:rsidP="00FF5A60">
      <w:pPr>
        <w:rPr>
          <w:bCs/>
        </w:rPr>
      </w:pPr>
      <w:r>
        <w:rPr>
          <w:bCs/>
        </w:rPr>
        <w:lastRenderedPageBreak/>
        <w:t>Das Brennstoffemissionshandelsgesetz sieht in § 7 Abs. 5 vor, dass „</w:t>
      </w:r>
      <w:r w:rsidRPr="00EC13B1">
        <w:rPr>
          <w:bCs/>
        </w:rPr>
        <w:t xml:space="preserve">Doppelbelastungen infolge des Einsatzes von Brennstoffen in einer dem EU-Emissionshandel unterliegenden Anlage </w:t>
      </w:r>
      <w:r>
        <w:rPr>
          <w:bCs/>
        </w:rPr>
        <w:t xml:space="preserve">[…] </w:t>
      </w:r>
      <w:r w:rsidRPr="00EC13B1">
        <w:rPr>
          <w:bCs/>
        </w:rPr>
        <w:t>möglichst vorab zu vermeiden</w:t>
      </w:r>
      <w:r>
        <w:rPr>
          <w:bCs/>
        </w:rPr>
        <w:t>“ sind. Diese Klarstellung ist zu begrüßen, al</w:t>
      </w:r>
      <w:r w:rsidR="00511BA8">
        <w:rPr>
          <w:bCs/>
        </w:rPr>
        <w:t>lerdings muss sie nun</w:t>
      </w:r>
      <w:r>
        <w:rPr>
          <w:bCs/>
        </w:rPr>
        <w:t xml:space="preserve"> praxistauglich ausgestal</w:t>
      </w:r>
      <w:r w:rsidR="001D3D0E">
        <w:rPr>
          <w:bCs/>
        </w:rPr>
        <w:t>tet werden.</w:t>
      </w:r>
    </w:p>
    <w:p w14:paraId="18BA92C5" w14:textId="77777777" w:rsidR="001D3D0E" w:rsidRDefault="001D3D0E" w:rsidP="00FF5A60">
      <w:pPr>
        <w:rPr>
          <w:bCs/>
        </w:rPr>
      </w:pPr>
    </w:p>
    <w:p w14:paraId="6B3B1E6A" w14:textId="146B6536" w:rsidR="001D3D0E" w:rsidRDefault="001D3D0E" w:rsidP="00FF5A60">
      <w:pPr>
        <w:rPr>
          <w:color w:val="000000"/>
        </w:rPr>
      </w:pPr>
      <w:r>
        <w:rPr>
          <w:color w:val="000000"/>
        </w:rPr>
        <w:t xml:space="preserve">Der Brennstoffemissionshandel ist rechtlich als „Upstream“-System angelegt, bei dem nicht die Endenergieverbraucher Teilnehmer am Handelssystem sind, sondern die Erstenergielieferanten. Für die in § 7 Abs. 5 vorgesehene Vorab-Befreiung stellt dies zweifellos eine juristische Herausforderung dar. Nichtsdestotrotz muss diese bewältigt werden, denn ansonsten drohen </w:t>
      </w:r>
      <w:r w:rsidR="00E410DE">
        <w:rPr>
          <w:color w:val="000000"/>
        </w:rPr>
        <w:t>EU ETS</w:t>
      </w:r>
      <w:r>
        <w:rPr>
          <w:color w:val="000000"/>
        </w:rPr>
        <w:t xml:space="preserve">-Anlagen </w:t>
      </w:r>
      <w:r w:rsidR="0055566B">
        <w:rPr>
          <w:color w:val="000000"/>
        </w:rPr>
        <w:t xml:space="preserve">wettbewerbsgefährdende </w:t>
      </w:r>
      <w:r>
        <w:rPr>
          <w:color w:val="000000"/>
        </w:rPr>
        <w:t>Mehrkosten in Milliardenhöhe.</w:t>
      </w:r>
    </w:p>
    <w:p w14:paraId="4EA1F618" w14:textId="77777777" w:rsidR="001D3D0E" w:rsidRDefault="001D3D0E" w:rsidP="00FF5A60">
      <w:pPr>
        <w:rPr>
          <w:color w:val="000000"/>
        </w:rPr>
      </w:pPr>
    </w:p>
    <w:p w14:paraId="39ECB9D7" w14:textId="4B072165" w:rsidR="001D3D0E" w:rsidRDefault="003E3C02" w:rsidP="00FF5A60">
      <w:pPr>
        <w:rPr>
          <w:color w:val="000000"/>
        </w:rPr>
      </w:pPr>
      <w:r>
        <w:rPr>
          <w:color w:val="000000"/>
        </w:rPr>
        <w:t>Abbildung</w:t>
      </w:r>
      <w:r w:rsidR="001D3D0E">
        <w:rPr>
          <w:color w:val="000000"/>
        </w:rPr>
        <w:t xml:space="preserve"> 1 zeigt zunächst den theoretischen Fall einer Vollbelastung von </w:t>
      </w:r>
      <w:r w:rsidR="00E410DE">
        <w:rPr>
          <w:color w:val="000000"/>
        </w:rPr>
        <w:t>EU ETS</w:t>
      </w:r>
      <w:r w:rsidR="001D3D0E">
        <w:rPr>
          <w:color w:val="000000"/>
        </w:rPr>
        <w:t xml:space="preserve">-Brennstoffverbräuchen mit dem nationalen </w:t>
      </w:r>
      <w:r w:rsidR="001D3D0E" w:rsidRPr="001D3D0E">
        <w:rPr>
          <w:color w:val="000000"/>
        </w:rPr>
        <w:t>CO</w:t>
      </w:r>
      <w:r w:rsidR="001D3D0E" w:rsidRPr="001D3D0E">
        <w:rPr>
          <w:color w:val="000000"/>
          <w:vertAlign w:val="subscript"/>
        </w:rPr>
        <w:t>2</w:t>
      </w:r>
      <w:r w:rsidR="001D3D0E">
        <w:rPr>
          <w:color w:val="000000"/>
        </w:rPr>
        <w:t>-Preis. Durch die Einbeziehung von Kohle und sonstigen Brennstoffen erst ab 2023 ergibt sich hier ein deutlicher Sprung von anfangs 3-4 Milliarden Euro</w:t>
      </w:r>
      <w:r w:rsidR="00511BA8">
        <w:rPr>
          <w:color w:val="000000"/>
        </w:rPr>
        <w:t xml:space="preserve"> jährlich</w:t>
      </w:r>
      <w:r w:rsidR="001D3D0E">
        <w:rPr>
          <w:color w:val="000000"/>
        </w:rPr>
        <w:t xml:space="preserve"> auf dann 14 bis 22 Milliarden Euro</w:t>
      </w:r>
      <w:r w:rsidR="00511BA8">
        <w:rPr>
          <w:color w:val="000000"/>
        </w:rPr>
        <w:t xml:space="preserve"> jährlich</w:t>
      </w:r>
      <w:r w:rsidR="001D3D0E">
        <w:rPr>
          <w:color w:val="000000"/>
        </w:rPr>
        <w:t>.</w:t>
      </w:r>
      <w:r w:rsidR="00511BA8">
        <w:rPr>
          <w:color w:val="000000"/>
        </w:rPr>
        <w:t xml:space="preserve"> Dies entspricht von der Größenordnung her dem Umlagesystem nach dem EEG – jedoch nicht auf alle Stromkunden in Deutschland verteilt, sondern begrenzt allein auf die </w:t>
      </w:r>
      <w:r w:rsidR="00E410DE">
        <w:rPr>
          <w:color w:val="000000"/>
        </w:rPr>
        <w:t>EU ETS</w:t>
      </w:r>
      <w:r w:rsidR="00511BA8">
        <w:rPr>
          <w:color w:val="000000"/>
        </w:rPr>
        <w:t>-Industrieanlagen.</w:t>
      </w:r>
    </w:p>
    <w:p w14:paraId="7A061DDD" w14:textId="77777777" w:rsidR="001D3D0E" w:rsidRDefault="001D3D0E" w:rsidP="00FF5A60">
      <w:pPr>
        <w:rPr>
          <w:color w:val="000000"/>
        </w:rPr>
      </w:pPr>
    </w:p>
    <w:p w14:paraId="3AE771DB" w14:textId="77777777" w:rsidR="00DB1451" w:rsidRDefault="001D3D0E" w:rsidP="00DB1451">
      <w:pPr>
        <w:keepNext/>
      </w:pPr>
      <w:r>
        <w:rPr>
          <w:noProof/>
          <w:lang w:val="en-GB" w:eastAsia="en-GB"/>
        </w:rPr>
        <w:drawing>
          <wp:inline distT="0" distB="0" distL="0" distR="0" wp14:anchorId="2A0A3041" wp14:editId="6097DB29">
            <wp:extent cx="5400000" cy="2880000"/>
            <wp:effectExtent l="0" t="0" r="10795" b="15875"/>
            <wp:docPr id="2"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98EE75" w14:textId="0A270354" w:rsidR="001D3D0E" w:rsidRPr="00DB1451" w:rsidRDefault="00DB1451" w:rsidP="00DB1451">
      <w:pPr>
        <w:pStyle w:val="Beschriftung"/>
        <w:rPr>
          <w:color w:val="auto"/>
        </w:rPr>
      </w:pPr>
      <w:r w:rsidRPr="00DB1451">
        <w:rPr>
          <w:color w:val="auto"/>
        </w:rPr>
        <w:t xml:space="preserve">Abbildung </w:t>
      </w:r>
      <w:r w:rsidRPr="00DB1451">
        <w:rPr>
          <w:color w:val="auto"/>
        </w:rPr>
        <w:fldChar w:fldCharType="begin"/>
      </w:r>
      <w:r w:rsidRPr="00DB1451">
        <w:rPr>
          <w:color w:val="auto"/>
        </w:rPr>
        <w:instrText xml:space="preserve"> SEQ Abbildung \* ARABIC </w:instrText>
      </w:r>
      <w:r w:rsidRPr="00DB1451">
        <w:rPr>
          <w:color w:val="auto"/>
        </w:rPr>
        <w:fldChar w:fldCharType="separate"/>
      </w:r>
      <w:r w:rsidR="002747EF">
        <w:rPr>
          <w:noProof/>
          <w:color w:val="auto"/>
        </w:rPr>
        <w:t>1</w:t>
      </w:r>
      <w:r w:rsidRPr="00DB1451">
        <w:rPr>
          <w:color w:val="auto"/>
        </w:rPr>
        <w:fldChar w:fldCharType="end"/>
      </w:r>
      <w:r>
        <w:rPr>
          <w:color w:val="auto"/>
        </w:rPr>
        <w:t xml:space="preserve">. </w:t>
      </w:r>
      <w:r w:rsidRPr="00DB1451">
        <w:rPr>
          <w:b w:val="0"/>
          <w:color w:val="auto"/>
        </w:rPr>
        <w:t xml:space="preserve">Quelle: </w:t>
      </w:r>
      <w:r w:rsidR="00C047F7">
        <w:rPr>
          <w:b w:val="0"/>
          <w:color w:val="auto"/>
        </w:rPr>
        <w:t>Dr. Felix Matthes/Agora Energiewende 2019 (dort Tabelle 1)</w:t>
      </w:r>
      <w:r w:rsidRPr="00DB1451">
        <w:rPr>
          <w:b w:val="0"/>
          <w:color w:val="auto"/>
        </w:rPr>
        <w:t xml:space="preserve">; eigene Berechnungen. Zugrundeliegende </w:t>
      </w:r>
      <w:r w:rsidR="002818BE">
        <w:rPr>
          <w:b w:val="0"/>
          <w:color w:val="auto"/>
        </w:rPr>
        <w:t>Emissionsmengen</w:t>
      </w:r>
      <w:r w:rsidRPr="00DB1451">
        <w:rPr>
          <w:b w:val="0"/>
          <w:color w:val="auto"/>
        </w:rPr>
        <w:t>: siehe Annex.</w:t>
      </w:r>
    </w:p>
    <w:p w14:paraId="57B49A86" w14:textId="77777777" w:rsidR="001D3D0E" w:rsidRDefault="001D3D0E" w:rsidP="00FF5A60">
      <w:pPr>
        <w:rPr>
          <w:color w:val="000000"/>
        </w:rPr>
      </w:pPr>
    </w:p>
    <w:p w14:paraId="43C8413C" w14:textId="68A9510E" w:rsidR="00215DDA" w:rsidRPr="00215DDA" w:rsidRDefault="00215DDA" w:rsidP="00FF5A60">
      <w:pPr>
        <w:rPr>
          <w:b/>
          <w:color w:val="000000"/>
        </w:rPr>
      </w:pPr>
      <w:r w:rsidRPr="00215DDA">
        <w:rPr>
          <w:b/>
          <w:color w:val="000000"/>
        </w:rPr>
        <w:t xml:space="preserve">Ex post-Entlastung für </w:t>
      </w:r>
      <w:r w:rsidR="00E410DE">
        <w:rPr>
          <w:b/>
          <w:color w:val="000000"/>
        </w:rPr>
        <w:t>EU ETS</w:t>
      </w:r>
      <w:r w:rsidRPr="00215DDA">
        <w:rPr>
          <w:b/>
          <w:color w:val="000000"/>
        </w:rPr>
        <w:t>-Anlagen nicht geeignet</w:t>
      </w:r>
    </w:p>
    <w:p w14:paraId="2A4AF031" w14:textId="77777777" w:rsidR="00215DDA" w:rsidRDefault="00215DDA" w:rsidP="00FF5A60">
      <w:pPr>
        <w:rPr>
          <w:color w:val="000000"/>
        </w:rPr>
      </w:pPr>
    </w:p>
    <w:p w14:paraId="75E569BF" w14:textId="49441F59" w:rsidR="001D3D0E" w:rsidRDefault="001D3D0E" w:rsidP="00FF5A60">
      <w:pPr>
        <w:rPr>
          <w:color w:val="000000"/>
        </w:rPr>
      </w:pPr>
      <w:r>
        <w:rPr>
          <w:color w:val="000000"/>
        </w:rPr>
        <w:t xml:space="preserve">Selbst wenn – wie in § 11 Abs. 2 BEHG vorgesehen – eine vollständige nachträgliche Entlastung von </w:t>
      </w:r>
      <w:r w:rsidR="00E410DE">
        <w:rPr>
          <w:color w:val="000000"/>
        </w:rPr>
        <w:t>EU ETS</w:t>
      </w:r>
      <w:r>
        <w:rPr>
          <w:color w:val="000000"/>
        </w:rPr>
        <w:t xml:space="preserve">-Anlagen jeweils im Folgejahr umgesetzt wird, müssten die Unternehmen jährlich in erheblichem Umfang in Vorleistung gehen. Solange der </w:t>
      </w:r>
      <w:r w:rsidRPr="001D3D0E">
        <w:rPr>
          <w:color w:val="000000"/>
        </w:rPr>
        <w:t>CO</w:t>
      </w:r>
      <w:r w:rsidRPr="001D3D0E">
        <w:rPr>
          <w:color w:val="000000"/>
          <w:vertAlign w:val="subscript"/>
        </w:rPr>
        <w:t>2</w:t>
      </w:r>
      <w:r>
        <w:rPr>
          <w:color w:val="000000"/>
        </w:rPr>
        <w:t xml:space="preserve">-Preis steigt – was angesichts des festgelegten Preispfads und der </w:t>
      </w:r>
      <w:r w:rsidRPr="001D3D0E">
        <w:rPr>
          <w:color w:val="000000"/>
        </w:rPr>
        <w:t>CO</w:t>
      </w:r>
      <w:r w:rsidRPr="001D3D0E">
        <w:rPr>
          <w:color w:val="000000"/>
          <w:vertAlign w:val="subscript"/>
        </w:rPr>
        <w:t>2</w:t>
      </w:r>
      <w:r>
        <w:rPr>
          <w:color w:val="000000"/>
        </w:rPr>
        <w:t xml:space="preserve">-Vermeidungskosten in Sektoren wie Gebäude und Verkehr auf absehbare Zeit der Fall sein dürfte – </w:t>
      </w:r>
      <w:r w:rsidR="00511BA8">
        <w:rPr>
          <w:color w:val="000000"/>
        </w:rPr>
        <w:t xml:space="preserve">müssten die Unternehmen </w:t>
      </w:r>
      <w:r>
        <w:rPr>
          <w:color w:val="000000"/>
        </w:rPr>
        <w:t xml:space="preserve">trotz einer </w:t>
      </w:r>
      <w:r w:rsidR="0084478B">
        <w:rPr>
          <w:color w:val="000000"/>
        </w:rPr>
        <w:t xml:space="preserve">solchen </w:t>
      </w:r>
      <w:r>
        <w:rPr>
          <w:color w:val="000000"/>
        </w:rPr>
        <w:t xml:space="preserve">ex post-Erstattung </w:t>
      </w:r>
      <w:r w:rsidR="00D55E5A">
        <w:rPr>
          <w:color w:val="000000"/>
        </w:rPr>
        <w:t>jedes Jahr</w:t>
      </w:r>
      <w:r>
        <w:rPr>
          <w:color w:val="000000"/>
        </w:rPr>
        <w:t xml:space="preserve"> </w:t>
      </w:r>
      <w:r w:rsidR="0084478B">
        <w:rPr>
          <w:color w:val="000000"/>
        </w:rPr>
        <w:t xml:space="preserve">in Milliardenhöhe </w:t>
      </w:r>
      <w:r w:rsidR="00511BA8">
        <w:rPr>
          <w:color w:val="000000"/>
        </w:rPr>
        <w:t>in Vorleistung treten</w:t>
      </w:r>
      <w:r w:rsidR="0084478B">
        <w:rPr>
          <w:color w:val="000000"/>
        </w:rPr>
        <w:t xml:space="preserve">. Dieser </w:t>
      </w:r>
      <w:r w:rsidR="00511BA8">
        <w:rPr>
          <w:color w:val="000000"/>
        </w:rPr>
        <w:t xml:space="preserve">Liquiditätsentzug </w:t>
      </w:r>
      <w:r w:rsidR="0084478B">
        <w:rPr>
          <w:color w:val="000000"/>
        </w:rPr>
        <w:t xml:space="preserve">würde die Bilanzen erheblich belasten und </w:t>
      </w:r>
      <w:r w:rsidR="00D55E5A">
        <w:rPr>
          <w:color w:val="000000"/>
        </w:rPr>
        <w:t>hätte massive negative Auswirkungen auf Investitionen</w:t>
      </w:r>
      <w:r w:rsidR="0084478B">
        <w:rPr>
          <w:color w:val="000000"/>
        </w:rPr>
        <w:t xml:space="preserve">. </w:t>
      </w:r>
      <w:r w:rsidR="003E3C02">
        <w:rPr>
          <w:color w:val="000000"/>
        </w:rPr>
        <w:t>Abbildung</w:t>
      </w:r>
      <w:r w:rsidR="0084478B">
        <w:rPr>
          <w:color w:val="000000"/>
        </w:rPr>
        <w:t xml:space="preserve"> 2 zeigt den Umfang dieses jährlichen Liquiditätsentzugs für die deutsche Industrie, der </w:t>
      </w:r>
      <w:r w:rsidR="003E3C02">
        <w:rPr>
          <w:color w:val="000000"/>
        </w:rPr>
        <w:t>trotz</w:t>
      </w:r>
      <w:r w:rsidR="0084478B">
        <w:rPr>
          <w:color w:val="000000"/>
        </w:rPr>
        <w:t xml:space="preserve"> einer ex </w:t>
      </w:r>
      <w:r w:rsidR="001403BE">
        <w:rPr>
          <w:color w:val="000000"/>
        </w:rPr>
        <w:t>post-Erstattung entstehen würde.</w:t>
      </w:r>
    </w:p>
    <w:p w14:paraId="60AF010C" w14:textId="77777777" w:rsidR="0084478B" w:rsidRDefault="0084478B" w:rsidP="00FF5A60">
      <w:pPr>
        <w:rPr>
          <w:color w:val="000000"/>
        </w:rPr>
      </w:pPr>
    </w:p>
    <w:p w14:paraId="516128D5" w14:textId="77777777" w:rsidR="00DB1451" w:rsidRDefault="0084478B" w:rsidP="00DB1451">
      <w:pPr>
        <w:keepNext/>
      </w:pPr>
      <w:r>
        <w:rPr>
          <w:noProof/>
          <w:lang w:val="en-GB" w:eastAsia="en-GB"/>
        </w:rPr>
        <w:drawing>
          <wp:inline distT="0" distB="0" distL="0" distR="0" wp14:anchorId="6381820A" wp14:editId="063B4433">
            <wp:extent cx="5400000" cy="2880360"/>
            <wp:effectExtent l="0" t="0" r="10795" b="15240"/>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34F464" w14:textId="229D6099" w:rsidR="00EC13B1" w:rsidRPr="003E3C02" w:rsidRDefault="00DB1451" w:rsidP="003E3C02">
      <w:pPr>
        <w:pStyle w:val="Beschriftung"/>
        <w:rPr>
          <w:color w:val="auto"/>
        </w:rPr>
      </w:pPr>
      <w:r w:rsidRPr="00DB1451">
        <w:rPr>
          <w:color w:val="auto"/>
        </w:rPr>
        <w:t xml:space="preserve">Abbildung </w:t>
      </w:r>
      <w:r w:rsidRPr="00DB1451">
        <w:rPr>
          <w:color w:val="auto"/>
        </w:rPr>
        <w:fldChar w:fldCharType="begin"/>
      </w:r>
      <w:r w:rsidRPr="00DB1451">
        <w:rPr>
          <w:color w:val="auto"/>
        </w:rPr>
        <w:instrText xml:space="preserve"> SEQ Abbildung \* ARABIC </w:instrText>
      </w:r>
      <w:r w:rsidRPr="00DB1451">
        <w:rPr>
          <w:color w:val="auto"/>
        </w:rPr>
        <w:fldChar w:fldCharType="separate"/>
      </w:r>
      <w:r w:rsidR="002747EF">
        <w:rPr>
          <w:noProof/>
          <w:color w:val="auto"/>
        </w:rPr>
        <w:t>2</w:t>
      </w:r>
      <w:r w:rsidRPr="00DB1451">
        <w:rPr>
          <w:color w:val="auto"/>
        </w:rPr>
        <w:fldChar w:fldCharType="end"/>
      </w:r>
      <w:r>
        <w:rPr>
          <w:color w:val="auto"/>
        </w:rPr>
        <w:t>.</w:t>
      </w:r>
      <w:r w:rsidR="00C047F7">
        <w:rPr>
          <w:color w:val="auto"/>
        </w:rPr>
        <w:t xml:space="preserve"> </w:t>
      </w:r>
      <w:r w:rsidR="00C047F7" w:rsidRPr="00DB1451">
        <w:rPr>
          <w:b w:val="0"/>
          <w:color w:val="auto"/>
        </w:rPr>
        <w:t xml:space="preserve">Quelle: </w:t>
      </w:r>
      <w:r w:rsidR="00C047F7">
        <w:rPr>
          <w:b w:val="0"/>
          <w:color w:val="auto"/>
        </w:rPr>
        <w:t>Dr. Felix Matthes/Agora Energiewende 2019 (dort Tabelle 1)</w:t>
      </w:r>
      <w:r w:rsidRPr="00DB1451">
        <w:rPr>
          <w:b w:val="0"/>
          <w:color w:val="auto"/>
        </w:rPr>
        <w:t>; eigene Berechnungen.</w:t>
      </w:r>
      <w:r>
        <w:rPr>
          <w:b w:val="0"/>
          <w:color w:val="auto"/>
        </w:rPr>
        <w:t xml:space="preserve"> </w:t>
      </w:r>
      <w:r w:rsidR="006E5AE0">
        <w:rPr>
          <w:b w:val="0"/>
          <w:color w:val="auto"/>
        </w:rPr>
        <w:t>Rückerstattung aus Vorjahr jeweils abgezogen.</w:t>
      </w:r>
    </w:p>
    <w:p w14:paraId="28BE55F9" w14:textId="77777777" w:rsidR="001403BE" w:rsidRDefault="001403BE" w:rsidP="001403BE">
      <w:pPr>
        <w:rPr>
          <w:color w:val="000000"/>
        </w:rPr>
      </w:pPr>
    </w:p>
    <w:p w14:paraId="70773878" w14:textId="4AC55D42" w:rsidR="001403BE" w:rsidRDefault="001403BE" w:rsidP="001403BE">
      <w:pPr>
        <w:rPr>
          <w:color w:val="000000"/>
        </w:rPr>
      </w:pPr>
      <w:r>
        <w:rPr>
          <w:color w:val="000000"/>
        </w:rPr>
        <w:t xml:space="preserve">Darüber hinaus wären Ungenauigkeiten bei einer ex post-Erstattung, insbesondere ab Beginn der freien </w:t>
      </w:r>
      <w:r w:rsidRPr="001403BE">
        <w:rPr>
          <w:color w:val="000000"/>
        </w:rPr>
        <w:t>CO</w:t>
      </w:r>
      <w:r w:rsidRPr="001403BE">
        <w:rPr>
          <w:color w:val="000000"/>
          <w:vertAlign w:val="subscript"/>
        </w:rPr>
        <w:t>2</w:t>
      </w:r>
      <w:r>
        <w:rPr>
          <w:color w:val="000000"/>
        </w:rPr>
        <w:t xml:space="preserve">-Preisbildung in 2026, unvermeidlich (etwa bei Zugrundelegung eines durchschnittlichen </w:t>
      </w:r>
      <w:r w:rsidRPr="001403BE">
        <w:rPr>
          <w:color w:val="000000"/>
        </w:rPr>
        <w:t>CO</w:t>
      </w:r>
      <w:r w:rsidRPr="001403BE">
        <w:rPr>
          <w:color w:val="000000"/>
          <w:vertAlign w:val="subscript"/>
        </w:rPr>
        <w:t>2</w:t>
      </w:r>
      <w:r>
        <w:rPr>
          <w:color w:val="000000"/>
        </w:rPr>
        <w:t xml:space="preserve">-Preises). In Anbetracht des enormen Umfangs der in </w:t>
      </w:r>
      <w:r w:rsidR="00E410DE">
        <w:rPr>
          <w:color w:val="000000"/>
        </w:rPr>
        <w:t>EU ETS</w:t>
      </w:r>
      <w:r>
        <w:rPr>
          <w:color w:val="000000"/>
        </w:rPr>
        <w:t>-Anlagen eingesetzten Brennstoffmengen könnten selbst kleinste Ungenauigkeiten bei der Erstattung bereits zu erheblichen ungerechtfertigten Doppelbelastungen führen. Ein weiterer Nachteil der ex post-Erstattung wäre schon die reine Abwicklung von Zahlungsströmen in Milliardenhöhe, die jeweils im Folgejahr ohnehin zu einem Großteil wieder erstattet würden.</w:t>
      </w:r>
    </w:p>
    <w:p w14:paraId="1EF1CFD1" w14:textId="3DBE4DD5" w:rsidR="00C65A57" w:rsidRDefault="00C65A57" w:rsidP="00FF5A60"/>
    <w:p w14:paraId="71D36A16" w14:textId="1F63D9E0" w:rsidR="00215DDA" w:rsidRDefault="00215DDA" w:rsidP="00215DDA">
      <w:pPr>
        <w:rPr>
          <w:color w:val="000000"/>
        </w:rPr>
      </w:pPr>
      <w:r>
        <w:rPr>
          <w:color w:val="000000"/>
        </w:rPr>
        <w:t xml:space="preserve">Aus den oben genannten Gründen sollte eine ex post-Entlastung von </w:t>
      </w:r>
      <w:r w:rsidR="00E410DE">
        <w:rPr>
          <w:color w:val="000000"/>
        </w:rPr>
        <w:t>EU ETS</w:t>
      </w:r>
      <w:r>
        <w:rPr>
          <w:color w:val="000000"/>
        </w:rPr>
        <w:t xml:space="preserve">-Anlagen im nationalen Emissionshandelssystem – wie bereits in § 11 Abs. 2 </w:t>
      </w:r>
      <w:r w:rsidR="002818BE">
        <w:rPr>
          <w:color w:val="000000"/>
        </w:rPr>
        <w:t xml:space="preserve">BEHG </w:t>
      </w:r>
      <w:r>
        <w:rPr>
          <w:color w:val="000000"/>
        </w:rPr>
        <w:t xml:space="preserve">angelegt – nur als „Plan B“ für eine (möglichst sehr kleine) Anzahl von Fällen vorgesehen werden, bei denen die Vorab-Befreiung vom </w:t>
      </w:r>
      <w:r w:rsidRPr="001403BE">
        <w:rPr>
          <w:color w:val="000000"/>
        </w:rPr>
        <w:t>CO</w:t>
      </w:r>
      <w:r w:rsidRPr="001403BE">
        <w:rPr>
          <w:color w:val="000000"/>
          <w:vertAlign w:val="subscript"/>
        </w:rPr>
        <w:t>2</w:t>
      </w:r>
      <w:r>
        <w:rPr>
          <w:color w:val="000000"/>
        </w:rPr>
        <w:t xml:space="preserve">-Preis nicht möglich ist. Dies setzt jedoch voraus, dass für jede Brennstofflieferung zweifelsfrei feststehen muss, ob eine Vorab-Befreiung vom </w:t>
      </w:r>
      <w:r w:rsidRPr="001403BE">
        <w:rPr>
          <w:color w:val="000000"/>
        </w:rPr>
        <w:t>CO</w:t>
      </w:r>
      <w:r w:rsidRPr="001403BE">
        <w:rPr>
          <w:color w:val="000000"/>
          <w:vertAlign w:val="subscript"/>
        </w:rPr>
        <w:t>2</w:t>
      </w:r>
      <w:r>
        <w:rPr>
          <w:color w:val="000000"/>
        </w:rPr>
        <w:t xml:space="preserve">-Preis </w:t>
      </w:r>
      <w:r w:rsidR="00DF1A62">
        <w:rPr>
          <w:color w:val="000000"/>
        </w:rPr>
        <w:t>tatsächlich bereits</w:t>
      </w:r>
      <w:r>
        <w:rPr>
          <w:color w:val="000000"/>
        </w:rPr>
        <w:t xml:space="preserve"> erfolgt ist oder nicht</w:t>
      </w:r>
      <w:r w:rsidR="00D753D9">
        <w:rPr>
          <w:color w:val="000000"/>
        </w:rPr>
        <w:t xml:space="preserve"> (siehe auch Variante 2</w:t>
      </w:r>
      <w:r w:rsidR="00D55E5A">
        <w:rPr>
          <w:color w:val="000000"/>
        </w:rPr>
        <w:t xml:space="preserve"> unten)</w:t>
      </w:r>
      <w:r>
        <w:rPr>
          <w:color w:val="000000"/>
        </w:rPr>
        <w:t>.</w:t>
      </w:r>
    </w:p>
    <w:p w14:paraId="07661229" w14:textId="0EB782F0" w:rsidR="00690954" w:rsidRDefault="00690954">
      <w:r>
        <w:br w:type="page"/>
      </w:r>
    </w:p>
    <w:p w14:paraId="7BEC32F0" w14:textId="21A518B5" w:rsidR="004552D3" w:rsidRDefault="00D06B32" w:rsidP="003B0717">
      <w:pPr>
        <w:pStyle w:val="berschrift1"/>
      </w:pPr>
      <w:r>
        <w:lastRenderedPageBreak/>
        <w:t xml:space="preserve">Vorab-Befreiung von </w:t>
      </w:r>
      <w:r w:rsidR="00E410DE">
        <w:t>EU ETS</w:t>
      </w:r>
      <w:r>
        <w:t>-Anlagen vom nationalen CO</w:t>
      </w:r>
      <w:r w:rsidRPr="00A41681">
        <w:rPr>
          <w:vertAlign w:val="subscript"/>
        </w:rPr>
        <w:t>2</w:t>
      </w:r>
      <w:r>
        <w:t>-Preis</w:t>
      </w:r>
    </w:p>
    <w:p w14:paraId="716CD22B" w14:textId="76C7A8A4" w:rsidR="004552D3" w:rsidRDefault="004552D3" w:rsidP="00717DFA">
      <w:pPr>
        <w:rPr>
          <w:color w:val="000000"/>
        </w:rPr>
      </w:pPr>
    </w:p>
    <w:p w14:paraId="208CB631" w14:textId="168D8079" w:rsidR="00D06B32" w:rsidRDefault="00D06B32" w:rsidP="00D06B32">
      <w:pPr>
        <w:rPr>
          <w:color w:val="000000"/>
        </w:rPr>
      </w:pPr>
      <w:r>
        <w:rPr>
          <w:color w:val="000000"/>
        </w:rPr>
        <w:t xml:space="preserve">Aus der Konstruktion des Brennstoffemissionshandelsgesetzes ergeben sich bei der Vorab-Befreiung von </w:t>
      </w:r>
      <w:r w:rsidR="00E410DE">
        <w:rPr>
          <w:color w:val="000000"/>
        </w:rPr>
        <w:t>EU ETS</w:t>
      </w:r>
      <w:r>
        <w:rPr>
          <w:color w:val="000000"/>
        </w:rPr>
        <w:t>-Anlagen nach § 7 Abs. 5 BEHG einige Herausforderungen. Im Gegensatz zum europäischen Emissionshandel sind in der Regel nicht die Endenergieverbraucher die Verantwortlichen i. S. d. § 3 Nr. 3 B</w:t>
      </w:r>
      <w:r w:rsidR="0089234C">
        <w:rPr>
          <w:color w:val="000000"/>
        </w:rPr>
        <w:t>EHG</w:t>
      </w:r>
      <w:r>
        <w:rPr>
          <w:color w:val="000000"/>
        </w:rPr>
        <w:t xml:space="preserve"> und damit Teilnehmer des Handelssystems, sondern die Erstenergielieferanten. Zwischen Erstlieferant und Endenergieverbraucher können derweil zahlreiche Zwischenhändler liegen. Aus diesem Grund bezieht sich § 7 Abs. 5 BEHG insbesondere auf Fälle, in denen eine direkte Lieferbeziehung zwischen dem Verantwortlichen i. S. d. BEHG und der </w:t>
      </w:r>
      <w:r w:rsidR="00E410DE">
        <w:rPr>
          <w:color w:val="000000"/>
        </w:rPr>
        <w:t>EU ETS</w:t>
      </w:r>
      <w:r>
        <w:rPr>
          <w:color w:val="000000"/>
        </w:rPr>
        <w:t xml:space="preserve">-Anlagen vorliegt. </w:t>
      </w:r>
    </w:p>
    <w:p w14:paraId="63079470" w14:textId="77777777" w:rsidR="00D06B32" w:rsidRDefault="00D06B32" w:rsidP="00717DFA">
      <w:pPr>
        <w:rPr>
          <w:color w:val="000000"/>
        </w:rPr>
      </w:pPr>
    </w:p>
    <w:p w14:paraId="45130F1F" w14:textId="39EF224D" w:rsidR="006D132F" w:rsidRDefault="00EA12C2" w:rsidP="00717DFA">
      <w:pPr>
        <w:rPr>
          <w:color w:val="000000"/>
        </w:rPr>
      </w:pPr>
      <w:r>
        <w:rPr>
          <w:color w:val="000000"/>
        </w:rPr>
        <w:t>Grundsätzlich sind verschiedene Varianten zur Ausgestaltung eine</w:t>
      </w:r>
      <w:r w:rsidR="00D06B32">
        <w:rPr>
          <w:color w:val="000000"/>
        </w:rPr>
        <w:t xml:space="preserve">r </w:t>
      </w:r>
      <w:r w:rsidR="00690954">
        <w:rPr>
          <w:color w:val="000000"/>
        </w:rPr>
        <w:t>Vorab-</w:t>
      </w:r>
      <w:r w:rsidR="00D06B32">
        <w:rPr>
          <w:color w:val="000000"/>
        </w:rPr>
        <w:t xml:space="preserve">Befreiung von </w:t>
      </w:r>
      <w:r w:rsidR="00E410DE">
        <w:rPr>
          <w:color w:val="000000"/>
        </w:rPr>
        <w:t>EU ETS</w:t>
      </w:r>
      <w:r w:rsidR="00D06B32">
        <w:rPr>
          <w:color w:val="000000"/>
        </w:rPr>
        <w:t xml:space="preserve">-Anlagen </w:t>
      </w:r>
      <w:r w:rsidR="00690954">
        <w:rPr>
          <w:color w:val="000000"/>
        </w:rPr>
        <w:t>denkbar:</w:t>
      </w:r>
    </w:p>
    <w:p w14:paraId="4A79A118" w14:textId="77777777" w:rsidR="00690954" w:rsidRDefault="00690954" w:rsidP="00717DFA">
      <w:pPr>
        <w:rPr>
          <w:color w:val="000000"/>
        </w:rPr>
      </w:pPr>
    </w:p>
    <w:p w14:paraId="37260271" w14:textId="4D3F825C" w:rsidR="00690954" w:rsidRDefault="00690954" w:rsidP="00717DFA">
      <w:pPr>
        <w:rPr>
          <w:color w:val="000000"/>
        </w:rPr>
      </w:pPr>
      <w:r w:rsidRPr="00690954">
        <w:rPr>
          <w:color w:val="000000"/>
        </w:rPr>
        <w:t>Variante 1</w:t>
      </w:r>
      <w:r>
        <w:rPr>
          <w:color w:val="000000"/>
        </w:rPr>
        <w:t xml:space="preserve"> – Vorab-Befreiung im Rahmen individueller Verhandlungen über Lieferverträge</w:t>
      </w:r>
    </w:p>
    <w:p w14:paraId="30EFC80E" w14:textId="77E36E40" w:rsidR="00690954" w:rsidRPr="00690954" w:rsidRDefault="00690954" w:rsidP="00717DFA">
      <w:pPr>
        <w:rPr>
          <w:color w:val="000000"/>
        </w:rPr>
      </w:pPr>
      <w:r>
        <w:rPr>
          <w:color w:val="000000"/>
        </w:rPr>
        <w:t xml:space="preserve">Variante 2 – </w:t>
      </w:r>
      <w:r w:rsidRPr="00690954">
        <w:rPr>
          <w:color w:val="000000"/>
        </w:rPr>
        <w:t xml:space="preserve">Zuteilung an </w:t>
      </w:r>
      <w:r w:rsidR="00E410DE">
        <w:rPr>
          <w:color w:val="000000"/>
        </w:rPr>
        <w:t>EU ETS</w:t>
      </w:r>
      <w:r w:rsidRPr="00690954">
        <w:rPr>
          <w:color w:val="000000"/>
        </w:rPr>
        <w:t>-Anlagen</w:t>
      </w:r>
      <w:r>
        <w:rPr>
          <w:color w:val="000000"/>
        </w:rPr>
        <w:t xml:space="preserve"> in Höhe ihrer Brennstoffemissionen</w:t>
      </w:r>
    </w:p>
    <w:p w14:paraId="1C210CBE" w14:textId="667F042A" w:rsidR="00D753D9" w:rsidRDefault="00690954" w:rsidP="00717DFA">
      <w:pPr>
        <w:rPr>
          <w:color w:val="000000"/>
        </w:rPr>
      </w:pPr>
      <w:r>
        <w:rPr>
          <w:color w:val="000000"/>
        </w:rPr>
        <w:t xml:space="preserve">Variante 3 - </w:t>
      </w:r>
      <w:r w:rsidRPr="00690954">
        <w:rPr>
          <w:color w:val="000000"/>
        </w:rPr>
        <w:t xml:space="preserve">Wahlmöglichkeit für </w:t>
      </w:r>
      <w:r w:rsidR="00E410DE">
        <w:rPr>
          <w:color w:val="000000"/>
        </w:rPr>
        <w:t>EU ETS</w:t>
      </w:r>
      <w:r w:rsidRPr="00690954">
        <w:rPr>
          <w:color w:val="000000"/>
        </w:rPr>
        <w:t xml:space="preserve">-Werksstandorte zur direkten Teilnahme am </w:t>
      </w:r>
      <w:proofErr w:type="spellStart"/>
      <w:r w:rsidRPr="00690954">
        <w:rPr>
          <w:color w:val="000000"/>
        </w:rPr>
        <w:t>nEHS</w:t>
      </w:r>
      <w:proofErr w:type="spellEnd"/>
    </w:p>
    <w:p w14:paraId="0998B811" w14:textId="19BA0D34" w:rsidR="00D753D9" w:rsidRDefault="00D753D9" w:rsidP="00717DFA">
      <w:pPr>
        <w:rPr>
          <w:color w:val="000000"/>
        </w:rPr>
      </w:pPr>
    </w:p>
    <w:p w14:paraId="7B517846" w14:textId="2EF6BE47" w:rsidR="00690954" w:rsidRDefault="00690954" w:rsidP="00717DFA">
      <w:pPr>
        <w:rPr>
          <w:color w:val="000000"/>
        </w:rPr>
      </w:pPr>
      <w:r>
        <w:rPr>
          <w:color w:val="000000"/>
        </w:rPr>
        <w:t xml:space="preserve">Auf jede der Varianten wird im Folgenden eingegangen. Eine zusammenfassende Bewertung nach verschiedenen Kriterien findet sich in Abbildung 3. Die Kriterien sind im Einzelnen unter Variante 1 </w:t>
      </w:r>
      <w:r w:rsidR="004979BD">
        <w:rPr>
          <w:color w:val="000000"/>
        </w:rPr>
        <w:t xml:space="preserve">(siehe unten) </w:t>
      </w:r>
      <w:r>
        <w:rPr>
          <w:color w:val="000000"/>
        </w:rPr>
        <w:t>erläutert.</w:t>
      </w:r>
    </w:p>
    <w:p w14:paraId="714A6013" w14:textId="77777777" w:rsidR="00690954" w:rsidRDefault="00690954" w:rsidP="00717DFA">
      <w:pPr>
        <w:rPr>
          <w:color w:val="000000"/>
        </w:rPr>
      </w:pPr>
    </w:p>
    <w:p w14:paraId="6C813427" w14:textId="77777777" w:rsidR="00690954" w:rsidRDefault="00690954" w:rsidP="00690954">
      <w:pPr>
        <w:keepNext/>
      </w:pPr>
      <w:r>
        <w:rPr>
          <w:noProof/>
          <w:color w:val="000000"/>
          <w:lang w:val="en-GB" w:eastAsia="en-GB"/>
        </w:rPr>
        <w:drawing>
          <wp:inline distT="0" distB="0" distL="0" distR="0" wp14:anchorId="01140989" wp14:editId="0DB53225">
            <wp:extent cx="5798820" cy="1165272"/>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19689" cy="1169466"/>
                    </a:xfrm>
                    <a:prstGeom prst="rect">
                      <a:avLst/>
                    </a:prstGeom>
                    <a:noFill/>
                  </pic:spPr>
                </pic:pic>
              </a:graphicData>
            </a:graphic>
          </wp:inline>
        </w:drawing>
      </w:r>
    </w:p>
    <w:p w14:paraId="204BEBBE" w14:textId="36DB6B66" w:rsidR="00690954" w:rsidRPr="00690954" w:rsidRDefault="00690954" w:rsidP="00690954">
      <w:pPr>
        <w:pStyle w:val="Beschriftung"/>
        <w:rPr>
          <w:color w:val="auto"/>
        </w:rPr>
      </w:pPr>
      <w:r w:rsidRPr="00690954">
        <w:rPr>
          <w:color w:val="auto"/>
        </w:rPr>
        <w:t xml:space="preserve">Abbildung </w:t>
      </w:r>
      <w:r w:rsidRPr="00690954">
        <w:rPr>
          <w:color w:val="auto"/>
        </w:rPr>
        <w:fldChar w:fldCharType="begin"/>
      </w:r>
      <w:r w:rsidRPr="00690954">
        <w:rPr>
          <w:color w:val="auto"/>
        </w:rPr>
        <w:instrText xml:space="preserve"> SEQ Abbildung \* ARABIC </w:instrText>
      </w:r>
      <w:r w:rsidRPr="00690954">
        <w:rPr>
          <w:color w:val="auto"/>
        </w:rPr>
        <w:fldChar w:fldCharType="separate"/>
      </w:r>
      <w:r w:rsidR="002747EF">
        <w:rPr>
          <w:noProof/>
          <w:color w:val="auto"/>
        </w:rPr>
        <w:t>3</w:t>
      </w:r>
      <w:r w:rsidRPr="00690954">
        <w:rPr>
          <w:color w:val="auto"/>
        </w:rPr>
        <w:fldChar w:fldCharType="end"/>
      </w:r>
      <w:r w:rsidRPr="00690954">
        <w:rPr>
          <w:color w:val="auto"/>
        </w:rPr>
        <w:t>.</w:t>
      </w:r>
    </w:p>
    <w:p w14:paraId="3C505663" w14:textId="3403B822" w:rsidR="0000104E" w:rsidRDefault="0000104E" w:rsidP="00717DFA">
      <w:pPr>
        <w:rPr>
          <w:color w:val="000000"/>
        </w:rPr>
      </w:pPr>
    </w:p>
    <w:p w14:paraId="7008C18B" w14:textId="77777777" w:rsidR="00607234" w:rsidRDefault="00607234" w:rsidP="00717DFA">
      <w:pPr>
        <w:rPr>
          <w:color w:val="000000"/>
        </w:rPr>
      </w:pPr>
    </w:p>
    <w:p w14:paraId="48FE6342" w14:textId="746AEA3F" w:rsidR="00607234" w:rsidRDefault="00607234" w:rsidP="00717DFA">
      <w:pPr>
        <w:rPr>
          <w:b/>
          <w:bCs/>
          <w:color w:val="000000"/>
        </w:rPr>
      </w:pPr>
      <w:r w:rsidRPr="00607234">
        <w:rPr>
          <w:b/>
          <w:bCs/>
          <w:color w:val="000000"/>
        </w:rPr>
        <w:t>Variante 1</w:t>
      </w:r>
      <w:r w:rsidR="004F0FE5">
        <w:rPr>
          <w:b/>
          <w:bCs/>
          <w:color w:val="000000"/>
        </w:rPr>
        <w:t xml:space="preserve"> (nicht praxistauglich)</w:t>
      </w:r>
    </w:p>
    <w:p w14:paraId="55BA84C7" w14:textId="77777777" w:rsidR="00607234" w:rsidRPr="00607234" w:rsidRDefault="00607234" w:rsidP="00717DFA">
      <w:pPr>
        <w:rPr>
          <w:b/>
          <w:bCs/>
          <w:color w:val="000000"/>
        </w:rPr>
      </w:pPr>
    </w:p>
    <w:p w14:paraId="0DBBC2ED" w14:textId="37A786EB" w:rsidR="006D590B" w:rsidRPr="00607234" w:rsidRDefault="00607234" w:rsidP="00717DFA">
      <w:pPr>
        <w:rPr>
          <w:b/>
          <w:bCs/>
          <w:color w:val="000000"/>
          <w:u w:val="single"/>
        </w:rPr>
      </w:pPr>
      <w:r w:rsidRPr="00607234">
        <w:rPr>
          <w:b/>
          <w:bCs/>
          <w:color w:val="000000"/>
          <w:u w:val="single"/>
        </w:rPr>
        <w:t>Vorab-Befreiung im Rahmen i</w:t>
      </w:r>
      <w:r w:rsidR="0069373B" w:rsidRPr="00607234">
        <w:rPr>
          <w:b/>
          <w:bCs/>
          <w:color w:val="000000"/>
          <w:u w:val="single"/>
        </w:rPr>
        <w:t>ndiv</w:t>
      </w:r>
      <w:r w:rsidR="00DA7E3D" w:rsidRPr="00607234">
        <w:rPr>
          <w:b/>
          <w:bCs/>
          <w:color w:val="000000"/>
          <w:u w:val="single"/>
        </w:rPr>
        <w:t>iduelle</w:t>
      </w:r>
      <w:r w:rsidRPr="00607234">
        <w:rPr>
          <w:b/>
          <w:bCs/>
          <w:color w:val="000000"/>
          <w:u w:val="single"/>
        </w:rPr>
        <w:t>r</w:t>
      </w:r>
      <w:r w:rsidR="0055566B">
        <w:rPr>
          <w:b/>
          <w:bCs/>
          <w:color w:val="000000"/>
          <w:u w:val="single"/>
        </w:rPr>
        <w:t xml:space="preserve"> </w:t>
      </w:r>
      <w:r w:rsidR="00690954">
        <w:rPr>
          <w:b/>
          <w:bCs/>
          <w:color w:val="000000"/>
          <w:u w:val="single"/>
        </w:rPr>
        <w:t>Verhandlungen über Lieferverträge</w:t>
      </w:r>
    </w:p>
    <w:p w14:paraId="1AF5D321" w14:textId="77777777" w:rsidR="00607234" w:rsidRDefault="00607234" w:rsidP="00717DFA">
      <w:pPr>
        <w:rPr>
          <w:color w:val="000000"/>
        </w:rPr>
      </w:pPr>
    </w:p>
    <w:p w14:paraId="0EF68543" w14:textId="5ED500D2" w:rsidR="007726B5" w:rsidRDefault="00215DDA" w:rsidP="00717DFA">
      <w:pPr>
        <w:rPr>
          <w:color w:val="000000"/>
        </w:rPr>
      </w:pPr>
      <w:r>
        <w:rPr>
          <w:color w:val="000000"/>
        </w:rPr>
        <w:t>Vorstellbar wäre in der Theorie ein System, in dem der BEHG-Verantwort</w:t>
      </w:r>
      <w:r w:rsidR="007157F3">
        <w:rPr>
          <w:color w:val="000000"/>
        </w:rPr>
        <w:t xml:space="preserve">liche für Brennstoffe, die nachweislich in </w:t>
      </w:r>
      <w:r w:rsidR="00E410DE">
        <w:rPr>
          <w:color w:val="000000"/>
        </w:rPr>
        <w:t>EU ETS</w:t>
      </w:r>
      <w:r>
        <w:rPr>
          <w:color w:val="000000"/>
        </w:rPr>
        <w:t xml:space="preserve">-Anlagen </w:t>
      </w:r>
      <w:r w:rsidR="007157F3">
        <w:rPr>
          <w:color w:val="000000"/>
        </w:rPr>
        <w:t xml:space="preserve">eingesetzt wurden, </w:t>
      </w:r>
      <w:r>
        <w:rPr>
          <w:color w:val="000000"/>
        </w:rPr>
        <w:t xml:space="preserve">die entsprechenden Emissionen nicht an die </w:t>
      </w:r>
      <w:proofErr w:type="spellStart"/>
      <w:r>
        <w:rPr>
          <w:color w:val="000000"/>
        </w:rPr>
        <w:t>DEHSt</w:t>
      </w:r>
      <w:proofErr w:type="spellEnd"/>
      <w:r>
        <w:rPr>
          <w:color w:val="000000"/>
        </w:rPr>
        <w:t xml:space="preserve"> berichten muss. Folgerichtig </w:t>
      </w:r>
      <w:r w:rsidR="007157F3">
        <w:rPr>
          <w:color w:val="000000"/>
        </w:rPr>
        <w:t xml:space="preserve">muss </w:t>
      </w:r>
      <w:r>
        <w:rPr>
          <w:color w:val="000000"/>
        </w:rPr>
        <w:t>er für diese Mengen auch weniger nationale Emissionszertifikate kaufen und abgeben</w:t>
      </w:r>
      <w:r w:rsidR="007726B5">
        <w:rPr>
          <w:color w:val="000000"/>
        </w:rPr>
        <w:t xml:space="preserve"> und kann diesen </w:t>
      </w:r>
      <w:r w:rsidR="007726B5" w:rsidRPr="007726B5">
        <w:rPr>
          <w:color w:val="000000"/>
        </w:rPr>
        <w:t>CO</w:t>
      </w:r>
      <w:r w:rsidR="007726B5" w:rsidRPr="007726B5">
        <w:rPr>
          <w:color w:val="000000"/>
          <w:vertAlign w:val="subscript"/>
        </w:rPr>
        <w:t>2</w:t>
      </w:r>
      <w:r w:rsidR="007726B5">
        <w:rPr>
          <w:color w:val="000000"/>
        </w:rPr>
        <w:t xml:space="preserve">-Kostenvorteil an die entsprechenden </w:t>
      </w:r>
      <w:r w:rsidR="00E410DE">
        <w:rPr>
          <w:color w:val="000000"/>
        </w:rPr>
        <w:t>EU ETS</w:t>
      </w:r>
      <w:r w:rsidR="007726B5">
        <w:rPr>
          <w:color w:val="000000"/>
        </w:rPr>
        <w:t>-Anlagen weiterreichen</w:t>
      </w:r>
      <w:r>
        <w:rPr>
          <w:color w:val="000000"/>
        </w:rPr>
        <w:t>.</w:t>
      </w:r>
      <w:r w:rsidR="007157F3">
        <w:rPr>
          <w:color w:val="000000"/>
        </w:rPr>
        <w:t xml:space="preserve"> </w:t>
      </w:r>
      <w:r w:rsidR="007726B5">
        <w:rPr>
          <w:color w:val="000000"/>
        </w:rPr>
        <w:t xml:space="preserve">Im Grundsatz ist ein solches System bereits im § 7 Abs. 5 BEHG vorgesehen. </w:t>
      </w:r>
      <w:r w:rsidR="007157F3">
        <w:rPr>
          <w:color w:val="000000"/>
        </w:rPr>
        <w:t>Voraussetzung ist jedoch ein zweifelsfreier Nachweis über den Einsatz der Brennstoffe</w:t>
      </w:r>
      <w:r>
        <w:rPr>
          <w:color w:val="000000"/>
        </w:rPr>
        <w:t xml:space="preserve"> </w:t>
      </w:r>
      <w:r w:rsidR="007157F3">
        <w:rPr>
          <w:color w:val="000000"/>
        </w:rPr>
        <w:t xml:space="preserve">in einer </w:t>
      </w:r>
      <w:r w:rsidR="00E410DE">
        <w:rPr>
          <w:color w:val="000000"/>
        </w:rPr>
        <w:t>EU ETS</w:t>
      </w:r>
      <w:r w:rsidR="007157F3">
        <w:rPr>
          <w:color w:val="000000"/>
        </w:rPr>
        <w:t xml:space="preserve">-Anlage. Damit die Entlastung vorab gelingen kann, muss dieser Nachweis </w:t>
      </w:r>
      <w:r w:rsidR="007726B5">
        <w:rPr>
          <w:color w:val="000000"/>
        </w:rPr>
        <w:t xml:space="preserve">zudem </w:t>
      </w:r>
      <w:r w:rsidR="007157F3">
        <w:rPr>
          <w:color w:val="000000"/>
        </w:rPr>
        <w:t xml:space="preserve">bereits zum Zeitpunkt der Brennstofflieferung erbracht werden können. </w:t>
      </w:r>
      <w:r w:rsidR="007726B5">
        <w:rPr>
          <w:color w:val="000000"/>
        </w:rPr>
        <w:t>Wie ein solcher Nachweis aussehen kann, ist bislang nicht geklärt.</w:t>
      </w:r>
    </w:p>
    <w:p w14:paraId="3444B506" w14:textId="77777777" w:rsidR="007726B5" w:rsidRDefault="007726B5" w:rsidP="00717DFA">
      <w:pPr>
        <w:rPr>
          <w:color w:val="000000"/>
        </w:rPr>
      </w:pPr>
    </w:p>
    <w:p w14:paraId="496D5AF4" w14:textId="2671997E" w:rsidR="006D590B" w:rsidRDefault="007726B5" w:rsidP="00717DFA">
      <w:pPr>
        <w:rPr>
          <w:color w:val="000000"/>
        </w:rPr>
      </w:pPr>
      <w:r>
        <w:rPr>
          <w:color w:val="000000"/>
        </w:rPr>
        <w:t xml:space="preserve">Dieses System, das eine Doppelbelastung von </w:t>
      </w:r>
      <w:r w:rsidR="00E410DE">
        <w:rPr>
          <w:color w:val="000000"/>
        </w:rPr>
        <w:t>EU ETS</w:t>
      </w:r>
      <w:r>
        <w:rPr>
          <w:color w:val="000000"/>
        </w:rPr>
        <w:t xml:space="preserve">-Anlagen verhindern soll, setzt allerdings nicht bei </w:t>
      </w:r>
      <w:r w:rsidR="00E410DE">
        <w:rPr>
          <w:color w:val="000000"/>
        </w:rPr>
        <w:t>EU ETS</w:t>
      </w:r>
      <w:r>
        <w:rPr>
          <w:color w:val="000000"/>
        </w:rPr>
        <w:t>-Anlagen an, sondern bei den BEHG-Verantwortlichen</w:t>
      </w:r>
      <w:r w:rsidR="002747EF">
        <w:rPr>
          <w:color w:val="000000"/>
        </w:rPr>
        <w:t xml:space="preserve"> (siehe </w:t>
      </w:r>
      <w:r w:rsidR="002747EF">
        <w:rPr>
          <w:color w:val="000000"/>
        </w:rPr>
        <w:lastRenderedPageBreak/>
        <w:t>Abbildung 4)</w:t>
      </w:r>
      <w:r>
        <w:rPr>
          <w:color w:val="000000"/>
        </w:rPr>
        <w:t xml:space="preserve">. </w:t>
      </w:r>
      <w:r w:rsidR="00E028F6">
        <w:rPr>
          <w:color w:val="000000"/>
        </w:rPr>
        <w:t xml:space="preserve">Hieraus ergeben sich </w:t>
      </w:r>
      <w:r>
        <w:rPr>
          <w:color w:val="000000"/>
        </w:rPr>
        <w:t xml:space="preserve">in der Praxis viele Probleme, die die Wirksamkeit des Systems in Frage stellen. </w:t>
      </w:r>
      <w:r w:rsidR="0089234C">
        <w:rPr>
          <w:color w:val="000000"/>
        </w:rPr>
        <w:t>Zudem</w:t>
      </w:r>
      <w:r w:rsidR="00215DDA">
        <w:rPr>
          <w:color w:val="000000"/>
        </w:rPr>
        <w:t xml:space="preserve"> birgt ein solches System </w:t>
      </w:r>
      <w:r w:rsidR="00A238C4">
        <w:rPr>
          <w:color w:val="000000"/>
        </w:rPr>
        <w:t>erhebliche</w:t>
      </w:r>
      <w:r w:rsidR="0089234C">
        <w:rPr>
          <w:color w:val="000000"/>
        </w:rPr>
        <w:t xml:space="preserve"> </w:t>
      </w:r>
      <w:r w:rsidR="00A238C4">
        <w:rPr>
          <w:color w:val="000000"/>
        </w:rPr>
        <w:t>Fehlanreize</w:t>
      </w:r>
      <w:r w:rsidR="00215DDA">
        <w:rPr>
          <w:color w:val="000000"/>
        </w:rPr>
        <w:t>.</w:t>
      </w:r>
    </w:p>
    <w:p w14:paraId="1B897E21" w14:textId="77777777" w:rsidR="00215DDA" w:rsidRDefault="00215DDA" w:rsidP="00717DFA">
      <w:pPr>
        <w:rPr>
          <w:color w:val="000000"/>
        </w:rPr>
      </w:pPr>
    </w:p>
    <w:p w14:paraId="786BD34A" w14:textId="68EE1082" w:rsidR="00873D4D" w:rsidRDefault="00DF1A62" w:rsidP="0089234C">
      <w:pPr>
        <w:pStyle w:val="Listenabsatz"/>
        <w:numPr>
          <w:ilvl w:val="0"/>
          <w:numId w:val="5"/>
        </w:numPr>
        <w:ind w:left="284" w:hanging="284"/>
        <w:rPr>
          <w:b/>
          <w:color w:val="000000"/>
        </w:rPr>
      </w:pPr>
      <w:r>
        <w:rPr>
          <w:b/>
          <w:color w:val="000000"/>
        </w:rPr>
        <w:t>Risiko von Windfall-Profits für Brennstofflieferanten</w:t>
      </w:r>
      <w:r w:rsidR="006D38E5">
        <w:rPr>
          <w:b/>
          <w:color w:val="000000"/>
        </w:rPr>
        <w:t xml:space="preserve"> zulasten von </w:t>
      </w:r>
      <w:r w:rsidR="00E410DE">
        <w:rPr>
          <w:b/>
          <w:color w:val="000000"/>
        </w:rPr>
        <w:t>EU ETS</w:t>
      </w:r>
      <w:r w:rsidR="006D38E5">
        <w:rPr>
          <w:b/>
          <w:color w:val="000000"/>
        </w:rPr>
        <w:t>-Anlagen</w:t>
      </w:r>
      <w:r w:rsidR="00C047F7">
        <w:rPr>
          <w:b/>
          <w:color w:val="000000"/>
        </w:rPr>
        <w:br/>
      </w:r>
      <w:r w:rsidR="00E028F6">
        <w:rPr>
          <w:color w:val="000000"/>
        </w:rPr>
        <w:t>I</w:t>
      </w:r>
      <w:r w:rsidR="00855BEE">
        <w:rPr>
          <w:color w:val="000000"/>
        </w:rPr>
        <w:t xml:space="preserve">n § 7 Abs. 5 BEHG </w:t>
      </w:r>
      <w:r w:rsidR="00E028F6">
        <w:rPr>
          <w:color w:val="000000"/>
        </w:rPr>
        <w:t xml:space="preserve">liegt der </w:t>
      </w:r>
      <w:r w:rsidR="00E028F6" w:rsidRPr="00E028F6">
        <w:rPr>
          <w:color w:val="000000"/>
        </w:rPr>
        <w:t>CO</w:t>
      </w:r>
      <w:r w:rsidR="00E028F6" w:rsidRPr="00E028F6">
        <w:rPr>
          <w:color w:val="000000"/>
          <w:vertAlign w:val="subscript"/>
        </w:rPr>
        <w:t>2</w:t>
      </w:r>
      <w:r w:rsidR="00E028F6">
        <w:rPr>
          <w:color w:val="000000"/>
        </w:rPr>
        <w:t xml:space="preserve">-Kostenvorteil zunächst einmal beim </w:t>
      </w:r>
      <w:r w:rsidR="00855BEE">
        <w:rPr>
          <w:color w:val="000000"/>
        </w:rPr>
        <w:t>BEHG-Verantwortliche</w:t>
      </w:r>
      <w:r w:rsidR="00E028F6">
        <w:rPr>
          <w:color w:val="000000"/>
        </w:rPr>
        <w:t>n. Es wird davon ausgegangen, dass dieser</w:t>
      </w:r>
      <w:r w:rsidR="00855BEE">
        <w:rPr>
          <w:color w:val="000000"/>
        </w:rPr>
        <w:t xml:space="preserve"> einen wettbewerblichen Anreiz hat, </w:t>
      </w:r>
      <w:r w:rsidR="0089234C">
        <w:rPr>
          <w:color w:val="000000"/>
        </w:rPr>
        <w:t xml:space="preserve">seinen </w:t>
      </w:r>
      <w:r w:rsidR="0089234C" w:rsidRPr="0089234C">
        <w:rPr>
          <w:color w:val="000000"/>
        </w:rPr>
        <w:t>CO</w:t>
      </w:r>
      <w:r w:rsidR="0089234C" w:rsidRPr="0089234C">
        <w:rPr>
          <w:color w:val="000000"/>
          <w:vertAlign w:val="subscript"/>
        </w:rPr>
        <w:t>2</w:t>
      </w:r>
      <w:r w:rsidR="0089234C">
        <w:rPr>
          <w:color w:val="000000"/>
        </w:rPr>
        <w:t>-</w:t>
      </w:r>
      <w:r w:rsidR="00855BEE">
        <w:rPr>
          <w:color w:val="000000"/>
        </w:rPr>
        <w:t xml:space="preserve">Kostenvorteil bei der Beschaffung von nationalen Emissionszertifikaten an </w:t>
      </w:r>
      <w:r w:rsidR="0089234C">
        <w:rPr>
          <w:color w:val="000000"/>
        </w:rPr>
        <w:t xml:space="preserve">die </w:t>
      </w:r>
      <w:r w:rsidR="00E410DE">
        <w:rPr>
          <w:color w:val="000000"/>
        </w:rPr>
        <w:t>EU ETS</w:t>
      </w:r>
      <w:r w:rsidR="0089234C">
        <w:rPr>
          <w:color w:val="000000"/>
        </w:rPr>
        <w:t>-Anlage weiterzureichen.</w:t>
      </w:r>
    </w:p>
    <w:p w14:paraId="383C45AD" w14:textId="77777777" w:rsidR="00873D4D" w:rsidRDefault="00873D4D" w:rsidP="00873D4D">
      <w:pPr>
        <w:pStyle w:val="Listenabsatz"/>
        <w:ind w:left="284"/>
        <w:rPr>
          <w:b/>
          <w:color w:val="000000"/>
        </w:rPr>
      </w:pPr>
    </w:p>
    <w:p w14:paraId="4B3677FC" w14:textId="74EDE957" w:rsidR="00873D4D" w:rsidRDefault="0089234C" w:rsidP="00873D4D">
      <w:pPr>
        <w:pStyle w:val="Listenabsatz"/>
        <w:ind w:left="284"/>
        <w:rPr>
          <w:color w:val="000000"/>
        </w:rPr>
      </w:pPr>
      <w:r>
        <w:rPr>
          <w:b/>
          <w:color w:val="000000"/>
        </w:rPr>
        <w:t xml:space="preserve">Erstens </w:t>
      </w:r>
      <w:r w:rsidRPr="0089234C">
        <w:rPr>
          <w:color w:val="000000"/>
        </w:rPr>
        <w:t>setzt dies voraus</w:t>
      </w:r>
      <w:r w:rsidR="00C047F7" w:rsidRPr="0089234C">
        <w:rPr>
          <w:color w:val="000000"/>
        </w:rPr>
        <w:t xml:space="preserve">, dass </w:t>
      </w:r>
      <w:r w:rsidR="00E028F6">
        <w:rPr>
          <w:color w:val="000000"/>
        </w:rPr>
        <w:t xml:space="preserve">die </w:t>
      </w:r>
      <w:r w:rsidR="00E410DE">
        <w:rPr>
          <w:color w:val="000000"/>
        </w:rPr>
        <w:t>EU ETS</w:t>
      </w:r>
      <w:r w:rsidR="00E028F6">
        <w:rPr>
          <w:color w:val="000000"/>
        </w:rPr>
        <w:t>-Anlage</w:t>
      </w:r>
      <w:r>
        <w:rPr>
          <w:color w:val="000000"/>
        </w:rPr>
        <w:t xml:space="preserve"> zwischen vielen </w:t>
      </w:r>
      <w:r w:rsidR="00C047F7" w:rsidRPr="0089234C">
        <w:rPr>
          <w:color w:val="000000"/>
        </w:rPr>
        <w:t xml:space="preserve">Brennstofflieferanten </w:t>
      </w:r>
      <w:r>
        <w:rPr>
          <w:color w:val="000000"/>
        </w:rPr>
        <w:t xml:space="preserve">wählen kann. Falls ein Lieferant seinen </w:t>
      </w:r>
      <w:r w:rsidRPr="0089234C">
        <w:rPr>
          <w:color w:val="000000"/>
        </w:rPr>
        <w:t>CO</w:t>
      </w:r>
      <w:r w:rsidRPr="0089234C">
        <w:rPr>
          <w:color w:val="000000"/>
          <w:vertAlign w:val="subscript"/>
        </w:rPr>
        <w:t>2</w:t>
      </w:r>
      <w:r>
        <w:rPr>
          <w:color w:val="000000"/>
        </w:rPr>
        <w:t xml:space="preserve">-Kostenvorteil nicht </w:t>
      </w:r>
      <w:r w:rsidR="00E028F6">
        <w:rPr>
          <w:color w:val="000000"/>
        </w:rPr>
        <w:t xml:space="preserve">vollständig </w:t>
      </w:r>
      <w:r>
        <w:rPr>
          <w:color w:val="000000"/>
        </w:rPr>
        <w:t xml:space="preserve">weiterreichen möchte, könnte die </w:t>
      </w:r>
      <w:r w:rsidR="00E410DE">
        <w:rPr>
          <w:color w:val="000000"/>
        </w:rPr>
        <w:t>EU ETS</w:t>
      </w:r>
      <w:r>
        <w:rPr>
          <w:color w:val="000000"/>
        </w:rPr>
        <w:t>-Anlage so ihre Brennstoffmengen stattdessen von einem Konkurrenten beschaffen</w:t>
      </w:r>
      <w:r w:rsidR="00C047F7" w:rsidRPr="0089234C">
        <w:rPr>
          <w:color w:val="000000"/>
        </w:rPr>
        <w:t xml:space="preserve">. </w:t>
      </w:r>
      <w:r w:rsidR="00664695" w:rsidRPr="0089234C">
        <w:rPr>
          <w:color w:val="000000"/>
        </w:rPr>
        <w:t>Etwa im Falle von Braunkohle</w:t>
      </w:r>
      <w:r w:rsidR="00C047F7" w:rsidRPr="0089234C">
        <w:rPr>
          <w:color w:val="000000"/>
        </w:rPr>
        <w:t xml:space="preserve"> </w:t>
      </w:r>
      <w:r>
        <w:rPr>
          <w:color w:val="000000"/>
        </w:rPr>
        <w:t xml:space="preserve">(~ 37% der </w:t>
      </w:r>
      <w:r w:rsidR="00E410DE">
        <w:rPr>
          <w:color w:val="000000"/>
        </w:rPr>
        <w:t>EU ETS</w:t>
      </w:r>
      <w:r>
        <w:rPr>
          <w:color w:val="000000"/>
        </w:rPr>
        <w:t xml:space="preserve">-Brennstoffemissionen) </w:t>
      </w:r>
      <w:r w:rsidR="00C047F7" w:rsidRPr="0089234C">
        <w:rPr>
          <w:color w:val="000000"/>
        </w:rPr>
        <w:t xml:space="preserve">beschränkt sich der Markt in Deutschland </w:t>
      </w:r>
      <w:r>
        <w:rPr>
          <w:color w:val="000000"/>
        </w:rPr>
        <w:t xml:space="preserve">jedoch </w:t>
      </w:r>
      <w:r w:rsidR="00C047F7" w:rsidRPr="0089234C">
        <w:rPr>
          <w:color w:val="000000"/>
        </w:rPr>
        <w:t xml:space="preserve">auf </w:t>
      </w:r>
      <w:r w:rsidRPr="0089234C">
        <w:rPr>
          <w:color w:val="000000"/>
        </w:rPr>
        <w:t xml:space="preserve">nur </w:t>
      </w:r>
      <w:r w:rsidR="00C047F7" w:rsidRPr="0089234C">
        <w:rPr>
          <w:color w:val="000000"/>
        </w:rPr>
        <w:t>drei Anbieter (Öko-Institut 2017).</w:t>
      </w:r>
      <w:r>
        <w:rPr>
          <w:color w:val="000000"/>
        </w:rPr>
        <w:t xml:space="preserve"> </w:t>
      </w:r>
      <w:r w:rsidR="00A238C4">
        <w:rPr>
          <w:color w:val="000000"/>
        </w:rPr>
        <w:t>Es ist mindestens</w:t>
      </w:r>
      <w:r>
        <w:rPr>
          <w:color w:val="000000"/>
        </w:rPr>
        <w:t xml:space="preserve"> zweifelhaft, ob </w:t>
      </w:r>
      <w:r w:rsidR="00873D4D">
        <w:rPr>
          <w:color w:val="000000"/>
        </w:rPr>
        <w:t xml:space="preserve">Lieferanten in einer solchen Konstellation einen  ausreichenden </w:t>
      </w:r>
      <w:r>
        <w:rPr>
          <w:color w:val="000000"/>
        </w:rPr>
        <w:t>wettbewerbliche</w:t>
      </w:r>
      <w:r w:rsidR="00873D4D">
        <w:rPr>
          <w:color w:val="000000"/>
        </w:rPr>
        <w:t>n</w:t>
      </w:r>
      <w:r>
        <w:rPr>
          <w:color w:val="000000"/>
        </w:rPr>
        <w:t xml:space="preserve"> Anreiz </w:t>
      </w:r>
      <w:r w:rsidR="00873D4D">
        <w:rPr>
          <w:color w:val="000000"/>
        </w:rPr>
        <w:t xml:space="preserve">haben, ihren </w:t>
      </w:r>
      <w:r w:rsidRPr="0089234C">
        <w:rPr>
          <w:color w:val="000000"/>
        </w:rPr>
        <w:t>CO</w:t>
      </w:r>
      <w:r w:rsidRPr="0089234C">
        <w:rPr>
          <w:color w:val="000000"/>
          <w:vertAlign w:val="subscript"/>
        </w:rPr>
        <w:t>2</w:t>
      </w:r>
      <w:r w:rsidR="00873D4D">
        <w:rPr>
          <w:color w:val="000000"/>
        </w:rPr>
        <w:t>-Kostenvorteil</w:t>
      </w:r>
      <w:r>
        <w:rPr>
          <w:color w:val="000000"/>
        </w:rPr>
        <w:t xml:space="preserve"> </w:t>
      </w:r>
      <w:r w:rsidR="00873D4D">
        <w:rPr>
          <w:color w:val="000000"/>
        </w:rPr>
        <w:t xml:space="preserve">tatsächlich </w:t>
      </w:r>
      <w:r w:rsidR="00E028F6">
        <w:rPr>
          <w:color w:val="000000"/>
        </w:rPr>
        <w:t xml:space="preserve">vollständig </w:t>
      </w:r>
      <w:r w:rsidR="00873D4D">
        <w:rPr>
          <w:color w:val="000000"/>
        </w:rPr>
        <w:t xml:space="preserve">an die </w:t>
      </w:r>
      <w:r w:rsidR="00E410DE">
        <w:rPr>
          <w:color w:val="000000"/>
        </w:rPr>
        <w:t>EU ETS</w:t>
      </w:r>
      <w:r w:rsidR="00873D4D">
        <w:rPr>
          <w:color w:val="000000"/>
        </w:rPr>
        <w:t>-Anlage weiterzureichen.</w:t>
      </w:r>
    </w:p>
    <w:p w14:paraId="7B49D19D" w14:textId="77777777" w:rsidR="00873D4D" w:rsidRDefault="00873D4D" w:rsidP="00855BEE">
      <w:pPr>
        <w:pStyle w:val="Listenabsatz"/>
        <w:ind w:left="284"/>
        <w:rPr>
          <w:b/>
          <w:color w:val="000000"/>
        </w:rPr>
      </w:pPr>
    </w:p>
    <w:p w14:paraId="56F93A6C" w14:textId="792FB70B" w:rsidR="00873D4D" w:rsidRDefault="00873D4D" w:rsidP="00855BEE">
      <w:pPr>
        <w:pStyle w:val="Listenabsatz"/>
        <w:ind w:left="284"/>
        <w:rPr>
          <w:b/>
          <w:color w:val="000000"/>
        </w:rPr>
      </w:pPr>
      <w:r w:rsidRPr="00873D4D">
        <w:rPr>
          <w:b/>
          <w:color w:val="000000"/>
        </w:rPr>
        <w:t>Zweitens</w:t>
      </w:r>
      <w:r>
        <w:rPr>
          <w:color w:val="000000"/>
        </w:rPr>
        <w:t xml:space="preserve"> wird vorausgesetzt</w:t>
      </w:r>
      <w:r w:rsidR="00664695" w:rsidRPr="0089234C">
        <w:rPr>
          <w:color w:val="000000"/>
        </w:rPr>
        <w:t xml:space="preserve">, dass Brennstofflieferanten </w:t>
      </w:r>
      <w:r>
        <w:rPr>
          <w:color w:val="000000"/>
        </w:rPr>
        <w:t xml:space="preserve">ihren </w:t>
      </w:r>
      <w:r w:rsidRPr="00873D4D">
        <w:rPr>
          <w:color w:val="000000"/>
        </w:rPr>
        <w:t>CO</w:t>
      </w:r>
      <w:r w:rsidRPr="00873D4D">
        <w:rPr>
          <w:color w:val="000000"/>
          <w:vertAlign w:val="subscript"/>
        </w:rPr>
        <w:t>2</w:t>
      </w:r>
      <w:r>
        <w:rPr>
          <w:color w:val="000000"/>
        </w:rPr>
        <w:t>-</w:t>
      </w:r>
      <w:r w:rsidR="00664695" w:rsidRPr="0089234C">
        <w:rPr>
          <w:color w:val="000000"/>
        </w:rPr>
        <w:t xml:space="preserve">Kostenvorteil exklusiv an </w:t>
      </w:r>
      <w:r w:rsidR="00E410DE">
        <w:rPr>
          <w:color w:val="000000"/>
        </w:rPr>
        <w:t>EU ETS</w:t>
      </w:r>
      <w:r w:rsidR="00664695" w:rsidRPr="0089234C">
        <w:rPr>
          <w:color w:val="000000"/>
        </w:rPr>
        <w:t xml:space="preserve">-Anlagen weiterreichen. Auch dies ist keinesfalls </w:t>
      </w:r>
      <w:r>
        <w:rPr>
          <w:color w:val="000000"/>
        </w:rPr>
        <w:t>selbstverständlich</w:t>
      </w:r>
      <w:r w:rsidR="00664695" w:rsidRPr="0089234C">
        <w:rPr>
          <w:color w:val="000000"/>
        </w:rPr>
        <w:t xml:space="preserve">. Vielmehr könnten Brennstofflieferanten </w:t>
      </w:r>
      <w:r w:rsidR="00855BEE" w:rsidRPr="0089234C">
        <w:rPr>
          <w:color w:val="000000"/>
        </w:rPr>
        <w:t xml:space="preserve">im Wettbewerb </w:t>
      </w:r>
      <w:r w:rsidR="00664695" w:rsidRPr="0089234C">
        <w:rPr>
          <w:color w:val="000000"/>
        </w:rPr>
        <w:t>Anreize haben, diesen Kostenvorteil auf alle Kunden zu verteilen.</w:t>
      </w:r>
      <w:r w:rsidR="00855BEE" w:rsidRPr="0089234C">
        <w:rPr>
          <w:color w:val="000000"/>
        </w:rPr>
        <w:t xml:space="preserve"> </w:t>
      </w:r>
      <w:r w:rsidR="00E410DE">
        <w:rPr>
          <w:color w:val="000000"/>
        </w:rPr>
        <w:t>EU ETS</w:t>
      </w:r>
      <w:r w:rsidR="00855BEE" w:rsidRPr="0089234C">
        <w:rPr>
          <w:color w:val="000000"/>
        </w:rPr>
        <w:t>-Anlagen würden entsprechend mindestens zum Teil mit dem nationalen CO</w:t>
      </w:r>
      <w:r w:rsidR="00855BEE" w:rsidRPr="0089234C">
        <w:rPr>
          <w:color w:val="000000"/>
          <w:vertAlign w:val="subscript"/>
        </w:rPr>
        <w:t>2</w:t>
      </w:r>
      <w:r w:rsidR="00855BEE" w:rsidRPr="0089234C">
        <w:rPr>
          <w:color w:val="000000"/>
        </w:rPr>
        <w:t>-Preis doppelt belastet.</w:t>
      </w:r>
    </w:p>
    <w:p w14:paraId="59FB7715" w14:textId="77777777" w:rsidR="00873D4D" w:rsidRDefault="00873D4D" w:rsidP="00855BEE">
      <w:pPr>
        <w:pStyle w:val="Listenabsatz"/>
        <w:ind w:left="284"/>
        <w:rPr>
          <w:b/>
          <w:color w:val="000000"/>
        </w:rPr>
      </w:pPr>
    </w:p>
    <w:p w14:paraId="33C764D3" w14:textId="04ADDDF0" w:rsidR="00873D4D" w:rsidRDefault="00873D4D" w:rsidP="00855BEE">
      <w:pPr>
        <w:pStyle w:val="Listenabsatz"/>
        <w:ind w:left="284"/>
        <w:rPr>
          <w:b/>
          <w:color w:val="000000"/>
        </w:rPr>
      </w:pPr>
      <w:r w:rsidRPr="00873D4D">
        <w:rPr>
          <w:b/>
          <w:color w:val="000000"/>
        </w:rPr>
        <w:t>Drittens</w:t>
      </w:r>
      <w:r>
        <w:rPr>
          <w:color w:val="000000"/>
        </w:rPr>
        <w:t xml:space="preserve"> </w:t>
      </w:r>
      <w:r w:rsidR="00855BEE">
        <w:rPr>
          <w:color w:val="000000"/>
        </w:rPr>
        <w:t xml:space="preserve">liegt die Vorstellung zu Grunde, dass Brennstofflieferanten immer versuchen werden, ihre Produkte günstiger anzubieten als ihre Wettbewerber, um so neue Kunden und Marktanteile zu gewinnen. Auch diese Vorstellung trifft in der Realität nicht notwendigerweise zu. Ein Brennstofflieferant </w:t>
      </w:r>
      <w:r>
        <w:rPr>
          <w:color w:val="000000"/>
        </w:rPr>
        <w:t xml:space="preserve">kann </w:t>
      </w:r>
      <w:r w:rsidR="00855BEE">
        <w:rPr>
          <w:color w:val="000000"/>
        </w:rPr>
        <w:t xml:space="preserve">sich durchaus entscheiden, auf Marktanteil zu verzichten und stattdessen höhere Preise für die Brennstoffe durchzusetzen. Der Wettbewerbsvorteil ergäbe sich so aus dem einbehaltenen Gewinn, indem der </w:t>
      </w:r>
      <w:r w:rsidRPr="00873D4D">
        <w:rPr>
          <w:color w:val="000000"/>
        </w:rPr>
        <w:t>CO</w:t>
      </w:r>
      <w:r w:rsidRPr="00873D4D">
        <w:rPr>
          <w:color w:val="000000"/>
          <w:vertAlign w:val="subscript"/>
        </w:rPr>
        <w:t>2</w:t>
      </w:r>
      <w:r>
        <w:rPr>
          <w:color w:val="000000"/>
        </w:rPr>
        <w:t>-</w:t>
      </w:r>
      <w:r w:rsidR="00855BEE">
        <w:rPr>
          <w:color w:val="000000"/>
        </w:rPr>
        <w:t xml:space="preserve">Kostenvorteil eben nicht vollständig an </w:t>
      </w:r>
      <w:r w:rsidR="00E410DE">
        <w:rPr>
          <w:color w:val="000000"/>
        </w:rPr>
        <w:t>EU ETS</w:t>
      </w:r>
      <w:r w:rsidR="00855BEE">
        <w:rPr>
          <w:color w:val="000000"/>
        </w:rPr>
        <w:t>-Anlagen weitergereicht wird – selbst wenn so der Marktanteil wo</w:t>
      </w:r>
      <w:r w:rsidR="00DF1A62">
        <w:rPr>
          <w:color w:val="000000"/>
        </w:rPr>
        <w:t>möglich etwas geringer ausfällt.</w:t>
      </w:r>
    </w:p>
    <w:p w14:paraId="1F1454FF" w14:textId="77777777" w:rsidR="00873D4D" w:rsidRDefault="00873D4D" w:rsidP="00855BEE">
      <w:pPr>
        <w:pStyle w:val="Listenabsatz"/>
        <w:ind w:left="284"/>
        <w:rPr>
          <w:b/>
          <w:color w:val="000000"/>
        </w:rPr>
      </w:pPr>
    </w:p>
    <w:p w14:paraId="038135A5" w14:textId="202EB8C5" w:rsidR="00855BEE" w:rsidRPr="00873D4D" w:rsidRDefault="00DF1A62" w:rsidP="00855BEE">
      <w:pPr>
        <w:pStyle w:val="Listenabsatz"/>
        <w:ind w:left="284"/>
        <w:rPr>
          <w:b/>
          <w:color w:val="000000"/>
        </w:rPr>
      </w:pPr>
      <w:r w:rsidRPr="00873D4D">
        <w:rPr>
          <w:b/>
          <w:color w:val="000000"/>
        </w:rPr>
        <w:t xml:space="preserve">Diese Windfall-Profits sind </w:t>
      </w:r>
      <w:r w:rsidR="00873D4D" w:rsidRPr="00873D4D">
        <w:rPr>
          <w:b/>
          <w:color w:val="000000"/>
        </w:rPr>
        <w:t>kein theoretischer Fall:</w:t>
      </w:r>
      <w:r>
        <w:rPr>
          <w:color w:val="000000"/>
        </w:rPr>
        <w:t xml:space="preserve"> Während der </w:t>
      </w:r>
      <w:r w:rsidR="00B44773">
        <w:rPr>
          <w:color w:val="000000"/>
        </w:rPr>
        <w:t>2.</w:t>
      </w:r>
      <w:r>
        <w:rPr>
          <w:color w:val="000000"/>
        </w:rPr>
        <w:t xml:space="preserve"> Handelsperiode des EU-Emissionshandels erhielten Stromversorger Emissionszertifikate weitgehend kostenfrei zugeteilt. Diesen Kostenvortei</w:t>
      </w:r>
      <w:r w:rsidR="00B44773">
        <w:rPr>
          <w:color w:val="000000"/>
        </w:rPr>
        <w:t>l reichten Sie jedoch nicht /</w:t>
      </w:r>
      <w:r>
        <w:rPr>
          <w:color w:val="000000"/>
        </w:rPr>
        <w:t xml:space="preserve"> nicht vollständig an ihre Kunden weiter, sondern </w:t>
      </w:r>
      <w:r w:rsidR="006D38E5">
        <w:rPr>
          <w:color w:val="000000"/>
        </w:rPr>
        <w:t xml:space="preserve">preisten die Opportunitätskosten ein. Mit § 7 Abs. 5 BEHG drohen nach </w:t>
      </w:r>
      <w:r w:rsidR="00873D4D">
        <w:rPr>
          <w:color w:val="000000"/>
        </w:rPr>
        <w:t xml:space="preserve">demselben </w:t>
      </w:r>
      <w:r w:rsidR="006D38E5">
        <w:rPr>
          <w:color w:val="000000"/>
        </w:rPr>
        <w:t xml:space="preserve">Prinzip Windfall-Profits </w:t>
      </w:r>
      <w:r w:rsidR="00873D4D">
        <w:rPr>
          <w:color w:val="000000"/>
        </w:rPr>
        <w:t xml:space="preserve">auf Seiten der Lieferanten </w:t>
      </w:r>
      <w:r w:rsidR="006D38E5">
        <w:rPr>
          <w:color w:val="000000"/>
        </w:rPr>
        <w:t xml:space="preserve">zulasten von </w:t>
      </w:r>
      <w:r w:rsidR="00E410DE">
        <w:rPr>
          <w:color w:val="000000"/>
        </w:rPr>
        <w:t>EU ETS</w:t>
      </w:r>
      <w:r w:rsidR="006D38E5">
        <w:rPr>
          <w:color w:val="000000"/>
        </w:rPr>
        <w:t>-Anlagen</w:t>
      </w:r>
      <w:r>
        <w:rPr>
          <w:color w:val="000000"/>
        </w:rPr>
        <w:t>.</w:t>
      </w:r>
    </w:p>
    <w:p w14:paraId="2B2120B2" w14:textId="77777777" w:rsidR="00E620EC" w:rsidRPr="00855BEE" w:rsidRDefault="00E620EC" w:rsidP="00855BEE">
      <w:pPr>
        <w:pStyle w:val="Listenabsatz"/>
        <w:ind w:left="284"/>
        <w:rPr>
          <w:b/>
          <w:color w:val="000000"/>
        </w:rPr>
      </w:pPr>
    </w:p>
    <w:p w14:paraId="6A0D717B" w14:textId="36C7DAF6" w:rsidR="00873D4D" w:rsidRPr="00873D4D" w:rsidRDefault="006D38E5" w:rsidP="00E2120C">
      <w:pPr>
        <w:pStyle w:val="Listenabsatz"/>
        <w:numPr>
          <w:ilvl w:val="0"/>
          <w:numId w:val="5"/>
        </w:numPr>
        <w:ind w:left="284" w:hanging="284"/>
        <w:rPr>
          <w:b/>
          <w:color w:val="000000"/>
        </w:rPr>
      </w:pPr>
      <w:r>
        <w:rPr>
          <w:b/>
          <w:color w:val="000000"/>
        </w:rPr>
        <w:t>Brennstofflieferanten werden</w:t>
      </w:r>
      <w:r w:rsidR="00855BEE">
        <w:rPr>
          <w:b/>
          <w:color w:val="000000"/>
        </w:rPr>
        <w:t xml:space="preserve"> Beschaffungsrisiken von </w:t>
      </w:r>
      <w:r w:rsidR="00855BEE" w:rsidRPr="00855BEE">
        <w:rPr>
          <w:b/>
          <w:color w:val="000000"/>
        </w:rPr>
        <w:t>CO</w:t>
      </w:r>
      <w:r w:rsidR="00855BEE" w:rsidRPr="00855BEE">
        <w:rPr>
          <w:b/>
          <w:color w:val="000000"/>
          <w:vertAlign w:val="subscript"/>
        </w:rPr>
        <w:t>2</w:t>
      </w:r>
      <w:r w:rsidR="00855BEE">
        <w:rPr>
          <w:b/>
          <w:color w:val="000000"/>
        </w:rPr>
        <w:t>-Zertifiakten einpreisen</w:t>
      </w:r>
      <w:r w:rsidR="00855BEE">
        <w:rPr>
          <w:b/>
          <w:color w:val="000000"/>
        </w:rPr>
        <w:br/>
      </w:r>
      <w:r w:rsidR="00B44773">
        <w:rPr>
          <w:color w:val="000000"/>
        </w:rPr>
        <w:t xml:space="preserve">Laut BEHG können </w:t>
      </w:r>
      <w:r w:rsidR="00855BEE">
        <w:rPr>
          <w:color w:val="000000"/>
        </w:rPr>
        <w:t>Verantwortliche maximal bis zum 28. Februar des Folgejahres noch Zertifikate</w:t>
      </w:r>
      <w:r w:rsidR="00E028F6">
        <w:rPr>
          <w:color w:val="000000"/>
        </w:rPr>
        <w:t xml:space="preserve"> zum Preis des Vorjahres</w:t>
      </w:r>
      <w:r w:rsidR="00855BEE">
        <w:rPr>
          <w:color w:val="000000"/>
        </w:rPr>
        <w:t xml:space="preserve"> erwerben, um ihre Abgabepflicht </w:t>
      </w:r>
      <w:r w:rsidR="00B44773">
        <w:rPr>
          <w:color w:val="000000"/>
        </w:rPr>
        <w:t>zu erfüllen. Die</w:t>
      </w:r>
      <w:r w:rsidR="00855BEE">
        <w:rPr>
          <w:color w:val="000000"/>
        </w:rPr>
        <w:t xml:space="preserve"> </w:t>
      </w:r>
      <w:r w:rsidR="00B44773">
        <w:rPr>
          <w:color w:val="000000"/>
        </w:rPr>
        <w:t xml:space="preserve">ETS-Brennstoffemissionen sind </w:t>
      </w:r>
      <w:r w:rsidR="00855BEE">
        <w:rPr>
          <w:color w:val="000000"/>
        </w:rPr>
        <w:t>jedoch frühestens zum 31. März des Folgejahres bekannt (Abgabedatum ETS-Emissionsbericht). Das</w:t>
      </w:r>
      <w:r w:rsidR="00E2120C">
        <w:rPr>
          <w:color w:val="000000"/>
        </w:rPr>
        <w:t xml:space="preserve"> heißt, Verantwortliche können zum Zeitpunkt des </w:t>
      </w:r>
      <w:proofErr w:type="spellStart"/>
      <w:r w:rsidR="00E2120C">
        <w:rPr>
          <w:color w:val="000000"/>
        </w:rPr>
        <w:t>Zertifikatekaufs</w:t>
      </w:r>
      <w:proofErr w:type="spellEnd"/>
      <w:r w:rsidR="00E2120C">
        <w:rPr>
          <w:color w:val="000000"/>
        </w:rPr>
        <w:t xml:space="preserve"> nicht wissen, wie</w:t>
      </w:r>
      <w:r w:rsidR="00B44773">
        <w:rPr>
          <w:color w:val="000000"/>
        </w:rPr>
        <w:t xml:space="preserve"> </w:t>
      </w:r>
      <w:r w:rsidR="00E2120C">
        <w:rPr>
          <w:color w:val="000000"/>
        </w:rPr>
        <w:t xml:space="preserve">viele Zertifikate sie beschaffen müssen, um ihrer Abgabeverpflichtung nachzukommen. Dieses Risiko </w:t>
      </w:r>
      <w:r w:rsidR="00873D4D">
        <w:rPr>
          <w:color w:val="000000"/>
        </w:rPr>
        <w:t>werden</w:t>
      </w:r>
      <w:r w:rsidR="00E2120C">
        <w:rPr>
          <w:color w:val="000000"/>
        </w:rPr>
        <w:t xml:space="preserve"> sie entsprechend einpreisen.</w:t>
      </w:r>
      <w:r w:rsidR="00E2120C">
        <w:rPr>
          <w:color w:val="000000"/>
        </w:rPr>
        <w:br/>
      </w:r>
    </w:p>
    <w:p w14:paraId="0489BC80" w14:textId="59EA9ADE" w:rsidR="00E620EC" w:rsidRPr="00E2120C" w:rsidRDefault="00E2120C" w:rsidP="00E620EC">
      <w:pPr>
        <w:pStyle w:val="Listenabsatz"/>
        <w:ind w:left="284"/>
        <w:rPr>
          <w:b/>
          <w:color w:val="000000"/>
        </w:rPr>
      </w:pPr>
      <w:r>
        <w:rPr>
          <w:color w:val="000000"/>
        </w:rPr>
        <w:t xml:space="preserve">§ 10 Abs. 2 Satz 3 BEHG </w:t>
      </w:r>
      <w:r w:rsidR="00B44773">
        <w:rPr>
          <w:color w:val="000000"/>
        </w:rPr>
        <w:t xml:space="preserve">sollte </w:t>
      </w:r>
      <w:r>
        <w:rPr>
          <w:color w:val="000000"/>
        </w:rPr>
        <w:t>daher wie folgt angepasst werden: „</w:t>
      </w:r>
      <w:r w:rsidRPr="00E2120C">
        <w:rPr>
          <w:color w:val="000000"/>
        </w:rPr>
        <w:t xml:space="preserve">Verantwortliche können </w:t>
      </w:r>
      <w:r w:rsidRPr="00E2120C">
        <w:rPr>
          <w:strike/>
          <w:color w:val="000000"/>
        </w:rPr>
        <w:t xml:space="preserve">bis zu zehn Prozent der in einem der </w:t>
      </w:r>
      <w:r w:rsidRPr="00E2120C">
        <w:rPr>
          <w:b/>
          <w:color w:val="000000"/>
        </w:rPr>
        <w:t>für die</w:t>
      </w:r>
      <w:r w:rsidRPr="00E2120C">
        <w:rPr>
          <w:color w:val="000000"/>
        </w:rPr>
        <w:t xml:space="preserve"> Jahre 2021 bis 2025 </w:t>
      </w:r>
      <w:r w:rsidRPr="00E2120C">
        <w:rPr>
          <w:strike/>
          <w:color w:val="000000"/>
        </w:rPr>
        <w:t>erworbenen</w:t>
      </w:r>
      <w:r w:rsidRPr="00E2120C">
        <w:rPr>
          <w:color w:val="000000"/>
        </w:rPr>
        <w:t xml:space="preserve"> Emissionszertifikate bis zum </w:t>
      </w:r>
      <w:r w:rsidRPr="00B44773">
        <w:rPr>
          <w:b/>
          <w:color w:val="000000"/>
        </w:rPr>
        <w:t>Abgabedatum</w:t>
      </w:r>
      <w:r w:rsidR="00B44773" w:rsidRPr="00B44773">
        <w:rPr>
          <w:b/>
          <w:color w:val="000000"/>
        </w:rPr>
        <w:t xml:space="preserve"> </w:t>
      </w:r>
      <w:r w:rsidR="00B44773" w:rsidRPr="00B44773">
        <w:rPr>
          <w:color w:val="000000"/>
        </w:rPr>
        <w:t>[30. September]</w:t>
      </w:r>
      <w:r w:rsidRPr="00E2120C">
        <w:rPr>
          <w:color w:val="000000"/>
        </w:rPr>
        <w:t xml:space="preserve"> </w:t>
      </w:r>
      <w:r w:rsidRPr="00E2120C">
        <w:rPr>
          <w:strike/>
          <w:color w:val="000000"/>
        </w:rPr>
        <w:t>28. Februar</w:t>
      </w:r>
      <w:r w:rsidRPr="00E2120C">
        <w:rPr>
          <w:color w:val="000000"/>
        </w:rPr>
        <w:t xml:space="preserve"> des jeweiligen </w:t>
      </w:r>
      <w:r w:rsidRPr="00E2120C">
        <w:rPr>
          <w:color w:val="000000"/>
        </w:rPr>
        <w:lastRenderedPageBreak/>
        <w:t>Folgejahres zur Erfüllung der Abgabepflicht nach § 8 für das Vorjahr zu dem für dieses Jahr festgelegten Festpreis erwerben.</w:t>
      </w:r>
      <w:r>
        <w:rPr>
          <w:color w:val="000000"/>
        </w:rPr>
        <w:t>“</w:t>
      </w:r>
      <w:r w:rsidR="00E028F6">
        <w:rPr>
          <w:color w:val="000000"/>
        </w:rPr>
        <w:br/>
      </w:r>
    </w:p>
    <w:p w14:paraId="314CC9E5" w14:textId="3CD622C2" w:rsidR="00DF1A62" w:rsidRPr="002747EF" w:rsidRDefault="00DC663E" w:rsidP="00DF1A62">
      <w:pPr>
        <w:pStyle w:val="Listenabsatz"/>
        <w:numPr>
          <w:ilvl w:val="0"/>
          <w:numId w:val="5"/>
        </w:numPr>
        <w:ind w:left="284" w:hanging="284"/>
        <w:rPr>
          <w:b/>
          <w:color w:val="000000"/>
        </w:rPr>
      </w:pPr>
      <w:r w:rsidRPr="00EC07FE">
        <w:rPr>
          <w:b/>
          <w:color w:val="000000"/>
        </w:rPr>
        <w:t>Fehlanreize in</w:t>
      </w:r>
      <w:r w:rsidR="00993B23" w:rsidRPr="00EC07FE">
        <w:rPr>
          <w:b/>
          <w:color w:val="000000"/>
        </w:rPr>
        <w:t xml:space="preserve"> § 7 Abs. 5 BEHG</w:t>
      </w:r>
      <w:r w:rsidR="00993B23" w:rsidRPr="00EC07FE">
        <w:rPr>
          <w:b/>
          <w:color w:val="000000"/>
        </w:rPr>
        <w:br/>
      </w:r>
      <w:r w:rsidR="00873D4D" w:rsidRPr="00EC07FE">
        <w:rPr>
          <w:color w:val="000000"/>
        </w:rPr>
        <w:t xml:space="preserve">Selbst wenn eine </w:t>
      </w:r>
      <w:r w:rsidR="00E410DE">
        <w:rPr>
          <w:color w:val="000000"/>
        </w:rPr>
        <w:t>EU ETS</w:t>
      </w:r>
      <w:r w:rsidR="00E028F6" w:rsidRPr="00EC07FE">
        <w:rPr>
          <w:color w:val="000000"/>
        </w:rPr>
        <w:t>-Anlage</w:t>
      </w:r>
      <w:r w:rsidR="00873D4D" w:rsidRPr="00EC07FE">
        <w:rPr>
          <w:color w:val="000000"/>
        </w:rPr>
        <w:t xml:space="preserve"> im Rahmen individueller vertraglicher</w:t>
      </w:r>
      <w:r w:rsidR="00993B23" w:rsidRPr="00EC07FE">
        <w:rPr>
          <w:color w:val="000000"/>
        </w:rPr>
        <w:t xml:space="preserve"> Vereinbarungen </w:t>
      </w:r>
      <w:r w:rsidR="00E028F6" w:rsidRPr="00EC07FE">
        <w:rPr>
          <w:color w:val="000000"/>
        </w:rPr>
        <w:t>mit ihren Brennstofflieferanten eine vollständige Entlastung vom nationalen CO</w:t>
      </w:r>
      <w:r w:rsidR="00E028F6" w:rsidRPr="00EC07FE">
        <w:rPr>
          <w:color w:val="000000"/>
          <w:vertAlign w:val="subscript"/>
        </w:rPr>
        <w:t>2</w:t>
      </w:r>
      <w:r w:rsidR="00E028F6" w:rsidRPr="00EC07FE">
        <w:rPr>
          <w:color w:val="000000"/>
        </w:rPr>
        <w:t>-Preis vereinbaren kann</w:t>
      </w:r>
      <w:r w:rsidRPr="00EC07FE">
        <w:rPr>
          <w:color w:val="000000"/>
        </w:rPr>
        <w:t>, so bestehen</w:t>
      </w:r>
      <w:r w:rsidR="00873D4D" w:rsidRPr="00EC07FE">
        <w:rPr>
          <w:color w:val="000000"/>
        </w:rPr>
        <w:t xml:space="preserve"> auch auf Seiten der </w:t>
      </w:r>
      <w:r w:rsidR="00E410DE">
        <w:rPr>
          <w:color w:val="000000"/>
        </w:rPr>
        <w:t>EU ETS</w:t>
      </w:r>
      <w:r w:rsidR="00873D4D" w:rsidRPr="00EC07FE">
        <w:rPr>
          <w:color w:val="000000"/>
        </w:rPr>
        <w:t>-Anlagen</w:t>
      </w:r>
      <w:r w:rsidR="00993B23" w:rsidRPr="00EC07FE">
        <w:rPr>
          <w:color w:val="000000"/>
        </w:rPr>
        <w:t xml:space="preserve"> </w:t>
      </w:r>
      <w:r w:rsidRPr="00EC07FE">
        <w:rPr>
          <w:color w:val="000000"/>
        </w:rPr>
        <w:t xml:space="preserve">erhebliche Fehlanreize </w:t>
      </w:r>
      <w:r w:rsidR="00993B23" w:rsidRPr="00EC07FE">
        <w:rPr>
          <w:color w:val="000000"/>
        </w:rPr>
        <w:t>– insbesondere bei wec</w:t>
      </w:r>
      <w:r w:rsidR="00E028F6" w:rsidRPr="00EC07FE">
        <w:rPr>
          <w:color w:val="000000"/>
        </w:rPr>
        <w:t xml:space="preserve">hselnden Brennstofflieferanten. </w:t>
      </w:r>
      <w:r w:rsidR="00E410DE">
        <w:rPr>
          <w:color w:val="000000"/>
        </w:rPr>
        <w:t>EU ETS</w:t>
      </w:r>
      <w:r w:rsidR="00E028F6" w:rsidRPr="00EC07FE">
        <w:rPr>
          <w:color w:val="000000"/>
        </w:rPr>
        <w:t xml:space="preserve">-Anlagen </w:t>
      </w:r>
      <w:r w:rsidR="00873D4D" w:rsidRPr="00EC07FE">
        <w:rPr>
          <w:color w:val="000000"/>
        </w:rPr>
        <w:t xml:space="preserve">sind </w:t>
      </w:r>
      <w:r w:rsidR="00993B23" w:rsidRPr="00EC07FE">
        <w:rPr>
          <w:color w:val="000000"/>
        </w:rPr>
        <w:t xml:space="preserve">nur </w:t>
      </w:r>
      <w:r w:rsidR="006D38E5" w:rsidRPr="00EC07FE">
        <w:rPr>
          <w:color w:val="000000"/>
        </w:rPr>
        <w:t>bis in Höhe ihrer</w:t>
      </w:r>
      <w:r w:rsidR="00993B23" w:rsidRPr="00EC07FE">
        <w:rPr>
          <w:color w:val="000000"/>
        </w:rPr>
        <w:t xml:space="preserve"> tatsächlichen jährlichen Brennstoffverbräuche vom nationalen CO</w:t>
      </w:r>
      <w:r w:rsidR="00993B23" w:rsidRPr="00EC07FE">
        <w:rPr>
          <w:color w:val="000000"/>
          <w:vertAlign w:val="subscript"/>
        </w:rPr>
        <w:t>2</w:t>
      </w:r>
      <w:r w:rsidR="00993B23" w:rsidRPr="00EC07FE">
        <w:rPr>
          <w:color w:val="000000"/>
        </w:rPr>
        <w:t xml:space="preserve">-Preis freizustellen. </w:t>
      </w:r>
      <w:r w:rsidR="00873D4D" w:rsidRPr="00EC07FE">
        <w:rPr>
          <w:color w:val="000000"/>
        </w:rPr>
        <w:t xml:space="preserve">Brennstofflieferanten </w:t>
      </w:r>
      <w:r w:rsidR="00993B23" w:rsidRPr="00EC07FE">
        <w:rPr>
          <w:color w:val="000000"/>
        </w:rPr>
        <w:t>haben hierüber jedoch keinerlei Überblick</w:t>
      </w:r>
      <w:r w:rsidR="00E028F6" w:rsidRPr="00EC07FE">
        <w:rPr>
          <w:color w:val="000000"/>
        </w:rPr>
        <w:t xml:space="preserve">: Erstens kennt ein Brennstofflieferant nicht notwendigerweise den gesamten </w:t>
      </w:r>
      <w:r w:rsidR="00EC07FE" w:rsidRPr="00EC07FE">
        <w:rPr>
          <w:color w:val="000000"/>
        </w:rPr>
        <w:t xml:space="preserve">Brennstoffeinsatz der </w:t>
      </w:r>
      <w:r w:rsidR="00E410DE">
        <w:rPr>
          <w:color w:val="000000"/>
        </w:rPr>
        <w:t>EU ETS</w:t>
      </w:r>
      <w:r w:rsidR="00EC07FE" w:rsidRPr="00EC07FE">
        <w:rPr>
          <w:color w:val="000000"/>
        </w:rPr>
        <w:t xml:space="preserve">-Anlage. Zudem weiß er nicht, welche anderen Brennstoffe von welchen anderen Lieferanten die </w:t>
      </w:r>
      <w:r w:rsidR="00E410DE">
        <w:rPr>
          <w:color w:val="000000"/>
        </w:rPr>
        <w:t>EU ETS</w:t>
      </w:r>
      <w:r w:rsidR="00EC07FE" w:rsidRPr="00EC07FE">
        <w:rPr>
          <w:color w:val="000000"/>
        </w:rPr>
        <w:t xml:space="preserve">-Anlage einsetzt. Zweitens kann der Brennstofflieferant bei der Lieferung an einen Kunden nicht wissen, ob diese Lieferung tatsächlich in </w:t>
      </w:r>
      <w:r w:rsidR="00E410DE">
        <w:rPr>
          <w:color w:val="000000"/>
        </w:rPr>
        <w:t>EU ETS</w:t>
      </w:r>
      <w:r w:rsidR="00EC07FE" w:rsidRPr="00EC07FE">
        <w:rPr>
          <w:color w:val="000000"/>
        </w:rPr>
        <w:t>-Anlagen eingesetzt wird oder in Non-</w:t>
      </w:r>
      <w:r w:rsidR="00E410DE">
        <w:rPr>
          <w:color w:val="000000"/>
        </w:rPr>
        <w:t>EU ETS</w:t>
      </w:r>
      <w:r w:rsidR="00EC07FE" w:rsidRPr="00EC07FE">
        <w:rPr>
          <w:color w:val="000000"/>
        </w:rPr>
        <w:t xml:space="preserve">-Anlagen, die sich häufig auf demselben Werksgelände befinden. Ein Brennstofflieferant bzw. BEHG-Verantwortlicher kann daher unmöglich nachvollziehen, welche Brennstoffmenge </w:t>
      </w:r>
      <w:r w:rsidR="00EC07FE">
        <w:rPr>
          <w:color w:val="000000"/>
        </w:rPr>
        <w:t xml:space="preserve">tatsächlich in der </w:t>
      </w:r>
      <w:r w:rsidR="00E410DE">
        <w:rPr>
          <w:color w:val="000000"/>
        </w:rPr>
        <w:t>EU ETS</w:t>
      </w:r>
      <w:r w:rsidR="00EC07FE" w:rsidRPr="00EC07FE">
        <w:rPr>
          <w:color w:val="000000"/>
        </w:rPr>
        <w:t xml:space="preserve">-Anlage </w:t>
      </w:r>
      <w:r w:rsidR="00EC07FE">
        <w:rPr>
          <w:color w:val="000000"/>
        </w:rPr>
        <w:t>eingesetzt wird und welche Brennstoffmenge die</w:t>
      </w:r>
      <w:r w:rsidR="00690954">
        <w:rPr>
          <w:color w:val="000000"/>
        </w:rPr>
        <w:t>se</w:t>
      </w:r>
      <w:r w:rsidR="00EC07FE">
        <w:rPr>
          <w:color w:val="000000"/>
        </w:rPr>
        <w:t xml:space="preserve"> </w:t>
      </w:r>
      <w:r w:rsidR="00E410DE">
        <w:rPr>
          <w:color w:val="000000"/>
        </w:rPr>
        <w:t>EU ETS</w:t>
      </w:r>
      <w:r w:rsidR="00EC07FE">
        <w:rPr>
          <w:color w:val="000000"/>
        </w:rPr>
        <w:t xml:space="preserve">-Anlage </w:t>
      </w:r>
      <w:r w:rsidR="00EC07FE" w:rsidRPr="00EC07FE">
        <w:rPr>
          <w:color w:val="000000"/>
        </w:rPr>
        <w:t>bereits von anderen Lieferanten ohne CO</w:t>
      </w:r>
      <w:r w:rsidR="00EC07FE" w:rsidRPr="00EC07FE">
        <w:rPr>
          <w:color w:val="000000"/>
          <w:vertAlign w:val="subscript"/>
        </w:rPr>
        <w:t>2</w:t>
      </w:r>
      <w:r w:rsidR="00EC07FE" w:rsidRPr="00EC07FE">
        <w:rPr>
          <w:color w:val="000000"/>
        </w:rPr>
        <w:t xml:space="preserve">-Preisaufschlag erhalten hat. Die </w:t>
      </w:r>
      <w:r w:rsidR="00E410DE">
        <w:rPr>
          <w:color w:val="000000"/>
        </w:rPr>
        <w:t>EU ETS</w:t>
      </w:r>
      <w:r w:rsidR="00EC07FE" w:rsidRPr="00EC07FE">
        <w:rPr>
          <w:color w:val="000000"/>
        </w:rPr>
        <w:t xml:space="preserve">-Anlage ihrerseits </w:t>
      </w:r>
      <w:r w:rsidR="00EC07FE">
        <w:rPr>
          <w:color w:val="000000"/>
        </w:rPr>
        <w:t>könnte</w:t>
      </w:r>
      <w:r w:rsidR="00993B23" w:rsidRPr="00EC07FE">
        <w:rPr>
          <w:color w:val="000000"/>
        </w:rPr>
        <w:t xml:space="preserve"> in der Theorie deutlich mehr Brennstoffmengen ohne CO</w:t>
      </w:r>
      <w:r w:rsidR="00993B23" w:rsidRPr="00EC07FE">
        <w:rPr>
          <w:color w:val="000000"/>
          <w:vertAlign w:val="subscript"/>
        </w:rPr>
        <w:t>2</w:t>
      </w:r>
      <w:r w:rsidR="00993B23" w:rsidRPr="00EC07FE">
        <w:rPr>
          <w:color w:val="000000"/>
        </w:rPr>
        <w:t>-Preisaufschlag beziehen,</w:t>
      </w:r>
      <w:r w:rsidR="00EC07FE">
        <w:rPr>
          <w:color w:val="000000"/>
        </w:rPr>
        <w:t xml:space="preserve"> als sie tatsächlich verbraucht</w:t>
      </w:r>
      <w:r w:rsidR="00993B23" w:rsidRPr="00EC07FE">
        <w:rPr>
          <w:color w:val="000000"/>
        </w:rPr>
        <w:t>, und diese „Überschüsse“ entsprechend in Non-</w:t>
      </w:r>
      <w:r w:rsidR="00E410DE">
        <w:rPr>
          <w:color w:val="000000"/>
        </w:rPr>
        <w:t>EU ETS</w:t>
      </w:r>
      <w:r w:rsidR="00993B23" w:rsidRPr="00EC07FE">
        <w:rPr>
          <w:color w:val="000000"/>
        </w:rPr>
        <w:t>-Anlagen einsetzen oder weiter veräußern. Eine verpflichtende Meldung der Gesamtverbräuche an die Lieferanten scheidet aus, da es sich hierbei um höchst sensible wettbewerblich relevante Informationen handelt, die Lieferanten einen umfassenden Einblick in den Brennstoffeinsatz ihrer Kunden geben würden.</w:t>
      </w:r>
      <w:r w:rsidR="00EC07FE">
        <w:rPr>
          <w:color w:val="000000"/>
        </w:rPr>
        <w:br/>
      </w:r>
      <w:r w:rsidR="00EC07FE">
        <w:rPr>
          <w:color w:val="000000"/>
        </w:rPr>
        <w:br/>
        <w:t xml:space="preserve">Eine Kontrolle durch die </w:t>
      </w:r>
      <w:proofErr w:type="spellStart"/>
      <w:r w:rsidR="00EC07FE">
        <w:rPr>
          <w:color w:val="000000"/>
        </w:rPr>
        <w:t>DEHSt</w:t>
      </w:r>
      <w:proofErr w:type="spellEnd"/>
      <w:r w:rsidR="00EC07FE">
        <w:rPr>
          <w:color w:val="000000"/>
        </w:rPr>
        <w:t xml:space="preserve"> als zentrale Behörd</w:t>
      </w:r>
      <w:r w:rsidR="00690954">
        <w:rPr>
          <w:color w:val="000000"/>
        </w:rPr>
        <w:t>e wäre denkbar, aber mit einem</w:t>
      </w:r>
      <w:r w:rsidR="00EC07FE">
        <w:rPr>
          <w:color w:val="000000"/>
        </w:rPr>
        <w:t xml:space="preserve"> umfassenden und bürokratischen Nachweissystem verbunden.</w:t>
      </w:r>
    </w:p>
    <w:p w14:paraId="08F386C3" w14:textId="77777777" w:rsidR="002747EF" w:rsidRDefault="002747EF" w:rsidP="002747EF">
      <w:pPr>
        <w:rPr>
          <w:b/>
          <w:color w:val="000000"/>
        </w:rPr>
      </w:pPr>
    </w:p>
    <w:p w14:paraId="2CF2F149" w14:textId="77777777" w:rsidR="0087111C" w:rsidRDefault="0087111C" w:rsidP="002747EF">
      <w:pPr>
        <w:rPr>
          <w:b/>
          <w:color w:val="000000"/>
        </w:rPr>
      </w:pPr>
    </w:p>
    <w:p w14:paraId="7B4EB9B0" w14:textId="7A3DB577" w:rsidR="002747EF" w:rsidRDefault="00E410DE" w:rsidP="002747EF">
      <w:pPr>
        <w:keepNext/>
      </w:pPr>
      <w:r>
        <w:rPr>
          <w:b/>
          <w:noProof/>
          <w:color w:val="000000"/>
        </w:rPr>
        <w:drawing>
          <wp:inline distT="0" distB="0" distL="0" distR="0" wp14:anchorId="678D7BD6" wp14:editId="06EE2CEA">
            <wp:extent cx="5753100" cy="2952750"/>
            <wp:effectExtent l="0" t="0" r="0" b="0"/>
            <wp:docPr id="6" name="Bild 1"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2952750"/>
                    </a:xfrm>
                    <a:prstGeom prst="rect">
                      <a:avLst/>
                    </a:prstGeom>
                    <a:noFill/>
                    <a:ln>
                      <a:noFill/>
                    </a:ln>
                  </pic:spPr>
                </pic:pic>
              </a:graphicData>
            </a:graphic>
          </wp:inline>
        </w:drawing>
      </w:r>
    </w:p>
    <w:p w14:paraId="40ADCA58" w14:textId="69EA165D" w:rsidR="002747EF" w:rsidRPr="002747EF" w:rsidRDefault="002747EF" w:rsidP="002747EF">
      <w:pPr>
        <w:pStyle w:val="Beschriftung"/>
        <w:rPr>
          <w:color w:val="auto"/>
        </w:rPr>
      </w:pPr>
      <w:r w:rsidRPr="002747EF">
        <w:rPr>
          <w:color w:val="auto"/>
        </w:rPr>
        <w:t xml:space="preserve">Abbildung </w:t>
      </w:r>
      <w:r w:rsidRPr="002747EF">
        <w:rPr>
          <w:color w:val="auto"/>
        </w:rPr>
        <w:fldChar w:fldCharType="begin"/>
      </w:r>
      <w:r w:rsidRPr="002747EF">
        <w:rPr>
          <w:color w:val="auto"/>
        </w:rPr>
        <w:instrText xml:space="preserve"> SEQ Abbildung \* ARABIC </w:instrText>
      </w:r>
      <w:r w:rsidRPr="002747EF">
        <w:rPr>
          <w:color w:val="auto"/>
        </w:rPr>
        <w:fldChar w:fldCharType="separate"/>
      </w:r>
      <w:r w:rsidRPr="002747EF">
        <w:rPr>
          <w:noProof/>
          <w:color w:val="auto"/>
        </w:rPr>
        <w:t>4</w:t>
      </w:r>
      <w:r w:rsidRPr="002747EF">
        <w:rPr>
          <w:color w:val="auto"/>
        </w:rPr>
        <w:fldChar w:fldCharType="end"/>
      </w:r>
      <w:r>
        <w:rPr>
          <w:color w:val="auto"/>
        </w:rPr>
        <w:t xml:space="preserve">. System der Vorab-Befreiung von </w:t>
      </w:r>
      <w:r w:rsidR="00E410DE">
        <w:rPr>
          <w:color w:val="auto"/>
        </w:rPr>
        <w:t>EU ETS</w:t>
      </w:r>
      <w:r>
        <w:rPr>
          <w:color w:val="auto"/>
        </w:rPr>
        <w:t>-Anlagen nach § 7 Abs. 5 BEHG.</w:t>
      </w:r>
    </w:p>
    <w:p w14:paraId="1546516B" w14:textId="77777777" w:rsidR="00D753D9" w:rsidRDefault="00D753D9">
      <w:pPr>
        <w:rPr>
          <w:color w:val="000000"/>
        </w:rPr>
      </w:pPr>
      <w:r>
        <w:rPr>
          <w:color w:val="000000"/>
        </w:rPr>
        <w:br w:type="page"/>
      </w:r>
    </w:p>
    <w:p w14:paraId="6F84B21D" w14:textId="3B7BBE75" w:rsidR="00607234" w:rsidRDefault="00607234" w:rsidP="00DF1A62">
      <w:pPr>
        <w:rPr>
          <w:b/>
          <w:color w:val="000000"/>
        </w:rPr>
      </w:pPr>
      <w:r>
        <w:rPr>
          <w:b/>
          <w:color w:val="000000"/>
        </w:rPr>
        <w:lastRenderedPageBreak/>
        <w:t>Variante 2</w:t>
      </w:r>
    </w:p>
    <w:p w14:paraId="5490A754" w14:textId="77777777" w:rsidR="00607234" w:rsidRPr="00607234" w:rsidRDefault="00607234" w:rsidP="00DF1A62">
      <w:pPr>
        <w:rPr>
          <w:b/>
          <w:color w:val="000000"/>
        </w:rPr>
      </w:pPr>
    </w:p>
    <w:p w14:paraId="0882720C" w14:textId="587914D7" w:rsidR="0024520E" w:rsidRDefault="0024520E" w:rsidP="0024520E">
      <w:pPr>
        <w:rPr>
          <w:b/>
          <w:color w:val="000000"/>
          <w:u w:val="single"/>
        </w:rPr>
      </w:pPr>
      <w:r w:rsidRPr="004F0FE5">
        <w:rPr>
          <w:b/>
          <w:color w:val="000000"/>
          <w:u w:val="single"/>
        </w:rPr>
        <w:t xml:space="preserve">Zuteilung an </w:t>
      </w:r>
      <w:r w:rsidR="00E410DE">
        <w:rPr>
          <w:b/>
          <w:color w:val="000000"/>
          <w:u w:val="single"/>
        </w:rPr>
        <w:t>EU ETS</w:t>
      </w:r>
      <w:r w:rsidRPr="004F0FE5">
        <w:rPr>
          <w:b/>
          <w:color w:val="000000"/>
          <w:u w:val="single"/>
        </w:rPr>
        <w:t>-Anlagen</w:t>
      </w:r>
      <w:r w:rsidR="00690954">
        <w:rPr>
          <w:b/>
          <w:color w:val="000000"/>
          <w:u w:val="single"/>
        </w:rPr>
        <w:t xml:space="preserve"> in Höhe ihrer Brennstoffemissionen</w:t>
      </w:r>
    </w:p>
    <w:p w14:paraId="0F5DDF20" w14:textId="77777777" w:rsidR="0024520E" w:rsidRDefault="0024520E" w:rsidP="0024520E">
      <w:pPr>
        <w:rPr>
          <w:color w:val="000000"/>
        </w:rPr>
      </w:pPr>
    </w:p>
    <w:p w14:paraId="7473AA89" w14:textId="7315E922" w:rsidR="0008352F" w:rsidRDefault="0024520E" w:rsidP="0024520E">
      <w:pPr>
        <w:rPr>
          <w:color w:val="000000"/>
        </w:rPr>
      </w:pPr>
      <w:r>
        <w:rPr>
          <w:color w:val="000000"/>
        </w:rPr>
        <w:t xml:space="preserve">Die Zuteilung an </w:t>
      </w:r>
      <w:r w:rsidR="00E410DE">
        <w:rPr>
          <w:color w:val="000000"/>
        </w:rPr>
        <w:t>EU ETS</w:t>
      </w:r>
      <w:r>
        <w:rPr>
          <w:color w:val="000000"/>
        </w:rPr>
        <w:t>-Anlagen ist eine Abwandlung von Variante 1, die viele der dort beschri</w:t>
      </w:r>
      <w:r w:rsidR="0008352F">
        <w:rPr>
          <w:color w:val="000000"/>
        </w:rPr>
        <w:t xml:space="preserve">ebenen Probleme beheben könnte. Die zugeteilten nationalen Emissionszertifikate wären einerseits Nachweis gegenüber dem BEHG-Verantwortlichen bzw. Brennstofflieferanten, dass ein Unternehmen berechtigt ist, den </w:t>
      </w:r>
      <w:r w:rsidR="0008352F" w:rsidRPr="0008352F">
        <w:rPr>
          <w:color w:val="000000"/>
        </w:rPr>
        <w:t>CO</w:t>
      </w:r>
      <w:r w:rsidR="0008352F" w:rsidRPr="0008352F">
        <w:rPr>
          <w:color w:val="000000"/>
          <w:vertAlign w:val="subscript"/>
        </w:rPr>
        <w:t>2</w:t>
      </w:r>
      <w:r w:rsidR="0008352F">
        <w:rPr>
          <w:color w:val="000000"/>
        </w:rPr>
        <w:t xml:space="preserve">-Aufschlag teilweise nicht zu zahlen; andererseits würden sie auch der </w:t>
      </w:r>
      <w:proofErr w:type="spellStart"/>
      <w:r w:rsidR="0008352F">
        <w:rPr>
          <w:color w:val="000000"/>
        </w:rPr>
        <w:t>DEHSt</w:t>
      </w:r>
      <w:proofErr w:type="spellEnd"/>
      <w:r w:rsidR="0008352F">
        <w:rPr>
          <w:color w:val="000000"/>
        </w:rPr>
        <w:t xml:space="preserve"> eine vergleichsweise einfache und unbürokratische </w:t>
      </w:r>
      <w:r w:rsidR="00690954">
        <w:rPr>
          <w:color w:val="000000"/>
        </w:rPr>
        <w:t>Kontrolle</w:t>
      </w:r>
      <w:r w:rsidR="0008352F">
        <w:rPr>
          <w:color w:val="000000"/>
        </w:rPr>
        <w:t xml:space="preserve"> des nationalen Emissions</w:t>
      </w:r>
      <w:r w:rsidR="00690954">
        <w:rPr>
          <w:color w:val="000000"/>
        </w:rPr>
        <w:t>handels</w:t>
      </w:r>
      <w:r w:rsidR="0008352F">
        <w:rPr>
          <w:color w:val="000000"/>
        </w:rPr>
        <w:t>registers erlauben.</w:t>
      </w:r>
    </w:p>
    <w:p w14:paraId="18389897" w14:textId="77777777" w:rsidR="0008352F" w:rsidRDefault="0008352F" w:rsidP="0024520E">
      <w:pPr>
        <w:rPr>
          <w:color w:val="000000"/>
        </w:rPr>
      </w:pPr>
    </w:p>
    <w:p w14:paraId="2772918E" w14:textId="7801C3A0" w:rsidR="00D6452B" w:rsidRDefault="0024520E" w:rsidP="0024520E">
      <w:pPr>
        <w:rPr>
          <w:color w:val="000000"/>
        </w:rPr>
      </w:pPr>
      <w:r>
        <w:rPr>
          <w:color w:val="000000"/>
        </w:rPr>
        <w:t xml:space="preserve">Nach dieser Variante muss zunächst für </w:t>
      </w:r>
      <w:r w:rsidR="00E410DE">
        <w:rPr>
          <w:color w:val="000000"/>
        </w:rPr>
        <w:t>EU ETS</w:t>
      </w:r>
      <w:r>
        <w:rPr>
          <w:color w:val="000000"/>
        </w:rPr>
        <w:t xml:space="preserve">-Anlagen ein separates </w:t>
      </w:r>
      <w:proofErr w:type="spellStart"/>
      <w:r>
        <w:rPr>
          <w:color w:val="000000"/>
        </w:rPr>
        <w:t>nEHS</w:t>
      </w:r>
      <w:proofErr w:type="spellEnd"/>
      <w:r>
        <w:rPr>
          <w:color w:val="000000"/>
        </w:rPr>
        <w:t>-Konto eingerichtet werden. Auf dieses Konto überträg</w:t>
      </w:r>
      <w:bookmarkStart w:id="0" w:name="_GoBack"/>
      <w:bookmarkEnd w:id="0"/>
      <w:r>
        <w:rPr>
          <w:color w:val="000000"/>
        </w:rPr>
        <w:t xml:space="preserve">t die </w:t>
      </w:r>
      <w:proofErr w:type="spellStart"/>
      <w:r>
        <w:rPr>
          <w:color w:val="000000"/>
        </w:rPr>
        <w:t>DEHSt</w:t>
      </w:r>
      <w:proofErr w:type="spellEnd"/>
      <w:r>
        <w:rPr>
          <w:color w:val="000000"/>
        </w:rPr>
        <w:t xml:space="preserve"> jeweils </w:t>
      </w:r>
      <w:r w:rsidRPr="0024520E">
        <w:rPr>
          <w:color w:val="000000"/>
        </w:rPr>
        <w:t>zum 1. Januar eines</w:t>
      </w:r>
      <w:r>
        <w:rPr>
          <w:color w:val="000000"/>
        </w:rPr>
        <w:t xml:space="preserve"> Jahres nationale Emissionszertifikate (Zuteilung</w:t>
      </w:r>
      <w:r w:rsidR="0008352F">
        <w:rPr>
          <w:color w:val="000000"/>
        </w:rPr>
        <w:t xml:space="preserve"> „Nachweiszertifikate“</w:t>
      </w:r>
      <w:r>
        <w:rPr>
          <w:color w:val="000000"/>
        </w:rPr>
        <w:t xml:space="preserve">). Der Umfang dieser Zuteilung entspricht der Höhe der Brennstoffemissionen aus dem jeweils </w:t>
      </w:r>
      <w:r w:rsidR="00217AC0">
        <w:rPr>
          <w:color w:val="000000"/>
        </w:rPr>
        <w:t>aktuellen</w:t>
      </w:r>
      <w:r>
        <w:rPr>
          <w:color w:val="000000"/>
        </w:rPr>
        <w:t xml:space="preserve"> </w:t>
      </w:r>
      <w:r w:rsidR="00E410DE">
        <w:rPr>
          <w:color w:val="000000"/>
        </w:rPr>
        <w:t>EU ETS</w:t>
      </w:r>
      <w:r>
        <w:rPr>
          <w:color w:val="000000"/>
        </w:rPr>
        <w:t>-Emissionsbericht.</w:t>
      </w:r>
      <w:r w:rsidR="004F7810">
        <w:rPr>
          <w:rStyle w:val="Funotenzeichen"/>
          <w:color w:val="000000"/>
        </w:rPr>
        <w:footnoteReference w:id="2"/>
      </w:r>
    </w:p>
    <w:p w14:paraId="432DCB7F" w14:textId="77777777" w:rsidR="00D6452B" w:rsidRDefault="00D6452B" w:rsidP="0024520E">
      <w:pPr>
        <w:rPr>
          <w:color w:val="000000"/>
        </w:rPr>
      </w:pPr>
    </w:p>
    <w:p w14:paraId="32E0F56D" w14:textId="79FF1DB6" w:rsidR="00D6452B" w:rsidRPr="00D6452B" w:rsidRDefault="00D6452B" w:rsidP="0024520E">
      <w:pPr>
        <w:rPr>
          <w:color w:val="000000"/>
        </w:rPr>
      </w:pPr>
      <w:r>
        <w:rPr>
          <w:color w:val="000000"/>
        </w:rPr>
        <w:t xml:space="preserve">Gleichzeitig berichten BEHG-Verantwortliche </w:t>
      </w:r>
      <w:r w:rsidRPr="00D6452B">
        <w:rPr>
          <w:color w:val="000000"/>
          <w:u w:val="single"/>
        </w:rPr>
        <w:t>alle</w:t>
      </w:r>
      <w:r>
        <w:rPr>
          <w:color w:val="000000"/>
        </w:rPr>
        <w:t xml:space="preserve"> </w:t>
      </w:r>
      <w:r w:rsidRPr="00D6452B">
        <w:rPr>
          <w:color w:val="000000"/>
        </w:rPr>
        <w:t>CO</w:t>
      </w:r>
      <w:r w:rsidRPr="00D6452B">
        <w:rPr>
          <w:color w:val="000000"/>
          <w:vertAlign w:val="subscript"/>
        </w:rPr>
        <w:t>2</w:t>
      </w:r>
      <w:r>
        <w:rPr>
          <w:color w:val="000000"/>
        </w:rPr>
        <w:t xml:space="preserve">-Emissionen der von ihnen in Verkehr gebrachten Brenn- und Kraftstoffe an die </w:t>
      </w:r>
      <w:proofErr w:type="spellStart"/>
      <w:r>
        <w:rPr>
          <w:color w:val="000000"/>
        </w:rPr>
        <w:t>DEHSt</w:t>
      </w:r>
      <w:proofErr w:type="spellEnd"/>
      <w:r>
        <w:rPr>
          <w:color w:val="000000"/>
        </w:rPr>
        <w:t xml:space="preserve"> (</w:t>
      </w:r>
      <w:r w:rsidRPr="00D6452B">
        <w:rPr>
          <w:color w:val="000000"/>
          <w:u w:val="single"/>
        </w:rPr>
        <w:t xml:space="preserve">keine Abzugsmöglichkeit für </w:t>
      </w:r>
      <w:r w:rsidR="00E410DE">
        <w:rPr>
          <w:color w:val="000000"/>
          <w:u w:val="single"/>
        </w:rPr>
        <w:t>EU ETS</w:t>
      </w:r>
      <w:r w:rsidRPr="00D6452B">
        <w:rPr>
          <w:color w:val="000000"/>
          <w:u w:val="single"/>
        </w:rPr>
        <w:t>-Anlagen</w:t>
      </w:r>
      <w:r>
        <w:rPr>
          <w:color w:val="000000"/>
        </w:rPr>
        <w:t xml:space="preserve">). Für diese berichteten </w:t>
      </w:r>
      <w:r w:rsidRPr="00D6452B">
        <w:rPr>
          <w:color w:val="000000"/>
        </w:rPr>
        <w:t>CO</w:t>
      </w:r>
      <w:r w:rsidRPr="00D6452B">
        <w:rPr>
          <w:color w:val="000000"/>
          <w:vertAlign w:val="subscript"/>
        </w:rPr>
        <w:t>2</w:t>
      </w:r>
      <w:r>
        <w:rPr>
          <w:color w:val="000000"/>
        </w:rPr>
        <w:t xml:space="preserve">-Emissionen müssen BEHG-Verantwortliche auch entsprechend Zertifikate abgeben. Die erwarteten </w:t>
      </w:r>
      <w:r w:rsidRPr="00D6452B">
        <w:rPr>
          <w:color w:val="000000"/>
        </w:rPr>
        <w:t>CO</w:t>
      </w:r>
      <w:r w:rsidRPr="00D6452B">
        <w:rPr>
          <w:color w:val="000000"/>
          <w:vertAlign w:val="subscript"/>
        </w:rPr>
        <w:t>2</w:t>
      </w:r>
      <w:r>
        <w:rPr>
          <w:color w:val="000000"/>
        </w:rPr>
        <w:t xml:space="preserve">-Kosten wälzen sie entsprechend an </w:t>
      </w:r>
      <w:r w:rsidRPr="00D6452B">
        <w:rPr>
          <w:color w:val="000000"/>
          <w:u w:val="single"/>
        </w:rPr>
        <w:t>alle</w:t>
      </w:r>
      <w:r>
        <w:rPr>
          <w:color w:val="000000"/>
          <w:u w:val="single"/>
        </w:rPr>
        <w:t xml:space="preserve"> </w:t>
      </w:r>
      <w:r>
        <w:rPr>
          <w:color w:val="000000"/>
        </w:rPr>
        <w:t xml:space="preserve">Kunden weiter (ohne Unterscheidung zwischen </w:t>
      </w:r>
      <w:r w:rsidR="00E410DE">
        <w:rPr>
          <w:color w:val="000000"/>
        </w:rPr>
        <w:t>EU ETS</w:t>
      </w:r>
      <w:r>
        <w:rPr>
          <w:color w:val="000000"/>
        </w:rPr>
        <w:t>-Anlagen und anderen Kunden).</w:t>
      </w:r>
    </w:p>
    <w:p w14:paraId="4EE4997B" w14:textId="77777777" w:rsidR="00D6452B" w:rsidRDefault="00D6452B" w:rsidP="0024520E">
      <w:pPr>
        <w:rPr>
          <w:color w:val="000000"/>
        </w:rPr>
      </w:pPr>
    </w:p>
    <w:p w14:paraId="4FDF0E2D" w14:textId="41C46459" w:rsidR="0024520E" w:rsidRDefault="0008352F" w:rsidP="0024520E">
      <w:pPr>
        <w:rPr>
          <w:color w:val="000000"/>
        </w:rPr>
      </w:pPr>
      <w:r>
        <w:rPr>
          <w:color w:val="000000"/>
        </w:rPr>
        <w:t xml:space="preserve">Die zugeteilten Emissionszertifikate besitzen im Wesentlichen dieselben Eigenschaften wie reguläre nationale Emissionszertifikate. Ein Industrieunternehmen mit </w:t>
      </w:r>
      <w:r w:rsidR="00E410DE">
        <w:rPr>
          <w:color w:val="000000"/>
        </w:rPr>
        <w:t>EU ETS</w:t>
      </w:r>
      <w:r>
        <w:rPr>
          <w:color w:val="000000"/>
        </w:rPr>
        <w:t xml:space="preserve">-Anlagen kann seine Zuteilung nun im Verlaufe des Jahres dafür nutzen, den </w:t>
      </w:r>
      <w:r w:rsidRPr="0008352F">
        <w:rPr>
          <w:color w:val="000000"/>
        </w:rPr>
        <w:t>CO</w:t>
      </w:r>
      <w:r w:rsidRPr="0008352F">
        <w:rPr>
          <w:color w:val="000000"/>
          <w:vertAlign w:val="subscript"/>
        </w:rPr>
        <w:t>2</w:t>
      </w:r>
      <w:r>
        <w:rPr>
          <w:color w:val="000000"/>
        </w:rPr>
        <w:t xml:space="preserve">-Aufschlag auf Brennstoffe </w:t>
      </w:r>
      <w:r w:rsidR="00D6452B">
        <w:rPr>
          <w:color w:val="000000"/>
        </w:rPr>
        <w:t xml:space="preserve">gegenüber seinen Brennstofflieferanten </w:t>
      </w:r>
      <w:r>
        <w:rPr>
          <w:color w:val="000000"/>
        </w:rPr>
        <w:t>zu begleichen</w:t>
      </w:r>
      <w:r w:rsidR="00D6452B">
        <w:rPr>
          <w:color w:val="000000"/>
        </w:rPr>
        <w:t xml:space="preserve"> (Vorab-Befreiung vom </w:t>
      </w:r>
      <w:r w:rsidR="00D6452B" w:rsidRPr="00D6452B">
        <w:rPr>
          <w:color w:val="000000"/>
        </w:rPr>
        <w:t>CO</w:t>
      </w:r>
      <w:r w:rsidR="00D6452B" w:rsidRPr="00D6452B">
        <w:rPr>
          <w:color w:val="000000"/>
          <w:vertAlign w:val="subscript"/>
        </w:rPr>
        <w:t>2</w:t>
      </w:r>
      <w:r w:rsidR="00D6452B">
        <w:rPr>
          <w:color w:val="000000"/>
        </w:rPr>
        <w:t xml:space="preserve">-Aufschlag zum Zeitpunkt der Brennstofflieferung). Die genauen Modalitäten sind hierbei der individuellen Gestaltung der Lieferverträge überlassen. BEHG-Verantwortliche können die Zertifikate, die sie von </w:t>
      </w:r>
      <w:r w:rsidR="00E410DE">
        <w:rPr>
          <w:color w:val="000000"/>
        </w:rPr>
        <w:t>EU ETS</w:t>
      </w:r>
      <w:r w:rsidR="00D6452B">
        <w:rPr>
          <w:color w:val="000000"/>
        </w:rPr>
        <w:t xml:space="preserve">-Anlagen erhalten, für ihre Abgabeverpflichtung gegenüber der </w:t>
      </w:r>
      <w:proofErr w:type="spellStart"/>
      <w:r w:rsidR="00D6452B">
        <w:rPr>
          <w:color w:val="000000"/>
        </w:rPr>
        <w:t>DEHSt</w:t>
      </w:r>
      <w:proofErr w:type="spellEnd"/>
      <w:r w:rsidR="00D6452B">
        <w:rPr>
          <w:color w:val="000000"/>
        </w:rPr>
        <w:t xml:space="preserve"> nutzen.</w:t>
      </w:r>
    </w:p>
    <w:p w14:paraId="7DEAC3D9" w14:textId="77777777" w:rsidR="00D6452B" w:rsidRDefault="00D6452B" w:rsidP="0024520E">
      <w:pPr>
        <w:rPr>
          <w:color w:val="000000"/>
        </w:rPr>
      </w:pPr>
    </w:p>
    <w:p w14:paraId="2E619078" w14:textId="35A7F72D" w:rsidR="00D6452B" w:rsidRDefault="00D6452B" w:rsidP="0024520E">
      <w:pPr>
        <w:rPr>
          <w:color w:val="000000"/>
        </w:rPr>
      </w:pPr>
      <w:r>
        <w:rPr>
          <w:color w:val="000000"/>
        </w:rPr>
        <w:t xml:space="preserve">In der Regel dürfte diese Vorab-Befreiung bei direkten Lieferbeziehungen zwischen einer </w:t>
      </w:r>
      <w:r w:rsidR="00E410DE">
        <w:rPr>
          <w:color w:val="000000"/>
        </w:rPr>
        <w:t>EU ETS</w:t>
      </w:r>
      <w:r>
        <w:rPr>
          <w:color w:val="000000"/>
        </w:rPr>
        <w:t xml:space="preserve">-Anlage und einem BEHG-Verantwortlichen relevant sein. Empfängt eine </w:t>
      </w:r>
      <w:r w:rsidR="00E410DE">
        <w:rPr>
          <w:color w:val="000000"/>
        </w:rPr>
        <w:t>EU ETS</w:t>
      </w:r>
      <w:r>
        <w:rPr>
          <w:color w:val="000000"/>
        </w:rPr>
        <w:t xml:space="preserve">-Anlage ihre Brennstoffe dagegen von einem Zwischenlieferanten, so hat dieser den </w:t>
      </w:r>
      <w:r w:rsidRPr="00D6452B">
        <w:rPr>
          <w:color w:val="000000"/>
        </w:rPr>
        <w:t>CO</w:t>
      </w:r>
      <w:r w:rsidRPr="00D6452B">
        <w:rPr>
          <w:color w:val="000000"/>
          <w:vertAlign w:val="subscript"/>
        </w:rPr>
        <w:t>2</w:t>
      </w:r>
      <w:r>
        <w:rPr>
          <w:color w:val="000000"/>
        </w:rPr>
        <w:t xml:space="preserve">-Preisaufschlag gegenüber seinem Vorlieferanten bereits in Euro geleistet und wird eine Begleichung „in Zertifikaten“ wahrscheinlich nicht akzeptieren. Am Ende des Kalenderjahres könnten also einige für dieses Jahr zugeteilte Zertifikate auf dem </w:t>
      </w:r>
      <w:proofErr w:type="spellStart"/>
      <w:r>
        <w:rPr>
          <w:color w:val="000000"/>
        </w:rPr>
        <w:t>nEHS</w:t>
      </w:r>
      <w:proofErr w:type="spellEnd"/>
      <w:r>
        <w:rPr>
          <w:color w:val="000000"/>
        </w:rPr>
        <w:t xml:space="preserve">-Konto der </w:t>
      </w:r>
      <w:r w:rsidR="00E410DE">
        <w:rPr>
          <w:color w:val="000000"/>
        </w:rPr>
        <w:t>EU ETS</w:t>
      </w:r>
      <w:r>
        <w:rPr>
          <w:color w:val="000000"/>
        </w:rPr>
        <w:t xml:space="preserve">-Anlage „übrig bleiben“. Diese </w:t>
      </w:r>
      <w:r w:rsidR="004F7810">
        <w:rPr>
          <w:color w:val="000000"/>
        </w:rPr>
        <w:t xml:space="preserve">„übrig gebliebenen“ </w:t>
      </w:r>
      <w:r>
        <w:rPr>
          <w:color w:val="000000"/>
        </w:rPr>
        <w:t xml:space="preserve">Zertifikate kann die </w:t>
      </w:r>
      <w:r w:rsidR="00E410DE">
        <w:rPr>
          <w:color w:val="000000"/>
        </w:rPr>
        <w:t>EU ETS</w:t>
      </w:r>
      <w:r>
        <w:rPr>
          <w:color w:val="000000"/>
        </w:rPr>
        <w:t xml:space="preserve">-Anlage </w:t>
      </w:r>
      <w:r w:rsidR="004F7810">
        <w:rPr>
          <w:color w:val="000000"/>
        </w:rPr>
        <w:t xml:space="preserve">ab dem Folgejahr </w:t>
      </w:r>
      <w:r>
        <w:rPr>
          <w:color w:val="000000"/>
        </w:rPr>
        <w:t xml:space="preserve">jederzeit an die </w:t>
      </w:r>
      <w:proofErr w:type="spellStart"/>
      <w:r>
        <w:rPr>
          <w:color w:val="000000"/>
        </w:rPr>
        <w:t>DEHSt</w:t>
      </w:r>
      <w:proofErr w:type="spellEnd"/>
      <w:r>
        <w:rPr>
          <w:color w:val="000000"/>
        </w:rPr>
        <w:t xml:space="preserve"> zurückgeben</w:t>
      </w:r>
      <w:r w:rsidR="004F7810">
        <w:rPr>
          <w:color w:val="000000"/>
        </w:rPr>
        <w:t xml:space="preserve">. Im Gegenzug zahlt die </w:t>
      </w:r>
      <w:proofErr w:type="spellStart"/>
      <w:r w:rsidR="004F7810">
        <w:rPr>
          <w:color w:val="000000"/>
        </w:rPr>
        <w:t>DEHSt</w:t>
      </w:r>
      <w:proofErr w:type="spellEnd"/>
      <w:r w:rsidR="004F7810">
        <w:rPr>
          <w:color w:val="000000"/>
        </w:rPr>
        <w:t xml:space="preserve"> pro Zertifikat den durchschnittlichen nationalen </w:t>
      </w:r>
      <w:r w:rsidR="004F7810" w:rsidRPr="004F7810">
        <w:rPr>
          <w:color w:val="000000"/>
        </w:rPr>
        <w:t>CO</w:t>
      </w:r>
      <w:r w:rsidR="004F7810" w:rsidRPr="004F7810">
        <w:rPr>
          <w:color w:val="000000"/>
          <w:vertAlign w:val="subscript"/>
        </w:rPr>
        <w:t>2</w:t>
      </w:r>
      <w:r w:rsidR="004F7810">
        <w:rPr>
          <w:color w:val="000000"/>
        </w:rPr>
        <w:t>-Preis des Ausgabejahres. Somit wäre neben der Vorab-Befreiung auch die ex post-Erstattung nach § 11 Abs. 2 BEHG mittels Zertifikaten umsetzbar.</w:t>
      </w:r>
      <w:r w:rsidR="004F7810">
        <w:rPr>
          <w:rStyle w:val="Funotenzeichen"/>
          <w:color w:val="000000"/>
        </w:rPr>
        <w:footnoteReference w:id="3"/>
      </w:r>
    </w:p>
    <w:p w14:paraId="25E918E4" w14:textId="77777777" w:rsidR="004F7810" w:rsidRDefault="004F7810" w:rsidP="0024520E">
      <w:pPr>
        <w:rPr>
          <w:color w:val="000000"/>
        </w:rPr>
      </w:pPr>
    </w:p>
    <w:p w14:paraId="7A6CA19D" w14:textId="01E9974E" w:rsidR="004F7810" w:rsidRDefault="004F7810" w:rsidP="0024520E">
      <w:pPr>
        <w:rPr>
          <w:color w:val="000000"/>
        </w:rPr>
      </w:pPr>
      <w:r>
        <w:rPr>
          <w:color w:val="000000"/>
        </w:rPr>
        <w:t xml:space="preserve">Das Prinzip der Zuteilung </w:t>
      </w:r>
      <w:r w:rsidR="00B84882">
        <w:rPr>
          <w:color w:val="000000"/>
        </w:rPr>
        <w:t xml:space="preserve">im </w:t>
      </w:r>
      <w:proofErr w:type="spellStart"/>
      <w:r w:rsidR="00B84882">
        <w:rPr>
          <w:color w:val="000000"/>
        </w:rPr>
        <w:t>nEHS</w:t>
      </w:r>
      <w:proofErr w:type="spellEnd"/>
      <w:r w:rsidR="00B84882">
        <w:rPr>
          <w:color w:val="000000"/>
        </w:rPr>
        <w:t xml:space="preserve"> ist in den Abbildungen 5</w:t>
      </w:r>
      <w:r>
        <w:rPr>
          <w:color w:val="000000"/>
        </w:rPr>
        <w:t xml:space="preserve"> </w:t>
      </w:r>
      <w:r w:rsidR="0059240F">
        <w:rPr>
          <w:color w:val="000000"/>
        </w:rPr>
        <w:t xml:space="preserve">(System) </w:t>
      </w:r>
      <w:r w:rsidR="00B84882">
        <w:rPr>
          <w:color w:val="000000"/>
        </w:rPr>
        <w:t>und 6</w:t>
      </w:r>
      <w:r>
        <w:rPr>
          <w:color w:val="000000"/>
        </w:rPr>
        <w:t xml:space="preserve"> </w:t>
      </w:r>
      <w:r w:rsidR="0059240F">
        <w:rPr>
          <w:color w:val="000000"/>
        </w:rPr>
        <w:t xml:space="preserve">(Zeitstrahl) </w:t>
      </w:r>
      <w:r>
        <w:rPr>
          <w:color w:val="000000"/>
        </w:rPr>
        <w:t>zusammenfassend dargestellt.</w:t>
      </w:r>
    </w:p>
    <w:p w14:paraId="7BCF3513" w14:textId="5F14C94F" w:rsidR="004F7810" w:rsidRPr="00B84882" w:rsidRDefault="004F7810" w:rsidP="0024520E">
      <w:pPr>
        <w:rPr>
          <w:b/>
          <w:color w:val="000000"/>
        </w:rPr>
      </w:pPr>
      <w:r w:rsidRPr="00B84882">
        <w:rPr>
          <w:b/>
          <w:color w:val="000000"/>
        </w:rPr>
        <w:lastRenderedPageBreak/>
        <w:t xml:space="preserve">Vorteile des </w:t>
      </w:r>
      <w:r w:rsidR="00D753D9" w:rsidRPr="00B84882">
        <w:rPr>
          <w:b/>
          <w:color w:val="000000"/>
        </w:rPr>
        <w:t>Zuteilungs</w:t>
      </w:r>
      <w:r w:rsidRPr="00B84882">
        <w:rPr>
          <w:b/>
          <w:color w:val="000000"/>
        </w:rPr>
        <w:t>systems wären insbesondere:</w:t>
      </w:r>
    </w:p>
    <w:p w14:paraId="760F9DB9" w14:textId="77777777" w:rsidR="00D753D9" w:rsidRDefault="00D753D9" w:rsidP="0024520E">
      <w:pPr>
        <w:rPr>
          <w:color w:val="000000"/>
        </w:rPr>
      </w:pPr>
    </w:p>
    <w:p w14:paraId="77F4F9D4" w14:textId="767E4A76" w:rsidR="004F7810" w:rsidRDefault="004F7810" w:rsidP="004F7810">
      <w:pPr>
        <w:pStyle w:val="Listenabsatz"/>
        <w:numPr>
          <w:ilvl w:val="0"/>
          <w:numId w:val="6"/>
        </w:numPr>
        <w:rPr>
          <w:color w:val="000000"/>
        </w:rPr>
      </w:pPr>
      <w:r>
        <w:rPr>
          <w:color w:val="000000"/>
        </w:rPr>
        <w:t xml:space="preserve">Vorab-Befreiung von </w:t>
      </w:r>
      <w:r w:rsidR="00E410DE">
        <w:rPr>
          <w:color w:val="000000"/>
        </w:rPr>
        <w:t>EU ETS</w:t>
      </w:r>
      <w:r>
        <w:rPr>
          <w:color w:val="000000"/>
        </w:rPr>
        <w:t xml:space="preserve">-Anlagen würde unmittelbar bei den </w:t>
      </w:r>
      <w:r w:rsidR="00E410DE">
        <w:rPr>
          <w:color w:val="000000"/>
        </w:rPr>
        <w:t>EU ETS</w:t>
      </w:r>
      <w:r>
        <w:rPr>
          <w:color w:val="000000"/>
        </w:rPr>
        <w:t xml:space="preserve">-Anlagen ansetzen. BEHG-Verantwortliche </w:t>
      </w:r>
      <w:r w:rsidR="001834E0">
        <w:rPr>
          <w:color w:val="000000"/>
        </w:rPr>
        <w:t xml:space="preserve">hätten keinen </w:t>
      </w:r>
      <w:r w:rsidRPr="004F7810">
        <w:rPr>
          <w:color w:val="000000"/>
        </w:rPr>
        <w:t>CO</w:t>
      </w:r>
      <w:r w:rsidRPr="004F7810">
        <w:rPr>
          <w:color w:val="000000"/>
          <w:vertAlign w:val="subscript"/>
        </w:rPr>
        <w:t>2</w:t>
      </w:r>
      <w:r>
        <w:rPr>
          <w:color w:val="000000"/>
        </w:rPr>
        <w:t>-Kostenvorteil</w:t>
      </w:r>
      <w:r w:rsidR="001834E0">
        <w:rPr>
          <w:color w:val="000000"/>
        </w:rPr>
        <w:t>, den sie</w:t>
      </w:r>
      <w:r>
        <w:rPr>
          <w:color w:val="000000"/>
        </w:rPr>
        <w:t xml:space="preserve"> an </w:t>
      </w:r>
      <w:r w:rsidR="00E410DE">
        <w:rPr>
          <w:color w:val="000000"/>
        </w:rPr>
        <w:t>EU ETS</w:t>
      </w:r>
      <w:r w:rsidR="001834E0">
        <w:rPr>
          <w:color w:val="000000"/>
        </w:rPr>
        <w:t xml:space="preserve">-Anlagen </w:t>
      </w:r>
      <w:r>
        <w:rPr>
          <w:color w:val="000000"/>
        </w:rPr>
        <w:t>weiterreichen</w:t>
      </w:r>
      <w:r w:rsidR="001834E0">
        <w:rPr>
          <w:color w:val="000000"/>
        </w:rPr>
        <w:t xml:space="preserve"> müssten</w:t>
      </w:r>
      <w:r>
        <w:rPr>
          <w:color w:val="000000"/>
        </w:rPr>
        <w:t>.</w:t>
      </w:r>
      <w:r w:rsidR="001834E0">
        <w:rPr>
          <w:color w:val="000000"/>
        </w:rPr>
        <w:t xml:space="preserve"> Insofern entfiele auch das Risiko von Windfall-Profits.</w:t>
      </w:r>
    </w:p>
    <w:p w14:paraId="23C6E87B" w14:textId="7D7242DF" w:rsidR="004F7810" w:rsidRDefault="004F7810" w:rsidP="004F7810">
      <w:pPr>
        <w:pStyle w:val="Listenabsatz"/>
        <w:numPr>
          <w:ilvl w:val="0"/>
          <w:numId w:val="6"/>
        </w:numPr>
        <w:rPr>
          <w:color w:val="000000"/>
        </w:rPr>
      </w:pPr>
      <w:r>
        <w:rPr>
          <w:color w:val="000000"/>
        </w:rPr>
        <w:t xml:space="preserve">In Verhandlungen mit den BEHG-Verantwortlichen hätten </w:t>
      </w:r>
      <w:r w:rsidR="00E410DE">
        <w:rPr>
          <w:color w:val="000000"/>
        </w:rPr>
        <w:t>EU ETS</w:t>
      </w:r>
      <w:r>
        <w:rPr>
          <w:color w:val="000000"/>
        </w:rPr>
        <w:t>-Anlagen konkret etwas anzubieten, was diese für ihre Abgabeverpflichtung verwenden können.</w:t>
      </w:r>
    </w:p>
    <w:p w14:paraId="5F2F214F" w14:textId="07C04656" w:rsidR="004F7810" w:rsidRDefault="004F7810" w:rsidP="004F7810">
      <w:pPr>
        <w:pStyle w:val="Listenabsatz"/>
        <w:numPr>
          <w:ilvl w:val="0"/>
          <w:numId w:val="6"/>
        </w:numPr>
        <w:rPr>
          <w:color w:val="000000"/>
        </w:rPr>
      </w:pPr>
      <w:r>
        <w:rPr>
          <w:color w:val="000000"/>
        </w:rPr>
        <w:t xml:space="preserve">Bereits in der Festpreisphase würde ein </w:t>
      </w:r>
      <w:proofErr w:type="spellStart"/>
      <w:r>
        <w:rPr>
          <w:color w:val="000000"/>
        </w:rPr>
        <w:t>Zertifikatehandel</w:t>
      </w:r>
      <w:proofErr w:type="spellEnd"/>
      <w:r>
        <w:rPr>
          <w:color w:val="000000"/>
        </w:rPr>
        <w:t xml:space="preserve"> zwischen verschiedenen Marktakteuren stattfinden – Wesensmerkmal eines funktionierenden Emissionshandels.</w:t>
      </w:r>
    </w:p>
    <w:p w14:paraId="6CF4D5F0" w14:textId="74FEEF6A" w:rsidR="004F7810" w:rsidRDefault="004F7810" w:rsidP="004F7810">
      <w:pPr>
        <w:pStyle w:val="Listenabsatz"/>
        <w:numPr>
          <w:ilvl w:val="0"/>
          <w:numId w:val="6"/>
        </w:numPr>
        <w:rPr>
          <w:color w:val="000000"/>
        </w:rPr>
      </w:pPr>
      <w:r>
        <w:rPr>
          <w:color w:val="000000"/>
        </w:rPr>
        <w:t xml:space="preserve">Durch die Zuteilung </w:t>
      </w:r>
      <w:r w:rsidR="0059240F">
        <w:rPr>
          <w:color w:val="000000"/>
        </w:rPr>
        <w:t>wäre</w:t>
      </w:r>
      <w:r w:rsidR="00B14139">
        <w:rPr>
          <w:color w:val="000000"/>
        </w:rPr>
        <w:t xml:space="preserve"> sichergestellt, dass eine Befreiung vom </w:t>
      </w:r>
      <w:r w:rsidR="00B14139" w:rsidRPr="00B14139">
        <w:rPr>
          <w:color w:val="000000"/>
        </w:rPr>
        <w:t>CO</w:t>
      </w:r>
      <w:r w:rsidR="00B14139" w:rsidRPr="00B14139">
        <w:rPr>
          <w:color w:val="000000"/>
          <w:vertAlign w:val="subscript"/>
        </w:rPr>
        <w:t>2</w:t>
      </w:r>
      <w:r w:rsidR="00B14139">
        <w:rPr>
          <w:color w:val="000000"/>
        </w:rPr>
        <w:t xml:space="preserve">-Preisaufschlag jedes Jahr maximal in Höhe der </w:t>
      </w:r>
      <w:r w:rsidR="00E410DE">
        <w:rPr>
          <w:color w:val="000000"/>
        </w:rPr>
        <w:t>EU ETS</w:t>
      </w:r>
      <w:r w:rsidR="00B14139">
        <w:rPr>
          <w:color w:val="000000"/>
        </w:rPr>
        <w:t>-Brennstoffemissionen dieses Jahres erfolgt.</w:t>
      </w:r>
    </w:p>
    <w:p w14:paraId="28EDCD2E" w14:textId="7D240046" w:rsidR="001834E0" w:rsidRDefault="001834E0" w:rsidP="001834E0">
      <w:pPr>
        <w:pStyle w:val="Listenabsatz"/>
        <w:numPr>
          <w:ilvl w:val="0"/>
          <w:numId w:val="6"/>
        </w:numPr>
        <w:rPr>
          <w:color w:val="000000"/>
        </w:rPr>
      </w:pPr>
      <w:r>
        <w:rPr>
          <w:color w:val="000000"/>
        </w:rPr>
        <w:t xml:space="preserve">Eine </w:t>
      </w:r>
      <w:r w:rsidRPr="001834E0">
        <w:rPr>
          <w:color w:val="000000"/>
        </w:rPr>
        <w:t>Doppelzählung zwischen ex ante</w:t>
      </w:r>
      <w:r>
        <w:rPr>
          <w:color w:val="000000"/>
        </w:rPr>
        <w:t>-Befreiung</w:t>
      </w:r>
      <w:r w:rsidRPr="001834E0">
        <w:rPr>
          <w:color w:val="000000"/>
        </w:rPr>
        <w:t xml:space="preserve"> </w:t>
      </w:r>
      <w:r>
        <w:rPr>
          <w:color w:val="000000"/>
        </w:rPr>
        <w:t xml:space="preserve">(§ 7 Abs. 5 BEHG) </w:t>
      </w:r>
      <w:r w:rsidRPr="001834E0">
        <w:rPr>
          <w:color w:val="000000"/>
        </w:rPr>
        <w:t>und ex post</w:t>
      </w:r>
      <w:r>
        <w:rPr>
          <w:color w:val="000000"/>
        </w:rPr>
        <w:t>-Erstattung (§ 11 Abs. 2 BEHG)</w:t>
      </w:r>
      <w:r w:rsidRPr="001834E0">
        <w:rPr>
          <w:color w:val="000000"/>
        </w:rPr>
        <w:t xml:space="preserve"> </w:t>
      </w:r>
      <w:r>
        <w:rPr>
          <w:color w:val="000000"/>
        </w:rPr>
        <w:t>wäre nicht möglich. Die e</w:t>
      </w:r>
      <w:r w:rsidRPr="001834E0">
        <w:rPr>
          <w:color w:val="000000"/>
        </w:rPr>
        <w:t>x post-Erstattung</w:t>
      </w:r>
      <w:r>
        <w:rPr>
          <w:color w:val="000000"/>
        </w:rPr>
        <w:t xml:space="preserve"> würde</w:t>
      </w:r>
      <w:r w:rsidRPr="001834E0">
        <w:rPr>
          <w:color w:val="000000"/>
        </w:rPr>
        <w:t xml:space="preserve"> automatisch nur für diejenigen Brennstoffemissionen gewährt, für die die ex ante-Befreiung (aus welchem Grund auch immer) nicht </w:t>
      </w:r>
      <w:r>
        <w:rPr>
          <w:color w:val="000000"/>
        </w:rPr>
        <w:t>in Anspruch genommen wurde</w:t>
      </w:r>
      <w:r w:rsidRPr="001834E0">
        <w:rPr>
          <w:color w:val="000000"/>
        </w:rPr>
        <w:t>.</w:t>
      </w:r>
    </w:p>
    <w:p w14:paraId="633096D2" w14:textId="1EE09AB2" w:rsidR="00025FBF" w:rsidRDefault="00025FBF" w:rsidP="004F7810">
      <w:pPr>
        <w:pStyle w:val="Listenabsatz"/>
        <w:numPr>
          <w:ilvl w:val="0"/>
          <w:numId w:val="6"/>
        </w:numPr>
        <w:rPr>
          <w:color w:val="000000"/>
        </w:rPr>
      </w:pPr>
      <w:r>
        <w:rPr>
          <w:color w:val="000000"/>
        </w:rPr>
        <w:t xml:space="preserve">Die Befreiung von </w:t>
      </w:r>
      <w:r w:rsidR="00E410DE">
        <w:rPr>
          <w:color w:val="000000"/>
        </w:rPr>
        <w:t>EU ETS</w:t>
      </w:r>
      <w:r>
        <w:rPr>
          <w:color w:val="000000"/>
        </w:rPr>
        <w:t xml:space="preserve">-Anlagen vom nationalen </w:t>
      </w:r>
      <w:r w:rsidRPr="00025FBF">
        <w:rPr>
          <w:color w:val="000000"/>
        </w:rPr>
        <w:t>CO</w:t>
      </w:r>
      <w:r w:rsidRPr="00025FBF">
        <w:rPr>
          <w:color w:val="000000"/>
          <w:vertAlign w:val="subscript"/>
        </w:rPr>
        <w:t>2</w:t>
      </w:r>
      <w:r>
        <w:rPr>
          <w:color w:val="000000"/>
        </w:rPr>
        <w:t xml:space="preserve">-Preis wäre durch die </w:t>
      </w:r>
      <w:proofErr w:type="spellStart"/>
      <w:r>
        <w:rPr>
          <w:color w:val="000000"/>
        </w:rPr>
        <w:t>DEHSt</w:t>
      </w:r>
      <w:proofErr w:type="spellEnd"/>
      <w:r>
        <w:rPr>
          <w:color w:val="000000"/>
        </w:rPr>
        <w:t xml:space="preserve"> </w:t>
      </w:r>
      <w:r w:rsidR="0059240F">
        <w:rPr>
          <w:color w:val="000000"/>
        </w:rPr>
        <w:t xml:space="preserve">im </w:t>
      </w:r>
      <w:r>
        <w:rPr>
          <w:color w:val="000000"/>
        </w:rPr>
        <w:t>nati</w:t>
      </w:r>
      <w:r w:rsidR="0059240F">
        <w:rPr>
          <w:color w:val="000000"/>
        </w:rPr>
        <w:t>onalen Emissionshandelsregister</w:t>
      </w:r>
      <w:r>
        <w:rPr>
          <w:color w:val="000000"/>
        </w:rPr>
        <w:t xml:space="preserve"> vergleichsweise einfach nachvollziehbar.</w:t>
      </w:r>
    </w:p>
    <w:p w14:paraId="73D20C7E" w14:textId="75AC9EDB" w:rsidR="00B14139" w:rsidRDefault="00B14139" w:rsidP="004F7810">
      <w:pPr>
        <w:pStyle w:val="Listenabsatz"/>
        <w:numPr>
          <w:ilvl w:val="0"/>
          <w:numId w:val="6"/>
        </w:numPr>
        <w:rPr>
          <w:color w:val="000000"/>
        </w:rPr>
      </w:pPr>
      <w:r>
        <w:rPr>
          <w:color w:val="000000"/>
        </w:rPr>
        <w:t xml:space="preserve">BEHG-Verantwortliche </w:t>
      </w:r>
      <w:r w:rsidR="00025FBF">
        <w:rPr>
          <w:color w:val="000000"/>
        </w:rPr>
        <w:t>könn</w:t>
      </w:r>
      <w:r w:rsidR="0059240F">
        <w:rPr>
          <w:color w:val="000000"/>
        </w:rPr>
        <w:t>t</w:t>
      </w:r>
      <w:r w:rsidR="00025FBF">
        <w:rPr>
          <w:color w:val="000000"/>
        </w:rPr>
        <w:t xml:space="preserve">en ihre Beschaffung von </w:t>
      </w:r>
      <w:proofErr w:type="spellStart"/>
      <w:r w:rsidR="00025FBF">
        <w:rPr>
          <w:color w:val="000000"/>
        </w:rPr>
        <w:t>nEHS</w:t>
      </w:r>
      <w:proofErr w:type="spellEnd"/>
      <w:r w:rsidR="00025FBF">
        <w:rPr>
          <w:color w:val="000000"/>
        </w:rPr>
        <w:t xml:space="preserve">-Zertifikaten besser planen, da sie bei ihrer Abgabeverpflichtung nicht mehr zwischen </w:t>
      </w:r>
      <w:r w:rsidR="00E410DE">
        <w:rPr>
          <w:color w:val="000000"/>
        </w:rPr>
        <w:t>EU ETS</w:t>
      </w:r>
      <w:r w:rsidR="00025FBF">
        <w:rPr>
          <w:color w:val="000000"/>
        </w:rPr>
        <w:t xml:space="preserve">-Emissionen und anderen Emissionen unterscheiden müssen. Sie sind daher unabhängig vom </w:t>
      </w:r>
      <w:r w:rsidR="00E410DE">
        <w:rPr>
          <w:color w:val="000000"/>
        </w:rPr>
        <w:t>EU ETS</w:t>
      </w:r>
      <w:r w:rsidR="00025FBF">
        <w:rPr>
          <w:color w:val="000000"/>
        </w:rPr>
        <w:t xml:space="preserve">-Emissionsbericht. Die Begrenzung bei der </w:t>
      </w:r>
      <w:proofErr w:type="spellStart"/>
      <w:r w:rsidR="00025FBF">
        <w:rPr>
          <w:color w:val="000000"/>
        </w:rPr>
        <w:t>Zertifikatebeschaffung</w:t>
      </w:r>
      <w:proofErr w:type="spellEnd"/>
      <w:r w:rsidR="00025FBF">
        <w:rPr>
          <w:color w:val="000000"/>
        </w:rPr>
        <w:t xml:space="preserve"> in § 10 Abs. 2 Satz 3 BEHG stellt insofern kein Problem dar.</w:t>
      </w:r>
    </w:p>
    <w:p w14:paraId="76FD02A4" w14:textId="7AD5B5B1" w:rsidR="0024520E" w:rsidRDefault="00025FBF" w:rsidP="0024520E">
      <w:pPr>
        <w:pStyle w:val="Listenabsatz"/>
        <w:numPr>
          <w:ilvl w:val="0"/>
          <w:numId w:val="6"/>
        </w:numPr>
        <w:rPr>
          <w:color w:val="000000"/>
        </w:rPr>
      </w:pPr>
      <w:r>
        <w:rPr>
          <w:color w:val="000000"/>
        </w:rPr>
        <w:t>Es ist keine Sonderregelung erforderlich f</w:t>
      </w:r>
      <w:r w:rsidRPr="00025FBF">
        <w:rPr>
          <w:color w:val="000000"/>
        </w:rPr>
        <w:t xml:space="preserve">ür den Fall, dass eine </w:t>
      </w:r>
      <w:r w:rsidR="00E410DE">
        <w:rPr>
          <w:color w:val="000000"/>
        </w:rPr>
        <w:t>EU ETS</w:t>
      </w:r>
      <w:r w:rsidRPr="00025FBF">
        <w:rPr>
          <w:color w:val="000000"/>
        </w:rPr>
        <w:t>-Anlage für bestimmte Brennstoffe selbst BEHG-Verantwortlicher ist</w:t>
      </w:r>
      <w:r>
        <w:rPr>
          <w:color w:val="000000"/>
        </w:rPr>
        <w:t xml:space="preserve"> (z.B. Direktimport von Steinkohle, Einsatz alternativer Brennstoffe, energiesteuerrechtlicher </w:t>
      </w:r>
      <w:proofErr w:type="spellStart"/>
      <w:r>
        <w:rPr>
          <w:color w:val="000000"/>
        </w:rPr>
        <w:t>Liefererstatus</w:t>
      </w:r>
      <w:proofErr w:type="spellEnd"/>
      <w:r>
        <w:rPr>
          <w:color w:val="000000"/>
        </w:rPr>
        <w:t xml:space="preserve">). Auch hier könnten die </w:t>
      </w:r>
      <w:r w:rsidRPr="00025FBF">
        <w:rPr>
          <w:color w:val="000000"/>
        </w:rPr>
        <w:t xml:space="preserve">zugeteilten Zertifikate zur Erfüllung der Abgabeverpflichtung gegenüber der </w:t>
      </w:r>
      <w:proofErr w:type="spellStart"/>
      <w:r w:rsidRPr="00025FBF">
        <w:rPr>
          <w:color w:val="000000"/>
        </w:rPr>
        <w:t>DEHSt</w:t>
      </w:r>
      <w:proofErr w:type="spellEnd"/>
      <w:r w:rsidRPr="00025FBF">
        <w:rPr>
          <w:color w:val="000000"/>
        </w:rPr>
        <w:t xml:space="preserve"> genutzt werden</w:t>
      </w:r>
      <w:r>
        <w:rPr>
          <w:color w:val="000000"/>
        </w:rPr>
        <w:t>.</w:t>
      </w:r>
    </w:p>
    <w:p w14:paraId="68219677" w14:textId="5BFB21F9" w:rsidR="00025FBF" w:rsidRDefault="00025FBF" w:rsidP="0024520E">
      <w:pPr>
        <w:pStyle w:val="Listenabsatz"/>
        <w:numPr>
          <w:ilvl w:val="0"/>
          <w:numId w:val="6"/>
        </w:numPr>
        <w:rPr>
          <w:color w:val="000000"/>
        </w:rPr>
      </w:pPr>
      <w:r>
        <w:rPr>
          <w:color w:val="000000"/>
        </w:rPr>
        <w:t xml:space="preserve">Fehlanreize durch Hedging der zugeteilten Zertifikate sind ausgeschlossen. Die zugeteilten Zertifikate sind entsprechend § 9 Abs. 1 BEHG </w:t>
      </w:r>
      <w:r w:rsidR="001834E0">
        <w:rPr>
          <w:color w:val="000000"/>
        </w:rPr>
        <w:t>in der Einführungsphase nur begrenzt für die Erfüllung der Abgabeverpflichtung gültig.</w:t>
      </w:r>
    </w:p>
    <w:p w14:paraId="25DAC4D5" w14:textId="5A3500AB" w:rsidR="001834E0" w:rsidRPr="00025FBF" w:rsidRDefault="001834E0" w:rsidP="0024520E">
      <w:pPr>
        <w:pStyle w:val="Listenabsatz"/>
        <w:numPr>
          <w:ilvl w:val="0"/>
          <w:numId w:val="6"/>
        </w:numPr>
        <w:rPr>
          <w:color w:val="000000"/>
        </w:rPr>
      </w:pPr>
      <w:r>
        <w:rPr>
          <w:color w:val="000000"/>
        </w:rPr>
        <w:t xml:space="preserve">Eine Abgrenzung zwischen </w:t>
      </w:r>
      <w:r w:rsidR="00E410DE">
        <w:rPr>
          <w:color w:val="000000"/>
        </w:rPr>
        <w:t>EU ETS</w:t>
      </w:r>
      <w:r>
        <w:rPr>
          <w:color w:val="000000"/>
        </w:rPr>
        <w:t>- und Non-</w:t>
      </w:r>
      <w:r w:rsidR="00E410DE">
        <w:rPr>
          <w:color w:val="000000"/>
        </w:rPr>
        <w:t>EU ETS</w:t>
      </w:r>
      <w:r>
        <w:rPr>
          <w:color w:val="000000"/>
        </w:rPr>
        <w:t>-Anlagen auf demselben Werksgelände wäre für Brennstofflieferanten unerheblich.</w:t>
      </w:r>
    </w:p>
    <w:p w14:paraId="4F1F3E71" w14:textId="77777777" w:rsidR="0024520E" w:rsidRDefault="0024520E" w:rsidP="0024520E">
      <w:pPr>
        <w:rPr>
          <w:color w:val="000000"/>
        </w:rPr>
      </w:pPr>
    </w:p>
    <w:p w14:paraId="7CAB5601" w14:textId="77777777" w:rsidR="0024520E" w:rsidRDefault="0024520E" w:rsidP="0024520E">
      <w:pPr>
        <w:rPr>
          <w:color w:val="000000"/>
        </w:rPr>
      </w:pPr>
    </w:p>
    <w:p w14:paraId="540F6637" w14:textId="3E77DD5D" w:rsidR="0024520E" w:rsidRDefault="00E410DE" w:rsidP="0024520E">
      <w:pPr>
        <w:keepNext/>
      </w:pPr>
      <w:r>
        <w:rPr>
          <w:noProof/>
          <w:color w:val="000000"/>
          <w:lang w:val="en-GB" w:eastAsia="en-GB"/>
        </w:rPr>
        <w:lastRenderedPageBreak/>
        <w:drawing>
          <wp:inline distT="0" distB="0" distL="0" distR="0" wp14:anchorId="39FFAB04" wp14:editId="45C1FF9C">
            <wp:extent cx="5753100" cy="2705100"/>
            <wp:effectExtent l="0" t="0" r="0" b="0"/>
            <wp:docPr id="4" name="Bild 2"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0" cy="2705100"/>
                    </a:xfrm>
                    <a:prstGeom prst="rect">
                      <a:avLst/>
                    </a:prstGeom>
                    <a:noFill/>
                    <a:ln>
                      <a:noFill/>
                    </a:ln>
                  </pic:spPr>
                </pic:pic>
              </a:graphicData>
            </a:graphic>
          </wp:inline>
        </w:drawing>
      </w:r>
    </w:p>
    <w:p w14:paraId="6DD11D93" w14:textId="25A78C28" w:rsidR="0024520E" w:rsidRPr="00E242BE" w:rsidRDefault="0024520E" w:rsidP="0024520E">
      <w:pPr>
        <w:pStyle w:val="Beschriftung"/>
        <w:rPr>
          <w:color w:val="auto"/>
        </w:rPr>
      </w:pPr>
      <w:r w:rsidRPr="00E242BE">
        <w:rPr>
          <w:color w:val="auto"/>
        </w:rPr>
        <w:t xml:space="preserve">Abbildung </w:t>
      </w:r>
      <w:r w:rsidRPr="00E242BE">
        <w:rPr>
          <w:color w:val="auto"/>
        </w:rPr>
        <w:fldChar w:fldCharType="begin"/>
      </w:r>
      <w:r w:rsidRPr="00E242BE">
        <w:rPr>
          <w:color w:val="auto"/>
        </w:rPr>
        <w:instrText xml:space="preserve"> SEQ Abbildung \* ARABIC </w:instrText>
      </w:r>
      <w:r w:rsidRPr="00E242BE">
        <w:rPr>
          <w:color w:val="auto"/>
        </w:rPr>
        <w:fldChar w:fldCharType="separate"/>
      </w:r>
      <w:r w:rsidR="002747EF">
        <w:rPr>
          <w:noProof/>
          <w:color w:val="auto"/>
        </w:rPr>
        <w:t>5</w:t>
      </w:r>
      <w:r w:rsidRPr="00E242BE">
        <w:rPr>
          <w:color w:val="auto"/>
        </w:rPr>
        <w:fldChar w:fldCharType="end"/>
      </w:r>
      <w:r>
        <w:rPr>
          <w:color w:val="auto"/>
        </w:rPr>
        <w:t>.</w:t>
      </w:r>
      <w:r w:rsidR="0059240F">
        <w:rPr>
          <w:color w:val="auto"/>
        </w:rPr>
        <w:t xml:space="preserve"> System der Zuteilung von „Nachweiszertifikaten“.</w:t>
      </w:r>
    </w:p>
    <w:p w14:paraId="0D8F42DC" w14:textId="77777777" w:rsidR="0059240F" w:rsidRDefault="0059240F" w:rsidP="00DF1A62">
      <w:pPr>
        <w:rPr>
          <w:b/>
          <w:color w:val="000000"/>
          <w:u w:val="single"/>
        </w:rPr>
      </w:pPr>
    </w:p>
    <w:p w14:paraId="300673B0" w14:textId="6A90451D" w:rsidR="0059240F" w:rsidRDefault="0059240F" w:rsidP="0059240F">
      <w:pPr>
        <w:keepNext/>
      </w:pPr>
      <w:r>
        <w:rPr>
          <w:noProof/>
          <w:color w:val="000000"/>
          <w:lang w:val="en-GB" w:eastAsia="en-GB"/>
        </w:rPr>
        <mc:AlternateContent>
          <mc:Choice Requires="wps">
            <w:drawing>
              <wp:anchor distT="0" distB="0" distL="114300" distR="114300" simplePos="0" relativeHeight="251752448" behindDoc="0" locked="0" layoutInCell="1" allowOverlap="1" wp14:anchorId="48A6AD5D" wp14:editId="24A22A3B">
                <wp:simplePos x="0" y="0"/>
                <wp:positionH relativeFrom="column">
                  <wp:posOffset>-1242695</wp:posOffset>
                </wp:positionH>
                <wp:positionV relativeFrom="paragraph">
                  <wp:posOffset>168275</wp:posOffset>
                </wp:positionV>
                <wp:extent cx="255905" cy="197485"/>
                <wp:effectExtent l="0" t="19050" r="29845" b="31115"/>
                <wp:wrapNone/>
                <wp:docPr id="9" name="Pfeil: nach rechts 9"/>
                <wp:cNvGraphicFramePr/>
                <a:graphic xmlns:a="http://schemas.openxmlformats.org/drawingml/2006/main">
                  <a:graphicData uri="http://schemas.microsoft.com/office/word/2010/wordprocessingShape">
                    <wps:wsp>
                      <wps:cNvSpPr/>
                      <wps:spPr>
                        <a:xfrm>
                          <a:off x="0" y="0"/>
                          <a:ext cx="255905" cy="197485"/>
                        </a:xfrm>
                        <a:prstGeom prst="rightArrow">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DF9A23" w14:textId="77777777" w:rsidR="00B44773" w:rsidRDefault="00B44773" w:rsidP="0059240F">
                            <w:pPr>
                              <w:jc w:val="center"/>
                            </w:pPr>
                            <w:r>
                              <w:t>x</w:t>
                            </w:r>
                            <w:r w:rsidRPr="000B4C04">
                              <w:rPr>
                                <w:noProof/>
                                <w:lang w:val="en-GB" w:eastAsia="en-GB"/>
                              </w:rPr>
                              <w:drawing>
                                <wp:inline distT="0" distB="0" distL="0" distR="0" wp14:anchorId="30C95AD1" wp14:editId="37ADBF0C">
                                  <wp:extent cx="0" cy="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6AD5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9" o:spid="_x0000_s1026" type="#_x0000_t13" style="position:absolute;margin-left:-97.85pt;margin-top:13.25pt;width:20.15pt;height:15.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" adj="13266" fillcolor="white [3212]" strokecolor="#1f497d [3215]" strokeweight="2pt">
                <v:textbox>
                  <w:txbxContent>
                    <w:p w14:paraId="21DF9A23" w14:textId="77777777" w:rsidR="00B44773" w:rsidRDefault="00B44773" w:rsidP="0059240F">
                      <w:pPr>
                        <w:jc w:val="center"/>
                      </w:pPr>
                      <w:r>
                        <w:t>x</w:t>
                      </w:r>
                      <w:r w:rsidRPr="000B4C04">
                        <w:rPr>
                          <w:noProof/>
                          <w:lang w:val="en-GB" w:eastAsia="en-GB"/>
                        </w:rPr>
                        <w:drawing>
                          <wp:inline distT="0" distB="0" distL="0" distR="0" wp14:anchorId="30C95AD1" wp14:editId="37ADBF0C">
                            <wp:extent cx="0" cy="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E410DE">
        <w:rPr>
          <w:b/>
          <w:noProof/>
          <w:color w:val="000000"/>
        </w:rPr>
        <w:drawing>
          <wp:inline distT="0" distB="0" distL="0" distR="0" wp14:anchorId="69D4483D" wp14:editId="50EE8C7C">
            <wp:extent cx="5762625" cy="1333500"/>
            <wp:effectExtent l="0" t="0" r="9525" b="0"/>
            <wp:docPr id="1" name="Bild 3"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2625" cy="1333500"/>
                    </a:xfrm>
                    <a:prstGeom prst="rect">
                      <a:avLst/>
                    </a:prstGeom>
                    <a:noFill/>
                    <a:ln>
                      <a:noFill/>
                    </a:ln>
                  </pic:spPr>
                </pic:pic>
              </a:graphicData>
            </a:graphic>
          </wp:inline>
        </w:drawing>
      </w:r>
    </w:p>
    <w:p w14:paraId="6AE08EC1" w14:textId="7CAEB993" w:rsidR="0059240F" w:rsidRPr="0059240F" w:rsidRDefault="0059240F" w:rsidP="0059240F">
      <w:pPr>
        <w:pStyle w:val="Beschriftung"/>
        <w:rPr>
          <w:b w:val="0"/>
          <w:color w:val="auto"/>
        </w:rPr>
      </w:pPr>
      <w:r w:rsidRPr="0059240F">
        <w:rPr>
          <w:color w:val="auto"/>
        </w:rPr>
        <w:t xml:space="preserve">Abbildung </w:t>
      </w:r>
      <w:r w:rsidRPr="0059240F">
        <w:rPr>
          <w:color w:val="auto"/>
        </w:rPr>
        <w:fldChar w:fldCharType="begin"/>
      </w:r>
      <w:r w:rsidRPr="0059240F">
        <w:rPr>
          <w:color w:val="auto"/>
        </w:rPr>
        <w:instrText xml:space="preserve"> SEQ Abbildung \* ARABIC </w:instrText>
      </w:r>
      <w:r w:rsidRPr="0059240F">
        <w:rPr>
          <w:color w:val="auto"/>
        </w:rPr>
        <w:fldChar w:fldCharType="separate"/>
      </w:r>
      <w:r w:rsidR="002747EF">
        <w:rPr>
          <w:noProof/>
          <w:color w:val="auto"/>
        </w:rPr>
        <w:t>6</w:t>
      </w:r>
      <w:r w:rsidRPr="0059240F">
        <w:rPr>
          <w:color w:val="auto"/>
        </w:rPr>
        <w:fldChar w:fldCharType="end"/>
      </w:r>
      <w:r w:rsidRPr="0059240F">
        <w:rPr>
          <w:color w:val="auto"/>
        </w:rPr>
        <w:t>.</w:t>
      </w:r>
      <w:r>
        <w:rPr>
          <w:color w:val="auto"/>
        </w:rPr>
        <w:t xml:space="preserve"> Zeitstrahl.</w:t>
      </w:r>
    </w:p>
    <w:p w14:paraId="4799AB0D" w14:textId="77777777" w:rsidR="0059240F" w:rsidRDefault="0059240F" w:rsidP="00DF1A62">
      <w:pPr>
        <w:rPr>
          <w:b/>
          <w:color w:val="000000"/>
        </w:rPr>
      </w:pPr>
    </w:p>
    <w:p w14:paraId="0128EE2E" w14:textId="77777777" w:rsidR="00D753D9" w:rsidRDefault="00D753D9" w:rsidP="00DF1A62">
      <w:pPr>
        <w:rPr>
          <w:b/>
          <w:color w:val="000000"/>
        </w:rPr>
      </w:pPr>
    </w:p>
    <w:p w14:paraId="1D77E449" w14:textId="63D88447" w:rsidR="0024520E" w:rsidRPr="0024520E" w:rsidRDefault="0024520E" w:rsidP="00DF1A62">
      <w:pPr>
        <w:rPr>
          <w:b/>
          <w:color w:val="000000"/>
        </w:rPr>
      </w:pPr>
      <w:r w:rsidRPr="0024520E">
        <w:rPr>
          <w:b/>
          <w:color w:val="000000"/>
        </w:rPr>
        <w:t>Variante 3</w:t>
      </w:r>
    </w:p>
    <w:p w14:paraId="1B7D96DE" w14:textId="77777777" w:rsidR="0024520E" w:rsidRDefault="0024520E" w:rsidP="00DF1A62">
      <w:pPr>
        <w:rPr>
          <w:b/>
          <w:color w:val="000000"/>
          <w:u w:val="single"/>
        </w:rPr>
      </w:pPr>
    </w:p>
    <w:p w14:paraId="63B1668A" w14:textId="246DD0A4" w:rsidR="00607234" w:rsidRDefault="00C641A8" w:rsidP="00DF1A62">
      <w:pPr>
        <w:rPr>
          <w:color w:val="000000"/>
        </w:rPr>
      </w:pPr>
      <w:r w:rsidRPr="00607234">
        <w:rPr>
          <w:b/>
          <w:color w:val="000000"/>
          <w:u w:val="single"/>
        </w:rPr>
        <w:t xml:space="preserve">Wahlmöglichkeit für </w:t>
      </w:r>
      <w:r w:rsidR="00E410DE">
        <w:rPr>
          <w:b/>
          <w:color w:val="000000"/>
          <w:u w:val="single"/>
        </w:rPr>
        <w:t>EU ETS</w:t>
      </w:r>
      <w:r w:rsidRPr="00607234">
        <w:rPr>
          <w:b/>
          <w:color w:val="000000"/>
          <w:u w:val="single"/>
        </w:rPr>
        <w:t xml:space="preserve">-Werksstandorte zur direkten Teilnahme am </w:t>
      </w:r>
      <w:proofErr w:type="spellStart"/>
      <w:r w:rsidRPr="00607234">
        <w:rPr>
          <w:b/>
          <w:color w:val="000000"/>
          <w:u w:val="single"/>
        </w:rPr>
        <w:t>nEHS</w:t>
      </w:r>
      <w:proofErr w:type="spellEnd"/>
      <w:r w:rsidR="00855BEE" w:rsidRPr="00607234">
        <w:rPr>
          <w:b/>
          <w:color w:val="000000"/>
          <w:u w:val="single"/>
        </w:rPr>
        <w:br/>
      </w:r>
    </w:p>
    <w:p w14:paraId="0DFB702E" w14:textId="0D466097" w:rsidR="004F0FE5" w:rsidRDefault="00C641A8" w:rsidP="00DF1A62">
      <w:pPr>
        <w:rPr>
          <w:color w:val="000000"/>
        </w:rPr>
      </w:pPr>
      <w:r>
        <w:rPr>
          <w:color w:val="000000"/>
        </w:rPr>
        <w:t xml:space="preserve">Anlagen, die dem EU-Emissionshandel unterliegen, gehören in der Regel zu großen Industrieunternehmen mit außerordentlich hohen Brennstoffverbräuchen. Häufig erhalten diese ihre Brennstofflieferungen direkt von </w:t>
      </w:r>
      <w:r w:rsidR="00DC663E">
        <w:rPr>
          <w:color w:val="000000"/>
        </w:rPr>
        <w:t>„</w:t>
      </w:r>
      <w:r>
        <w:rPr>
          <w:color w:val="000000"/>
        </w:rPr>
        <w:t>Verantwortlichen</w:t>
      </w:r>
      <w:r w:rsidR="00DC663E">
        <w:rPr>
          <w:color w:val="000000"/>
        </w:rPr>
        <w:t>“</w:t>
      </w:r>
      <w:r>
        <w:rPr>
          <w:color w:val="000000"/>
        </w:rPr>
        <w:t xml:space="preserve"> im Sinne des BEHG oder sind – etwa im Falle des D</w:t>
      </w:r>
      <w:r w:rsidR="0055566B">
        <w:rPr>
          <w:color w:val="000000"/>
        </w:rPr>
        <w:t>irektimports von Steinkohle,</w:t>
      </w:r>
      <w:r>
        <w:rPr>
          <w:color w:val="000000"/>
        </w:rPr>
        <w:t xml:space="preserve"> beim Einsatz alternativer Brennstoffe </w:t>
      </w:r>
      <w:r w:rsidR="0055566B">
        <w:rPr>
          <w:color w:val="000000"/>
        </w:rPr>
        <w:t xml:space="preserve">oder wenn sie den energiesteuerrechtlichen </w:t>
      </w:r>
      <w:proofErr w:type="spellStart"/>
      <w:r w:rsidR="0055566B">
        <w:rPr>
          <w:color w:val="000000"/>
        </w:rPr>
        <w:t>Liefererstatus</w:t>
      </w:r>
      <w:proofErr w:type="spellEnd"/>
      <w:r w:rsidR="0055566B">
        <w:rPr>
          <w:color w:val="000000"/>
        </w:rPr>
        <w:t xml:space="preserve"> haben </w:t>
      </w:r>
      <w:r>
        <w:rPr>
          <w:color w:val="000000"/>
        </w:rPr>
        <w:t xml:space="preserve">– teilweise selbst Verantwortliche im Sinne des BEHG. Gleichzeitig sind </w:t>
      </w:r>
      <w:r w:rsidR="00E410DE">
        <w:rPr>
          <w:color w:val="000000"/>
        </w:rPr>
        <w:t>EU ETS</w:t>
      </w:r>
      <w:r>
        <w:rPr>
          <w:color w:val="000000"/>
        </w:rPr>
        <w:t xml:space="preserve">-Anlagen und ihre Emissionen der </w:t>
      </w:r>
      <w:proofErr w:type="spellStart"/>
      <w:r>
        <w:rPr>
          <w:color w:val="000000"/>
        </w:rPr>
        <w:t>DEHSt</w:t>
      </w:r>
      <w:proofErr w:type="spellEnd"/>
      <w:r>
        <w:rPr>
          <w:color w:val="000000"/>
        </w:rPr>
        <w:t xml:space="preserve"> als zuständiger Behörde für den nationalen Emissionshandel bekannt. Werksstandorten mit </w:t>
      </w:r>
      <w:r w:rsidR="00E410DE">
        <w:rPr>
          <w:color w:val="000000"/>
        </w:rPr>
        <w:t>EU ETS</w:t>
      </w:r>
      <w:r>
        <w:rPr>
          <w:color w:val="000000"/>
        </w:rPr>
        <w:t xml:space="preserve">-Anlagen </w:t>
      </w:r>
      <w:r w:rsidR="00D753D9">
        <w:rPr>
          <w:color w:val="000000"/>
        </w:rPr>
        <w:t>könnte daher ermöglicht werden</w:t>
      </w:r>
      <w:r>
        <w:rPr>
          <w:color w:val="000000"/>
        </w:rPr>
        <w:t xml:space="preserve">, selbst unmittelbar am nationalen Emissionshandel teilzunehmen. </w:t>
      </w:r>
      <w:r w:rsidR="00D753D9">
        <w:rPr>
          <w:color w:val="000000"/>
        </w:rPr>
        <w:t xml:space="preserve">Voraussetzung hierfür wäre jedoch, dass für </w:t>
      </w:r>
      <w:r w:rsidR="00E410DE">
        <w:rPr>
          <w:color w:val="000000"/>
        </w:rPr>
        <w:t>EU ETS</w:t>
      </w:r>
      <w:r w:rsidR="00D753D9">
        <w:rPr>
          <w:color w:val="000000"/>
        </w:rPr>
        <w:t xml:space="preserve">-Anlagen im BEHG ein eigener Status ähnlich dem energiesteuerrechtlichen </w:t>
      </w:r>
      <w:proofErr w:type="spellStart"/>
      <w:r w:rsidR="00D753D9">
        <w:rPr>
          <w:color w:val="000000"/>
        </w:rPr>
        <w:t>Liefererstatus</w:t>
      </w:r>
      <w:proofErr w:type="spellEnd"/>
      <w:r w:rsidR="00D753D9">
        <w:rPr>
          <w:color w:val="000000"/>
        </w:rPr>
        <w:t xml:space="preserve"> geschaffen wird. In diesem Falle würde der </w:t>
      </w:r>
      <w:r w:rsidR="00D753D9" w:rsidRPr="00D753D9">
        <w:rPr>
          <w:color w:val="000000"/>
        </w:rPr>
        <w:t>CO</w:t>
      </w:r>
      <w:r w:rsidR="00D753D9" w:rsidRPr="00D753D9">
        <w:rPr>
          <w:color w:val="000000"/>
          <w:vertAlign w:val="subscript"/>
        </w:rPr>
        <w:t>2</w:t>
      </w:r>
      <w:r w:rsidR="00D753D9">
        <w:rPr>
          <w:color w:val="000000"/>
        </w:rPr>
        <w:t xml:space="preserve">-Preis nicht beim Inverkehrbringen, sondern erst bei Verwendung des Brennstoffs </w:t>
      </w:r>
      <w:r w:rsidR="007806AF">
        <w:rPr>
          <w:color w:val="000000"/>
        </w:rPr>
        <w:t xml:space="preserve">durch die </w:t>
      </w:r>
      <w:r w:rsidR="00E410DE">
        <w:rPr>
          <w:color w:val="000000"/>
        </w:rPr>
        <w:t>EU ETS</w:t>
      </w:r>
      <w:r w:rsidR="007806AF">
        <w:rPr>
          <w:color w:val="000000"/>
        </w:rPr>
        <w:t xml:space="preserve">-Anlage </w:t>
      </w:r>
      <w:r w:rsidR="00D753D9">
        <w:rPr>
          <w:color w:val="000000"/>
        </w:rPr>
        <w:t xml:space="preserve">überhaupt entstehen. Es ist jedoch fraglich, inwiefern eine solch grundlegende Änderung im Rahmen eines Upstream-Emissionshandels juristisch und in der Praxis </w:t>
      </w:r>
      <w:r w:rsidR="007806AF">
        <w:rPr>
          <w:color w:val="000000"/>
        </w:rPr>
        <w:t xml:space="preserve">(Abgrenzung </w:t>
      </w:r>
      <w:r w:rsidR="00E410DE">
        <w:rPr>
          <w:color w:val="000000"/>
        </w:rPr>
        <w:t>EU ETS</w:t>
      </w:r>
      <w:r w:rsidR="007806AF">
        <w:rPr>
          <w:color w:val="000000"/>
        </w:rPr>
        <w:t>-/Nicht-</w:t>
      </w:r>
      <w:r w:rsidR="00E410DE">
        <w:rPr>
          <w:color w:val="000000"/>
        </w:rPr>
        <w:t>EU ETS</w:t>
      </w:r>
      <w:r w:rsidR="007806AF">
        <w:rPr>
          <w:color w:val="000000"/>
        </w:rPr>
        <w:t xml:space="preserve">-Anlagen; Brennstoffe von Zwischenlieferanten) </w:t>
      </w:r>
      <w:r w:rsidR="00D753D9">
        <w:rPr>
          <w:color w:val="000000"/>
        </w:rPr>
        <w:t>umsetzbar wäre.</w:t>
      </w:r>
    </w:p>
    <w:p w14:paraId="29F397EC" w14:textId="22254AE7" w:rsidR="00B84882" w:rsidRDefault="00B84882">
      <w:pPr>
        <w:rPr>
          <w:color w:val="000000"/>
        </w:rPr>
      </w:pPr>
      <w:r>
        <w:rPr>
          <w:color w:val="000000"/>
        </w:rPr>
        <w:br w:type="page"/>
      </w:r>
    </w:p>
    <w:p w14:paraId="24B02153" w14:textId="5B7F92A3" w:rsidR="00C047F7" w:rsidRDefault="00E242BE" w:rsidP="009E24D9">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Annex</w:t>
      </w:r>
    </w:p>
    <w:p w14:paraId="482954E0" w14:textId="77777777" w:rsidR="00E242BE" w:rsidRPr="00E242BE" w:rsidRDefault="00E242BE" w:rsidP="009E24D9">
      <w:pPr>
        <w:rPr>
          <w:rFonts w:asciiTheme="majorHAnsi" w:eastAsiaTheme="majorEastAsia" w:hAnsiTheme="majorHAnsi" w:cstheme="majorBidi"/>
          <w:color w:val="365F91" w:themeColor="accent1" w:themeShade="BF"/>
          <w:sz w:val="32"/>
          <w:szCs w:val="32"/>
        </w:rPr>
      </w:pPr>
    </w:p>
    <w:tbl>
      <w:tblPr>
        <w:tblStyle w:val="Tabellenraster"/>
        <w:tblW w:w="0" w:type="auto"/>
        <w:tblLook w:val="04A0" w:firstRow="1" w:lastRow="0" w:firstColumn="1" w:lastColumn="0" w:noHBand="0" w:noVBand="1"/>
      </w:tblPr>
      <w:tblGrid>
        <w:gridCol w:w="1703"/>
        <w:gridCol w:w="1726"/>
        <w:gridCol w:w="1548"/>
        <w:gridCol w:w="2323"/>
        <w:gridCol w:w="1762"/>
      </w:tblGrid>
      <w:tr w:rsidR="002818BE" w14:paraId="6EA8C97A" w14:textId="77777777" w:rsidTr="002818BE">
        <w:tc>
          <w:tcPr>
            <w:tcW w:w="1857" w:type="dxa"/>
          </w:tcPr>
          <w:p w14:paraId="339E0D45" w14:textId="101B6101" w:rsidR="002818BE" w:rsidRDefault="002818BE" w:rsidP="009E24D9">
            <w:pPr>
              <w:rPr>
                <w:color w:val="000000"/>
              </w:rPr>
            </w:pPr>
          </w:p>
        </w:tc>
        <w:tc>
          <w:tcPr>
            <w:tcW w:w="1857" w:type="dxa"/>
          </w:tcPr>
          <w:p w14:paraId="516FE3B0" w14:textId="4C6675F7" w:rsidR="002818BE" w:rsidRDefault="002818BE" w:rsidP="009E24D9">
            <w:pPr>
              <w:rPr>
                <w:color w:val="000000"/>
              </w:rPr>
            </w:pPr>
            <w:r>
              <w:rPr>
                <w:color w:val="000000"/>
              </w:rPr>
              <w:t>Emissionen Deutschland 2017</w:t>
            </w:r>
          </w:p>
        </w:tc>
        <w:tc>
          <w:tcPr>
            <w:tcW w:w="1858" w:type="dxa"/>
          </w:tcPr>
          <w:p w14:paraId="4C7EA5B0" w14:textId="358E5DCE" w:rsidR="002818BE" w:rsidRDefault="002818BE" w:rsidP="009E24D9">
            <w:pPr>
              <w:rPr>
                <w:color w:val="000000"/>
              </w:rPr>
            </w:pPr>
            <w:r>
              <w:rPr>
                <w:color w:val="000000"/>
              </w:rPr>
              <w:t xml:space="preserve">Anteil im </w:t>
            </w:r>
            <w:r w:rsidR="00E410DE">
              <w:rPr>
                <w:color w:val="000000"/>
              </w:rPr>
              <w:t>EU ETS</w:t>
            </w:r>
          </w:p>
        </w:tc>
        <w:tc>
          <w:tcPr>
            <w:tcW w:w="1858" w:type="dxa"/>
          </w:tcPr>
          <w:p w14:paraId="31A7271B" w14:textId="7DF4679E" w:rsidR="002818BE" w:rsidRDefault="00E410DE" w:rsidP="009E24D9">
            <w:pPr>
              <w:rPr>
                <w:color w:val="000000"/>
              </w:rPr>
            </w:pPr>
            <w:r>
              <w:rPr>
                <w:color w:val="000000"/>
              </w:rPr>
              <w:t>EU ETS</w:t>
            </w:r>
            <w:r w:rsidR="002818BE">
              <w:rPr>
                <w:color w:val="000000"/>
              </w:rPr>
              <w:t>-Brennstoffemissionen 2017</w:t>
            </w:r>
          </w:p>
        </w:tc>
        <w:tc>
          <w:tcPr>
            <w:tcW w:w="1858" w:type="dxa"/>
          </w:tcPr>
          <w:p w14:paraId="74940C4D" w14:textId="4051F606" w:rsidR="002818BE" w:rsidRDefault="002818BE" w:rsidP="009E24D9">
            <w:pPr>
              <w:rPr>
                <w:color w:val="000000"/>
              </w:rPr>
            </w:pPr>
            <w:r>
              <w:rPr>
                <w:color w:val="000000"/>
              </w:rPr>
              <w:t xml:space="preserve">Zeitpunkt der Einbeziehung in </w:t>
            </w:r>
            <w:proofErr w:type="spellStart"/>
            <w:r>
              <w:rPr>
                <w:color w:val="000000"/>
              </w:rPr>
              <w:t>nEHS</w:t>
            </w:r>
            <w:proofErr w:type="spellEnd"/>
          </w:p>
        </w:tc>
      </w:tr>
      <w:tr w:rsidR="002818BE" w14:paraId="094C6EDB" w14:textId="77777777" w:rsidTr="002818BE">
        <w:tc>
          <w:tcPr>
            <w:tcW w:w="1857" w:type="dxa"/>
          </w:tcPr>
          <w:p w14:paraId="5C462F8D" w14:textId="4F22F5BC" w:rsidR="002818BE" w:rsidRDefault="002818BE" w:rsidP="009E24D9">
            <w:pPr>
              <w:rPr>
                <w:color w:val="000000"/>
              </w:rPr>
            </w:pPr>
            <w:r>
              <w:rPr>
                <w:color w:val="000000"/>
              </w:rPr>
              <w:t>Einheit</w:t>
            </w:r>
          </w:p>
        </w:tc>
        <w:tc>
          <w:tcPr>
            <w:tcW w:w="1857" w:type="dxa"/>
          </w:tcPr>
          <w:p w14:paraId="0B9B1329" w14:textId="53BABD04" w:rsidR="002818BE" w:rsidRDefault="002818BE" w:rsidP="009E24D9">
            <w:pPr>
              <w:rPr>
                <w:color w:val="000000"/>
              </w:rPr>
            </w:pPr>
            <w:r>
              <w:rPr>
                <w:color w:val="000000"/>
              </w:rPr>
              <w:t>Mio. t CO</w:t>
            </w:r>
            <w:r w:rsidRPr="002818BE">
              <w:rPr>
                <w:color w:val="000000"/>
                <w:vertAlign w:val="subscript"/>
              </w:rPr>
              <w:t>2</w:t>
            </w:r>
          </w:p>
        </w:tc>
        <w:tc>
          <w:tcPr>
            <w:tcW w:w="1858" w:type="dxa"/>
          </w:tcPr>
          <w:p w14:paraId="573AC4B0" w14:textId="3DF2280E" w:rsidR="002818BE" w:rsidRDefault="002818BE" w:rsidP="009E24D9">
            <w:pPr>
              <w:rPr>
                <w:color w:val="000000"/>
              </w:rPr>
            </w:pPr>
            <w:r>
              <w:rPr>
                <w:color w:val="000000"/>
              </w:rPr>
              <w:t>%</w:t>
            </w:r>
          </w:p>
        </w:tc>
        <w:tc>
          <w:tcPr>
            <w:tcW w:w="1858" w:type="dxa"/>
          </w:tcPr>
          <w:p w14:paraId="04988801" w14:textId="63E3A9EF" w:rsidR="002818BE" w:rsidRDefault="002818BE" w:rsidP="009E24D9">
            <w:pPr>
              <w:rPr>
                <w:color w:val="000000"/>
              </w:rPr>
            </w:pPr>
            <w:r>
              <w:rPr>
                <w:color w:val="000000"/>
              </w:rPr>
              <w:t>Mio. t CO</w:t>
            </w:r>
            <w:r w:rsidRPr="002818BE">
              <w:rPr>
                <w:color w:val="000000"/>
                <w:vertAlign w:val="subscript"/>
              </w:rPr>
              <w:t>2</w:t>
            </w:r>
          </w:p>
        </w:tc>
        <w:tc>
          <w:tcPr>
            <w:tcW w:w="1858" w:type="dxa"/>
          </w:tcPr>
          <w:p w14:paraId="6AA64FB3" w14:textId="77777777" w:rsidR="002818BE" w:rsidRDefault="002818BE" w:rsidP="009E24D9">
            <w:pPr>
              <w:rPr>
                <w:color w:val="000000"/>
              </w:rPr>
            </w:pPr>
          </w:p>
        </w:tc>
      </w:tr>
      <w:tr w:rsidR="002818BE" w14:paraId="00B8E3D2" w14:textId="77777777" w:rsidTr="002818BE">
        <w:tc>
          <w:tcPr>
            <w:tcW w:w="1857" w:type="dxa"/>
          </w:tcPr>
          <w:p w14:paraId="54457F74" w14:textId="542C9030" w:rsidR="002818BE" w:rsidRDefault="002818BE" w:rsidP="009E24D9">
            <w:pPr>
              <w:rPr>
                <w:color w:val="000000"/>
              </w:rPr>
            </w:pPr>
            <w:r>
              <w:rPr>
                <w:color w:val="000000"/>
              </w:rPr>
              <w:t>Braunkohle</w:t>
            </w:r>
          </w:p>
        </w:tc>
        <w:tc>
          <w:tcPr>
            <w:tcW w:w="1857" w:type="dxa"/>
          </w:tcPr>
          <w:p w14:paraId="09377251" w14:textId="78C8E33C" w:rsidR="002818BE" w:rsidRDefault="002818BE" w:rsidP="009E24D9">
            <w:pPr>
              <w:rPr>
                <w:color w:val="000000"/>
              </w:rPr>
            </w:pPr>
            <w:r>
              <w:rPr>
                <w:color w:val="000000"/>
              </w:rPr>
              <w:t>165</w:t>
            </w:r>
          </w:p>
        </w:tc>
        <w:tc>
          <w:tcPr>
            <w:tcW w:w="1858" w:type="dxa"/>
          </w:tcPr>
          <w:p w14:paraId="2F29337E" w14:textId="5100DB1C" w:rsidR="002818BE" w:rsidRDefault="002818BE" w:rsidP="009E24D9">
            <w:pPr>
              <w:rPr>
                <w:color w:val="000000"/>
              </w:rPr>
            </w:pPr>
            <w:r>
              <w:rPr>
                <w:color w:val="000000"/>
              </w:rPr>
              <w:t>90</w:t>
            </w:r>
          </w:p>
        </w:tc>
        <w:tc>
          <w:tcPr>
            <w:tcW w:w="1858" w:type="dxa"/>
          </w:tcPr>
          <w:p w14:paraId="5AA926BD" w14:textId="162C3E43" w:rsidR="002818BE" w:rsidRDefault="002818BE" w:rsidP="009E24D9">
            <w:pPr>
              <w:rPr>
                <w:color w:val="000000"/>
              </w:rPr>
            </w:pPr>
            <w:r>
              <w:rPr>
                <w:color w:val="000000"/>
              </w:rPr>
              <w:t>149</w:t>
            </w:r>
          </w:p>
        </w:tc>
        <w:tc>
          <w:tcPr>
            <w:tcW w:w="1858" w:type="dxa"/>
          </w:tcPr>
          <w:p w14:paraId="264002D1" w14:textId="26D24EE8" w:rsidR="002818BE" w:rsidRDefault="002818BE" w:rsidP="009E24D9">
            <w:pPr>
              <w:rPr>
                <w:color w:val="000000"/>
              </w:rPr>
            </w:pPr>
            <w:r>
              <w:rPr>
                <w:color w:val="000000"/>
              </w:rPr>
              <w:t>2023</w:t>
            </w:r>
          </w:p>
        </w:tc>
      </w:tr>
      <w:tr w:rsidR="002818BE" w14:paraId="6E2B8D48" w14:textId="77777777" w:rsidTr="002818BE">
        <w:tc>
          <w:tcPr>
            <w:tcW w:w="1857" w:type="dxa"/>
          </w:tcPr>
          <w:p w14:paraId="5008A53D" w14:textId="5C1A18C0" w:rsidR="002818BE" w:rsidRDefault="002818BE" w:rsidP="009E24D9">
            <w:pPr>
              <w:rPr>
                <w:color w:val="000000"/>
              </w:rPr>
            </w:pPr>
            <w:r>
              <w:rPr>
                <w:color w:val="000000"/>
              </w:rPr>
              <w:t>Steinkohle</w:t>
            </w:r>
          </w:p>
        </w:tc>
        <w:tc>
          <w:tcPr>
            <w:tcW w:w="1857" w:type="dxa"/>
          </w:tcPr>
          <w:p w14:paraId="76B7E69B" w14:textId="4DC27BBE" w:rsidR="002818BE" w:rsidRDefault="002818BE" w:rsidP="009E24D9">
            <w:pPr>
              <w:rPr>
                <w:color w:val="000000"/>
              </w:rPr>
            </w:pPr>
            <w:r>
              <w:rPr>
                <w:color w:val="000000"/>
              </w:rPr>
              <w:t>124</w:t>
            </w:r>
          </w:p>
        </w:tc>
        <w:tc>
          <w:tcPr>
            <w:tcW w:w="1858" w:type="dxa"/>
          </w:tcPr>
          <w:p w14:paraId="0816BEA0" w14:textId="28E2A2F4" w:rsidR="002818BE" w:rsidRDefault="002818BE" w:rsidP="009E24D9">
            <w:pPr>
              <w:rPr>
                <w:color w:val="000000"/>
              </w:rPr>
            </w:pPr>
            <w:r>
              <w:rPr>
                <w:color w:val="000000"/>
              </w:rPr>
              <w:t>94</w:t>
            </w:r>
          </w:p>
        </w:tc>
        <w:tc>
          <w:tcPr>
            <w:tcW w:w="1858" w:type="dxa"/>
          </w:tcPr>
          <w:p w14:paraId="6B9BAC68" w14:textId="3A5D5EF1" w:rsidR="002818BE" w:rsidRDefault="002818BE" w:rsidP="009E24D9">
            <w:pPr>
              <w:rPr>
                <w:color w:val="000000"/>
              </w:rPr>
            </w:pPr>
            <w:r>
              <w:rPr>
                <w:color w:val="000000"/>
              </w:rPr>
              <w:t>117</w:t>
            </w:r>
          </w:p>
        </w:tc>
        <w:tc>
          <w:tcPr>
            <w:tcW w:w="1858" w:type="dxa"/>
          </w:tcPr>
          <w:p w14:paraId="4E31F908" w14:textId="6D29D59F" w:rsidR="002818BE" w:rsidRDefault="002818BE" w:rsidP="009E24D9">
            <w:pPr>
              <w:rPr>
                <w:color w:val="000000"/>
              </w:rPr>
            </w:pPr>
            <w:r>
              <w:rPr>
                <w:color w:val="000000"/>
              </w:rPr>
              <w:t>2023</w:t>
            </w:r>
          </w:p>
        </w:tc>
      </w:tr>
      <w:tr w:rsidR="002818BE" w14:paraId="6E347BAF" w14:textId="77777777" w:rsidTr="002818BE">
        <w:tc>
          <w:tcPr>
            <w:tcW w:w="1857" w:type="dxa"/>
          </w:tcPr>
          <w:p w14:paraId="17D7FA25" w14:textId="26F96086" w:rsidR="002818BE" w:rsidRDefault="002818BE" w:rsidP="009E24D9">
            <w:pPr>
              <w:rPr>
                <w:color w:val="000000"/>
              </w:rPr>
            </w:pPr>
            <w:r>
              <w:rPr>
                <w:color w:val="000000"/>
              </w:rPr>
              <w:t>Erdgas</w:t>
            </w:r>
          </w:p>
        </w:tc>
        <w:tc>
          <w:tcPr>
            <w:tcW w:w="1857" w:type="dxa"/>
          </w:tcPr>
          <w:p w14:paraId="53A42200" w14:textId="3912071C" w:rsidR="002818BE" w:rsidRDefault="002818BE" w:rsidP="009E24D9">
            <w:pPr>
              <w:rPr>
                <w:color w:val="000000"/>
              </w:rPr>
            </w:pPr>
            <w:r>
              <w:rPr>
                <w:color w:val="000000"/>
              </w:rPr>
              <w:t>174</w:t>
            </w:r>
          </w:p>
        </w:tc>
        <w:tc>
          <w:tcPr>
            <w:tcW w:w="1858" w:type="dxa"/>
          </w:tcPr>
          <w:p w14:paraId="5AB93B8E" w14:textId="1992460E" w:rsidR="002818BE" w:rsidRDefault="002818BE" w:rsidP="009E24D9">
            <w:pPr>
              <w:rPr>
                <w:color w:val="000000"/>
              </w:rPr>
            </w:pPr>
            <w:r>
              <w:rPr>
                <w:color w:val="000000"/>
              </w:rPr>
              <w:t>37</w:t>
            </w:r>
          </w:p>
        </w:tc>
        <w:tc>
          <w:tcPr>
            <w:tcW w:w="1858" w:type="dxa"/>
          </w:tcPr>
          <w:p w14:paraId="0F2EA376" w14:textId="2B100BC9" w:rsidR="002818BE" w:rsidRDefault="002818BE" w:rsidP="009E24D9">
            <w:pPr>
              <w:rPr>
                <w:color w:val="000000"/>
              </w:rPr>
            </w:pPr>
            <w:r>
              <w:rPr>
                <w:color w:val="000000"/>
              </w:rPr>
              <w:t>64</w:t>
            </w:r>
          </w:p>
        </w:tc>
        <w:tc>
          <w:tcPr>
            <w:tcW w:w="1858" w:type="dxa"/>
          </w:tcPr>
          <w:p w14:paraId="0B41966D" w14:textId="78F52F91" w:rsidR="002818BE" w:rsidRDefault="002818BE" w:rsidP="009E24D9">
            <w:pPr>
              <w:rPr>
                <w:color w:val="000000"/>
              </w:rPr>
            </w:pPr>
            <w:r>
              <w:rPr>
                <w:color w:val="000000"/>
              </w:rPr>
              <w:t>2021</w:t>
            </w:r>
          </w:p>
        </w:tc>
      </w:tr>
      <w:tr w:rsidR="002818BE" w14:paraId="5C8CE1E6" w14:textId="77777777" w:rsidTr="002818BE">
        <w:tc>
          <w:tcPr>
            <w:tcW w:w="1857" w:type="dxa"/>
          </w:tcPr>
          <w:p w14:paraId="6E79C93B" w14:textId="2CD2F01D" w:rsidR="002818BE" w:rsidRDefault="002818BE" w:rsidP="009E24D9">
            <w:pPr>
              <w:rPr>
                <w:color w:val="000000"/>
              </w:rPr>
            </w:pPr>
            <w:r>
              <w:rPr>
                <w:color w:val="000000"/>
              </w:rPr>
              <w:t>Mineralöl</w:t>
            </w:r>
          </w:p>
        </w:tc>
        <w:tc>
          <w:tcPr>
            <w:tcW w:w="1857" w:type="dxa"/>
          </w:tcPr>
          <w:p w14:paraId="5129C269" w14:textId="03A783E8" w:rsidR="002818BE" w:rsidRDefault="002818BE" w:rsidP="009E24D9">
            <w:pPr>
              <w:rPr>
                <w:color w:val="000000"/>
              </w:rPr>
            </w:pPr>
            <w:r>
              <w:rPr>
                <w:color w:val="000000"/>
              </w:rPr>
              <w:t>259</w:t>
            </w:r>
          </w:p>
        </w:tc>
        <w:tc>
          <w:tcPr>
            <w:tcW w:w="1858" w:type="dxa"/>
          </w:tcPr>
          <w:p w14:paraId="4A14183A" w14:textId="1B9651A4" w:rsidR="002818BE" w:rsidRDefault="002818BE" w:rsidP="009E24D9">
            <w:pPr>
              <w:rPr>
                <w:color w:val="000000"/>
              </w:rPr>
            </w:pPr>
            <w:r>
              <w:rPr>
                <w:color w:val="000000"/>
              </w:rPr>
              <w:t>25</w:t>
            </w:r>
          </w:p>
        </w:tc>
        <w:tc>
          <w:tcPr>
            <w:tcW w:w="1858" w:type="dxa"/>
          </w:tcPr>
          <w:p w14:paraId="7FF239FD" w14:textId="21A0D565" w:rsidR="002818BE" w:rsidRDefault="002818BE" w:rsidP="009E24D9">
            <w:pPr>
              <w:rPr>
                <w:color w:val="000000"/>
              </w:rPr>
            </w:pPr>
            <w:r>
              <w:rPr>
                <w:color w:val="000000"/>
              </w:rPr>
              <w:t>65</w:t>
            </w:r>
          </w:p>
        </w:tc>
        <w:tc>
          <w:tcPr>
            <w:tcW w:w="1858" w:type="dxa"/>
          </w:tcPr>
          <w:p w14:paraId="0AA7A5B6" w14:textId="712EC2C9" w:rsidR="002818BE" w:rsidRDefault="002818BE" w:rsidP="009E24D9">
            <w:pPr>
              <w:rPr>
                <w:color w:val="000000"/>
              </w:rPr>
            </w:pPr>
            <w:r>
              <w:rPr>
                <w:color w:val="000000"/>
              </w:rPr>
              <w:t>2021</w:t>
            </w:r>
          </w:p>
        </w:tc>
      </w:tr>
      <w:tr w:rsidR="002818BE" w14:paraId="6FC25F2B" w14:textId="77777777" w:rsidTr="002818BE">
        <w:tc>
          <w:tcPr>
            <w:tcW w:w="1857" w:type="dxa"/>
          </w:tcPr>
          <w:p w14:paraId="23C329E5" w14:textId="33525663" w:rsidR="002818BE" w:rsidRDefault="002818BE" w:rsidP="009E24D9">
            <w:pPr>
              <w:rPr>
                <w:color w:val="000000"/>
              </w:rPr>
            </w:pPr>
            <w:r>
              <w:rPr>
                <w:color w:val="000000"/>
              </w:rPr>
              <w:t>andere</w:t>
            </w:r>
          </w:p>
        </w:tc>
        <w:tc>
          <w:tcPr>
            <w:tcW w:w="1857" w:type="dxa"/>
          </w:tcPr>
          <w:p w14:paraId="112AFAE7" w14:textId="4C7C20BD" w:rsidR="002818BE" w:rsidRDefault="002818BE" w:rsidP="009E24D9">
            <w:pPr>
              <w:rPr>
                <w:color w:val="000000"/>
              </w:rPr>
            </w:pPr>
            <w:r>
              <w:rPr>
                <w:color w:val="000000"/>
              </w:rPr>
              <w:t>23</w:t>
            </w:r>
          </w:p>
        </w:tc>
        <w:tc>
          <w:tcPr>
            <w:tcW w:w="1858" w:type="dxa"/>
          </w:tcPr>
          <w:p w14:paraId="38E8390C" w14:textId="70C6D026" w:rsidR="002818BE" w:rsidRDefault="002818BE" w:rsidP="009E24D9">
            <w:pPr>
              <w:rPr>
                <w:color w:val="000000"/>
              </w:rPr>
            </w:pPr>
            <w:r>
              <w:rPr>
                <w:color w:val="000000"/>
              </w:rPr>
              <w:t>25</w:t>
            </w:r>
          </w:p>
        </w:tc>
        <w:tc>
          <w:tcPr>
            <w:tcW w:w="1858" w:type="dxa"/>
          </w:tcPr>
          <w:p w14:paraId="3FE165FD" w14:textId="32274016" w:rsidR="002818BE" w:rsidRDefault="002818BE" w:rsidP="009E24D9">
            <w:pPr>
              <w:rPr>
                <w:color w:val="000000"/>
              </w:rPr>
            </w:pPr>
            <w:r>
              <w:rPr>
                <w:color w:val="000000"/>
              </w:rPr>
              <w:t>6</w:t>
            </w:r>
          </w:p>
        </w:tc>
        <w:tc>
          <w:tcPr>
            <w:tcW w:w="1858" w:type="dxa"/>
          </w:tcPr>
          <w:p w14:paraId="45127294" w14:textId="29F395A1" w:rsidR="002818BE" w:rsidRDefault="002818BE" w:rsidP="009E24D9">
            <w:pPr>
              <w:rPr>
                <w:color w:val="000000"/>
              </w:rPr>
            </w:pPr>
            <w:r>
              <w:rPr>
                <w:color w:val="000000"/>
              </w:rPr>
              <w:t>2023</w:t>
            </w:r>
          </w:p>
        </w:tc>
      </w:tr>
    </w:tbl>
    <w:p w14:paraId="4E0A8B75" w14:textId="5A3018BE" w:rsidR="002818BE" w:rsidRDefault="002818BE" w:rsidP="009E24D9">
      <w:pPr>
        <w:rPr>
          <w:color w:val="000000"/>
        </w:rPr>
      </w:pPr>
      <w:r>
        <w:rPr>
          <w:color w:val="000000"/>
        </w:rPr>
        <w:t xml:space="preserve">Quelle: </w:t>
      </w:r>
      <w:r>
        <w:t>Dr. Felix Matthes/Agora Energiewende 2019 (dort Tabelle 1); eigene Berechnungen.</w:t>
      </w:r>
    </w:p>
    <w:p w14:paraId="15B76BA2" w14:textId="77777777" w:rsidR="002818BE" w:rsidRDefault="002818BE" w:rsidP="009E24D9">
      <w:pPr>
        <w:rPr>
          <w:color w:val="000000"/>
        </w:rPr>
      </w:pPr>
    </w:p>
    <w:p w14:paraId="38A8EF95" w14:textId="77777777" w:rsidR="002818BE" w:rsidRDefault="002818BE" w:rsidP="009E24D9">
      <w:pPr>
        <w:rPr>
          <w:color w:val="000000"/>
        </w:rPr>
      </w:pPr>
    </w:p>
    <w:p w14:paraId="13FB42E0" w14:textId="747704F2" w:rsidR="00C047F7" w:rsidRDefault="00E242BE" w:rsidP="009E24D9">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Quellen</w:t>
      </w:r>
    </w:p>
    <w:p w14:paraId="15059B32" w14:textId="77777777" w:rsidR="00E242BE" w:rsidRPr="00E242BE" w:rsidRDefault="00E242BE" w:rsidP="009E24D9">
      <w:pPr>
        <w:rPr>
          <w:rFonts w:asciiTheme="majorHAnsi" w:eastAsiaTheme="majorEastAsia" w:hAnsiTheme="majorHAnsi" w:cstheme="majorBidi"/>
          <w:color w:val="365F91" w:themeColor="accent1" w:themeShade="BF"/>
          <w:sz w:val="32"/>
          <w:szCs w:val="32"/>
        </w:rPr>
      </w:pPr>
    </w:p>
    <w:p w14:paraId="0F366DDE" w14:textId="53B12C27" w:rsidR="00C047F7" w:rsidRDefault="00C047F7" w:rsidP="009E24D9">
      <w:pPr>
        <w:rPr>
          <w:color w:val="000000"/>
        </w:rPr>
      </w:pPr>
      <w:r w:rsidRPr="00C047F7">
        <w:rPr>
          <w:color w:val="000000"/>
        </w:rPr>
        <w:t xml:space="preserve">Öko-Institut (2017): Die deutsche Braunkohlen­wirtschaft. Historische Entwicklungen, Ressourcen, Technik, wirtschaftliche Strukturen und Umwelt­auswirkungen. Studie im Auftrag von Agora Energiewende und der European Climate </w:t>
      </w:r>
      <w:proofErr w:type="spellStart"/>
      <w:r w:rsidRPr="00C047F7">
        <w:rPr>
          <w:color w:val="000000"/>
        </w:rPr>
        <w:t>Foundation</w:t>
      </w:r>
      <w:proofErr w:type="spellEnd"/>
      <w:r w:rsidRPr="00C047F7">
        <w:rPr>
          <w:color w:val="000000"/>
        </w:rPr>
        <w:t>.</w:t>
      </w:r>
    </w:p>
    <w:p w14:paraId="4EF7AA2F" w14:textId="77777777" w:rsidR="00C047F7" w:rsidRDefault="00C047F7" w:rsidP="009E24D9">
      <w:pPr>
        <w:rPr>
          <w:color w:val="000000"/>
        </w:rPr>
      </w:pPr>
    </w:p>
    <w:p w14:paraId="0E48BAFF" w14:textId="4422DCD2" w:rsidR="00C047F7" w:rsidRPr="00862F90" w:rsidRDefault="00C047F7" w:rsidP="009E24D9">
      <w:pPr>
        <w:rPr>
          <w:color w:val="000000"/>
        </w:rPr>
      </w:pPr>
      <w:r w:rsidRPr="00C047F7">
        <w:rPr>
          <w:color w:val="000000"/>
        </w:rPr>
        <w:t>Dr. Felix Chr. M</w:t>
      </w:r>
      <w:r>
        <w:rPr>
          <w:color w:val="000000"/>
        </w:rPr>
        <w:t>atthes (2019): Ein Emissionshan</w:t>
      </w:r>
      <w:r w:rsidRPr="00C047F7">
        <w:rPr>
          <w:color w:val="000000"/>
        </w:rPr>
        <w:t xml:space="preserve">delssystem für die nicht vom </w:t>
      </w:r>
      <w:r w:rsidR="00E410DE">
        <w:rPr>
          <w:color w:val="000000"/>
        </w:rPr>
        <w:t>ETS</w:t>
      </w:r>
      <w:r w:rsidRPr="00C047F7">
        <w:rPr>
          <w:color w:val="000000"/>
        </w:rPr>
        <w:t xml:space="preserve"> erfassten Bereiche: Praktische</w:t>
      </w:r>
      <w:r>
        <w:rPr>
          <w:color w:val="000000"/>
        </w:rPr>
        <w:t xml:space="preserve"> Umsetzungsthemen und zeit</w:t>
      </w:r>
      <w:r w:rsidRPr="00C047F7">
        <w:rPr>
          <w:color w:val="000000"/>
        </w:rPr>
        <w:t>liche Erfordernisse. Erstellt im Auftrag von Agora Energiewende. Berlin, August 2019.</w:t>
      </w:r>
    </w:p>
    <w:sectPr w:rsidR="00C047F7" w:rsidRPr="00862F90">
      <w:head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5EEA2" w14:textId="77777777" w:rsidR="00F264B0" w:rsidRDefault="00F264B0" w:rsidP="00726A42">
      <w:r>
        <w:separator/>
      </w:r>
    </w:p>
  </w:endnote>
  <w:endnote w:type="continuationSeparator" w:id="0">
    <w:p w14:paraId="7EDEEFF3" w14:textId="77777777" w:rsidR="00F264B0" w:rsidRDefault="00F264B0" w:rsidP="0072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C57CE" w14:textId="77777777" w:rsidR="00F264B0" w:rsidRDefault="00F264B0" w:rsidP="00726A42">
      <w:r>
        <w:separator/>
      </w:r>
    </w:p>
  </w:footnote>
  <w:footnote w:type="continuationSeparator" w:id="0">
    <w:p w14:paraId="2A952912" w14:textId="77777777" w:rsidR="00F264B0" w:rsidRDefault="00F264B0" w:rsidP="00726A42">
      <w:r>
        <w:continuationSeparator/>
      </w:r>
    </w:p>
  </w:footnote>
  <w:footnote w:id="1">
    <w:p w14:paraId="30220EC0" w14:textId="241DAB1E" w:rsidR="00B44773" w:rsidRDefault="00B44773" w:rsidP="00456BF4">
      <w:pPr>
        <w:pStyle w:val="Funotentext"/>
      </w:pPr>
      <w:r>
        <w:rPr>
          <w:rStyle w:val="Funotenzeichen"/>
        </w:rPr>
        <w:footnoteRef/>
      </w:r>
      <w:r>
        <w:t xml:space="preserve"> Anlagen, die bereits über den europäischen Emissionshandel einen Preis auf CO</w:t>
      </w:r>
      <w:r w:rsidRPr="00511BA8">
        <w:rPr>
          <w:vertAlign w:val="subscript"/>
        </w:rPr>
        <w:t>2</w:t>
      </w:r>
      <w:r>
        <w:t xml:space="preserve"> zahlen,  sollen möglichst nicht doppelt belastet werden, vgl. § 7 (5) und § 11 (2) Brennstoffemissionshandelsgesetz.</w:t>
      </w:r>
    </w:p>
  </w:footnote>
  <w:footnote w:id="2">
    <w:p w14:paraId="4FA88A0C" w14:textId="00D7D258" w:rsidR="00B44773" w:rsidRDefault="00B44773">
      <w:pPr>
        <w:pStyle w:val="Funotentext"/>
      </w:pPr>
      <w:r>
        <w:rPr>
          <w:rStyle w:val="Funotenzeichen"/>
        </w:rPr>
        <w:footnoteRef/>
      </w:r>
      <w:r>
        <w:t xml:space="preserve"> </w:t>
      </w:r>
      <w:r w:rsidRPr="004F7810">
        <w:t>Rückwirkend wird diese Zuteilung auf die tatsächlichen Brennstoffemissionen im maßgeblichen Kalenderjahr korrigiert, sobald der entsprechende ETS-Emissionsbericht vorliegt. Diese Korrektur kann jeweils mit der regulären Zuteilung</w:t>
      </w:r>
      <w:r>
        <w:t xml:space="preserve"> am 1. Januar</w:t>
      </w:r>
      <w:r w:rsidRPr="004F7810">
        <w:t xml:space="preserve"> verrechnet werden.</w:t>
      </w:r>
    </w:p>
  </w:footnote>
  <w:footnote w:id="3">
    <w:p w14:paraId="0BE086FC" w14:textId="77375155" w:rsidR="00B44773" w:rsidRDefault="00B44773">
      <w:pPr>
        <w:pStyle w:val="Funotentext"/>
      </w:pPr>
      <w:r>
        <w:rPr>
          <w:rStyle w:val="Funotenzeichen"/>
        </w:rPr>
        <w:footnoteRef/>
      </w:r>
      <w:r>
        <w:t xml:space="preserve"> Zugeteilte Zertifikate müssen entsprechend mit dem jeweiligen Ausgabejahr und als „zugeteilt“ markiert werden. Die </w:t>
      </w:r>
      <w:proofErr w:type="spellStart"/>
      <w:r>
        <w:t>DEHSt</w:t>
      </w:r>
      <w:proofErr w:type="spellEnd"/>
      <w:r>
        <w:t xml:space="preserve"> würde nur für „zugeteilte“ Zertifikate die ex post-Erstattung des CO</w:t>
      </w:r>
      <w:r w:rsidRPr="00A41681">
        <w:rPr>
          <w:vertAlign w:val="subscript"/>
        </w:rPr>
        <w:t>2</w:t>
      </w:r>
      <w:r>
        <w:t>-Preises leisten.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197C1" w14:textId="63A41F99" w:rsidR="00B44773" w:rsidRDefault="00F264B0" w:rsidP="00405DE3">
    <w:pPr>
      <w:rPr>
        <w:color w:val="000000"/>
      </w:rPr>
    </w:pPr>
    <w:sdt>
      <w:sdtPr>
        <w:id w:val="1191416784"/>
        <w:docPartObj>
          <w:docPartGallery w:val="Watermarks"/>
          <w:docPartUnique/>
        </w:docPartObj>
      </w:sdtPr>
      <w:sdtEndPr/>
      <w:sdtContent>
        <w:r>
          <w:pict w14:anchorId="7EE01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sdtContent>
    </w:sdt>
    <w:r w:rsidR="00B44773">
      <w:t xml:space="preserve">Entwurf einer </w:t>
    </w:r>
    <w:r w:rsidR="00B44773">
      <w:rPr>
        <w:color w:val="000000"/>
      </w:rPr>
      <w:t xml:space="preserve">Befreiung von </w:t>
    </w:r>
    <w:r w:rsidR="00E410DE">
      <w:rPr>
        <w:color w:val="000000"/>
      </w:rPr>
      <w:t xml:space="preserve">EU </w:t>
    </w:r>
    <w:r w:rsidR="00B44773">
      <w:rPr>
        <w:color w:val="000000"/>
      </w:rPr>
      <w:t>ETS-Anlagen im Brennstoffemissionshandelsgesetz</w:t>
    </w:r>
  </w:p>
  <w:p w14:paraId="5D441D6B" w14:textId="4EFD0D2D" w:rsidR="00B44773" w:rsidRPr="00405DE3" w:rsidRDefault="00B44773" w:rsidP="00405DE3">
    <w:pPr>
      <w:rPr>
        <w:color w:val="000000"/>
      </w:rPr>
    </w:pPr>
    <w:r>
      <w:rPr>
        <w:color w:val="000000"/>
      </w:rPr>
      <w:t>Stand 2</w:t>
    </w:r>
    <w:r w:rsidR="00E410DE">
      <w:rPr>
        <w:color w:val="000000"/>
      </w:rPr>
      <w:t>7</w:t>
    </w:r>
    <w:r>
      <w:rPr>
        <w:color w:val="000000"/>
      </w:rPr>
      <w:t>.02.20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16ED1"/>
    <w:multiLevelType w:val="hybridMultilevel"/>
    <w:tmpl w:val="1F406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B02ED5"/>
    <w:multiLevelType w:val="hybridMultilevel"/>
    <w:tmpl w:val="A1F25968"/>
    <w:lvl w:ilvl="0" w:tplc="3ED004C8">
      <w:start w:val="1"/>
      <w:numFmt w:val="bullet"/>
      <w:lvlText w:val="•"/>
      <w:lvlJc w:val="left"/>
      <w:pPr>
        <w:tabs>
          <w:tab w:val="num" w:pos="720"/>
        </w:tabs>
        <w:ind w:left="720" w:hanging="360"/>
      </w:pPr>
      <w:rPr>
        <w:rFonts w:ascii="Arial" w:hAnsi="Arial" w:hint="default"/>
      </w:rPr>
    </w:lvl>
    <w:lvl w:ilvl="1" w:tplc="C2F4B234">
      <w:numFmt w:val="bullet"/>
      <w:lvlText w:val="•"/>
      <w:lvlJc w:val="left"/>
      <w:pPr>
        <w:tabs>
          <w:tab w:val="num" w:pos="1440"/>
        </w:tabs>
        <w:ind w:left="1440" w:hanging="360"/>
      </w:pPr>
      <w:rPr>
        <w:rFonts w:ascii="Arial" w:hAnsi="Arial" w:hint="default"/>
      </w:rPr>
    </w:lvl>
    <w:lvl w:ilvl="2" w:tplc="E348BEB6" w:tentative="1">
      <w:start w:val="1"/>
      <w:numFmt w:val="bullet"/>
      <w:lvlText w:val="•"/>
      <w:lvlJc w:val="left"/>
      <w:pPr>
        <w:tabs>
          <w:tab w:val="num" w:pos="2160"/>
        </w:tabs>
        <w:ind w:left="2160" w:hanging="360"/>
      </w:pPr>
      <w:rPr>
        <w:rFonts w:ascii="Arial" w:hAnsi="Arial" w:hint="default"/>
      </w:rPr>
    </w:lvl>
    <w:lvl w:ilvl="3" w:tplc="D562CFF2" w:tentative="1">
      <w:start w:val="1"/>
      <w:numFmt w:val="bullet"/>
      <w:lvlText w:val="•"/>
      <w:lvlJc w:val="left"/>
      <w:pPr>
        <w:tabs>
          <w:tab w:val="num" w:pos="2880"/>
        </w:tabs>
        <w:ind w:left="2880" w:hanging="360"/>
      </w:pPr>
      <w:rPr>
        <w:rFonts w:ascii="Arial" w:hAnsi="Arial" w:hint="default"/>
      </w:rPr>
    </w:lvl>
    <w:lvl w:ilvl="4" w:tplc="3782FDD8" w:tentative="1">
      <w:start w:val="1"/>
      <w:numFmt w:val="bullet"/>
      <w:lvlText w:val="•"/>
      <w:lvlJc w:val="left"/>
      <w:pPr>
        <w:tabs>
          <w:tab w:val="num" w:pos="3600"/>
        </w:tabs>
        <w:ind w:left="3600" w:hanging="360"/>
      </w:pPr>
      <w:rPr>
        <w:rFonts w:ascii="Arial" w:hAnsi="Arial" w:hint="default"/>
      </w:rPr>
    </w:lvl>
    <w:lvl w:ilvl="5" w:tplc="E2125E12" w:tentative="1">
      <w:start w:val="1"/>
      <w:numFmt w:val="bullet"/>
      <w:lvlText w:val="•"/>
      <w:lvlJc w:val="left"/>
      <w:pPr>
        <w:tabs>
          <w:tab w:val="num" w:pos="4320"/>
        </w:tabs>
        <w:ind w:left="4320" w:hanging="360"/>
      </w:pPr>
      <w:rPr>
        <w:rFonts w:ascii="Arial" w:hAnsi="Arial" w:hint="default"/>
      </w:rPr>
    </w:lvl>
    <w:lvl w:ilvl="6" w:tplc="7666CCD6" w:tentative="1">
      <w:start w:val="1"/>
      <w:numFmt w:val="bullet"/>
      <w:lvlText w:val="•"/>
      <w:lvlJc w:val="left"/>
      <w:pPr>
        <w:tabs>
          <w:tab w:val="num" w:pos="5040"/>
        </w:tabs>
        <w:ind w:left="5040" w:hanging="360"/>
      </w:pPr>
      <w:rPr>
        <w:rFonts w:ascii="Arial" w:hAnsi="Arial" w:hint="default"/>
      </w:rPr>
    </w:lvl>
    <w:lvl w:ilvl="7" w:tplc="BC940738" w:tentative="1">
      <w:start w:val="1"/>
      <w:numFmt w:val="bullet"/>
      <w:lvlText w:val="•"/>
      <w:lvlJc w:val="left"/>
      <w:pPr>
        <w:tabs>
          <w:tab w:val="num" w:pos="5760"/>
        </w:tabs>
        <w:ind w:left="5760" w:hanging="360"/>
      </w:pPr>
      <w:rPr>
        <w:rFonts w:ascii="Arial" w:hAnsi="Arial" w:hint="default"/>
      </w:rPr>
    </w:lvl>
    <w:lvl w:ilvl="8" w:tplc="4F1A04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FEC6176"/>
    <w:multiLevelType w:val="hybridMultilevel"/>
    <w:tmpl w:val="8F74F832"/>
    <w:lvl w:ilvl="0" w:tplc="5FD4C60C">
      <w:start w:val="1"/>
      <w:numFmt w:val="bullet"/>
      <w:lvlText w:val="•"/>
      <w:lvlJc w:val="left"/>
      <w:pPr>
        <w:tabs>
          <w:tab w:val="num" w:pos="720"/>
        </w:tabs>
        <w:ind w:left="720" w:hanging="360"/>
      </w:pPr>
      <w:rPr>
        <w:rFonts w:ascii="Arial" w:hAnsi="Arial" w:hint="default"/>
      </w:rPr>
    </w:lvl>
    <w:lvl w:ilvl="1" w:tplc="3528B532" w:tentative="1">
      <w:start w:val="1"/>
      <w:numFmt w:val="bullet"/>
      <w:lvlText w:val="•"/>
      <w:lvlJc w:val="left"/>
      <w:pPr>
        <w:tabs>
          <w:tab w:val="num" w:pos="1440"/>
        </w:tabs>
        <w:ind w:left="1440" w:hanging="360"/>
      </w:pPr>
      <w:rPr>
        <w:rFonts w:ascii="Arial" w:hAnsi="Arial" w:hint="default"/>
      </w:rPr>
    </w:lvl>
    <w:lvl w:ilvl="2" w:tplc="CC08086E" w:tentative="1">
      <w:start w:val="1"/>
      <w:numFmt w:val="bullet"/>
      <w:lvlText w:val="•"/>
      <w:lvlJc w:val="left"/>
      <w:pPr>
        <w:tabs>
          <w:tab w:val="num" w:pos="2160"/>
        </w:tabs>
        <w:ind w:left="2160" w:hanging="360"/>
      </w:pPr>
      <w:rPr>
        <w:rFonts w:ascii="Arial" w:hAnsi="Arial" w:hint="default"/>
      </w:rPr>
    </w:lvl>
    <w:lvl w:ilvl="3" w:tplc="A3D6DAE0" w:tentative="1">
      <w:start w:val="1"/>
      <w:numFmt w:val="bullet"/>
      <w:lvlText w:val="•"/>
      <w:lvlJc w:val="left"/>
      <w:pPr>
        <w:tabs>
          <w:tab w:val="num" w:pos="2880"/>
        </w:tabs>
        <w:ind w:left="2880" w:hanging="360"/>
      </w:pPr>
      <w:rPr>
        <w:rFonts w:ascii="Arial" w:hAnsi="Arial" w:hint="default"/>
      </w:rPr>
    </w:lvl>
    <w:lvl w:ilvl="4" w:tplc="6882D0CC" w:tentative="1">
      <w:start w:val="1"/>
      <w:numFmt w:val="bullet"/>
      <w:lvlText w:val="•"/>
      <w:lvlJc w:val="left"/>
      <w:pPr>
        <w:tabs>
          <w:tab w:val="num" w:pos="3600"/>
        </w:tabs>
        <w:ind w:left="3600" w:hanging="360"/>
      </w:pPr>
      <w:rPr>
        <w:rFonts w:ascii="Arial" w:hAnsi="Arial" w:hint="default"/>
      </w:rPr>
    </w:lvl>
    <w:lvl w:ilvl="5" w:tplc="D8AE32CC" w:tentative="1">
      <w:start w:val="1"/>
      <w:numFmt w:val="bullet"/>
      <w:lvlText w:val="•"/>
      <w:lvlJc w:val="left"/>
      <w:pPr>
        <w:tabs>
          <w:tab w:val="num" w:pos="4320"/>
        </w:tabs>
        <w:ind w:left="4320" w:hanging="360"/>
      </w:pPr>
      <w:rPr>
        <w:rFonts w:ascii="Arial" w:hAnsi="Arial" w:hint="default"/>
      </w:rPr>
    </w:lvl>
    <w:lvl w:ilvl="6" w:tplc="12467D80" w:tentative="1">
      <w:start w:val="1"/>
      <w:numFmt w:val="bullet"/>
      <w:lvlText w:val="•"/>
      <w:lvlJc w:val="left"/>
      <w:pPr>
        <w:tabs>
          <w:tab w:val="num" w:pos="5040"/>
        </w:tabs>
        <w:ind w:left="5040" w:hanging="360"/>
      </w:pPr>
      <w:rPr>
        <w:rFonts w:ascii="Arial" w:hAnsi="Arial" w:hint="default"/>
      </w:rPr>
    </w:lvl>
    <w:lvl w:ilvl="7" w:tplc="15A48AB6" w:tentative="1">
      <w:start w:val="1"/>
      <w:numFmt w:val="bullet"/>
      <w:lvlText w:val="•"/>
      <w:lvlJc w:val="left"/>
      <w:pPr>
        <w:tabs>
          <w:tab w:val="num" w:pos="5760"/>
        </w:tabs>
        <w:ind w:left="5760" w:hanging="360"/>
      </w:pPr>
      <w:rPr>
        <w:rFonts w:ascii="Arial" w:hAnsi="Arial" w:hint="default"/>
      </w:rPr>
    </w:lvl>
    <w:lvl w:ilvl="8" w:tplc="107CA1C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2F719B3"/>
    <w:multiLevelType w:val="hybridMultilevel"/>
    <w:tmpl w:val="1C8ECB04"/>
    <w:lvl w:ilvl="0" w:tplc="B83C461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8D44B1"/>
    <w:multiLevelType w:val="hybridMultilevel"/>
    <w:tmpl w:val="05FE369A"/>
    <w:lvl w:ilvl="0" w:tplc="B83C461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DE4AEE"/>
    <w:multiLevelType w:val="hybridMultilevel"/>
    <w:tmpl w:val="8CD64E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3A"/>
    <w:rsid w:val="000000AD"/>
    <w:rsid w:val="0000104E"/>
    <w:rsid w:val="000018AE"/>
    <w:rsid w:val="00002D7F"/>
    <w:rsid w:val="00004684"/>
    <w:rsid w:val="00005600"/>
    <w:rsid w:val="00012176"/>
    <w:rsid w:val="00015310"/>
    <w:rsid w:val="00020D38"/>
    <w:rsid w:val="00021833"/>
    <w:rsid w:val="00023079"/>
    <w:rsid w:val="0002546C"/>
    <w:rsid w:val="00025FBF"/>
    <w:rsid w:val="00027003"/>
    <w:rsid w:val="00034C4F"/>
    <w:rsid w:val="0003603A"/>
    <w:rsid w:val="000402DB"/>
    <w:rsid w:val="00040F55"/>
    <w:rsid w:val="000417AB"/>
    <w:rsid w:val="00041D4C"/>
    <w:rsid w:val="00043FB9"/>
    <w:rsid w:val="00046F55"/>
    <w:rsid w:val="000507F5"/>
    <w:rsid w:val="00051657"/>
    <w:rsid w:val="00051D6D"/>
    <w:rsid w:val="00052666"/>
    <w:rsid w:val="00052F30"/>
    <w:rsid w:val="00053245"/>
    <w:rsid w:val="00054345"/>
    <w:rsid w:val="00054891"/>
    <w:rsid w:val="00057A77"/>
    <w:rsid w:val="000626F0"/>
    <w:rsid w:val="00062E9A"/>
    <w:rsid w:val="000648F5"/>
    <w:rsid w:val="00066098"/>
    <w:rsid w:val="000727D8"/>
    <w:rsid w:val="00073519"/>
    <w:rsid w:val="00073872"/>
    <w:rsid w:val="00074C6D"/>
    <w:rsid w:val="00077025"/>
    <w:rsid w:val="000770A9"/>
    <w:rsid w:val="0008352F"/>
    <w:rsid w:val="00085FF7"/>
    <w:rsid w:val="00086801"/>
    <w:rsid w:val="000945CA"/>
    <w:rsid w:val="00095CC5"/>
    <w:rsid w:val="000A1FBD"/>
    <w:rsid w:val="000A556A"/>
    <w:rsid w:val="000A5970"/>
    <w:rsid w:val="000A766F"/>
    <w:rsid w:val="000B0ACC"/>
    <w:rsid w:val="000B1242"/>
    <w:rsid w:val="000B2E44"/>
    <w:rsid w:val="000B4039"/>
    <w:rsid w:val="000B497E"/>
    <w:rsid w:val="000B4C04"/>
    <w:rsid w:val="000B5B1D"/>
    <w:rsid w:val="000B5DA4"/>
    <w:rsid w:val="000B7A21"/>
    <w:rsid w:val="000C28DD"/>
    <w:rsid w:val="000C4A54"/>
    <w:rsid w:val="000C4DF9"/>
    <w:rsid w:val="000C6EAE"/>
    <w:rsid w:val="000C6F0F"/>
    <w:rsid w:val="000C7D8B"/>
    <w:rsid w:val="000D0B9A"/>
    <w:rsid w:val="000D1FE3"/>
    <w:rsid w:val="000D4DBE"/>
    <w:rsid w:val="000D5A44"/>
    <w:rsid w:val="000D7293"/>
    <w:rsid w:val="000E33F5"/>
    <w:rsid w:val="000E3ABC"/>
    <w:rsid w:val="000E40FA"/>
    <w:rsid w:val="000F0C98"/>
    <w:rsid w:val="000F7152"/>
    <w:rsid w:val="0010209E"/>
    <w:rsid w:val="001028CB"/>
    <w:rsid w:val="001031BF"/>
    <w:rsid w:val="0010377C"/>
    <w:rsid w:val="00103893"/>
    <w:rsid w:val="00103DD7"/>
    <w:rsid w:val="001040E9"/>
    <w:rsid w:val="001047B3"/>
    <w:rsid w:val="0010556C"/>
    <w:rsid w:val="001078E7"/>
    <w:rsid w:val="00110A5A"/>
    <w:rsid w:val="00114D51"/>
    <w:rsid w:val="001165CB"/>
    <w:rsid w:val="0012264A"/>
    <w:rsid w:val="001228C2"/>
    <w:rsid w:val="00124445"/>
    <w:rsid w:val="00126AA4"/>
    <w:rsid w:val="00127917"/>
    <w:rsid w:val="00127F4B"/>
    <w:rsid w:val="00130E79"/>
    <w:rsid w:val="00133172"/>
    <w:rsid w:val="001335D4"/>
    <w:rsid w:val="00133AED"/>
    <w:rsid w:val="00133C62"/>
    <w:rsid w:val="00137465"/>
    <w:rsid w:val="001403BE"/>
    <w:rsid w:val="00140B99"/>
    <w:rsid w:val="001412E0"/>
    <w:rsid w:val="00141525"/>
    <w:rsid w:val="00142401"/>
    <w:rsid w:val="00143E4B"/>
    <w:rsid w:val="00144BA0"/>
    <w:rsid w:val="001454B0"/>
    <w:rsid w:val="0014597F"/>
    <w:rsid w:val="001504BB"/>
    <w:rsid w:val="00151114"/>
    <w:rsid w:val="0015230D"/>
    <w:rsid w:val="00156487"/>
    <w:rsid w:val="0015675D"/>
    <w:rsid w:val="001574B2"/>
    <w:rsid w:val="001603F1"/>
    <w:rsid w:val="001650DF"/>
    <w:rsid w:val="0017284A"/>
    <w:rsid w:val="00172A8C"/>
    <w:rsid w:val="00176A56"/>
    <w:rsid w:val="001808B8"/>
    <w:rsid w:val="001834E0"/>
    <w:rsid w:val="001838D4"/>
    <w:rsid w:val="00185FB4"/>
    <w:rsid w:val="001876CE"/>
    <w:rsid w:val="00187DAC"/>
    <w:rsid w:val="00191CCE"/>
    <w:rsid w:val="00192B4C"/>
    <w:rsid w:val="001A050D"/>
    <w:rsid w:val="001A0A25"/>
    <w:rsid w:val="001A4FC1"/>
    <w:rsid w:val="001A53E7"/>
    <w:rsid w:val="001A6C4E"/>
    <w:rsid w:val="001B49A7"/>
    <w:rsid w:val="001B7035"/>
    <w:rsid w:val="001C05EE"/>
    <w:rsid w:val="001C1480"/>
    <w:rsid w:val="001C1D89"/>
    <w:rsid w:val="001C2F11"/>
    <w:rsid w:val="001C6A7B"/>
    <w:rsid w:val="001C73E7"/>
    <w:rsid w:val="001C77B7"/>
    <w:rsid w:val="001D07BD"/>
    <w:rsid w:val="001D1327"/>
    <w:rsid w:val="001D22C7"/>
    <w:rsid w:val="001D3B57"/>
    <w:rsid w:val="001D3D0E"/>
    <w:rsid w:val="001E1243"/>
    <w:rsid w:val="001E40C5"/>
    <w:rsid w:val="001E535E"/>
    <w:rsid w:val="001E5EC1"/>
    <w:rsid w:val="001E63AA"/>
    <w:rsid w:val="001E79DF"/>
    <w:rsid w:val="001F081B"/>
    <w:rsid w:val="001F5B75"/>
    <w:rsid w:val="001F6B08"/>
    <w:rsid w:val="0020187F"/>
    <w:rsid w:val="00203ED0"/>
    <w:rsid w:val="002047D5"/>
    <w:rsid w:val="00204E94"/>
    <w:rsid w:val="0020728D"/>
    <w:rsid w:val="00210879"/>
    <w:rsid w:val="002134F9"/>
    <w:rsid w:val="002144C2"/>
    <w:rsid w:val="00215DDA"/>
    <w:rsid w:val="0021634F"/>
    <w:rsid w:val="00217AC0"/>
    <w:rsid w:val="00220ED8"/>
    <w:rsid w:val="00221A68"/>
    <w:rsid w:val="00222DEE"/>
    <w:rsid w:val="0022649C"/>
    <w:rsid w:val="00226A3E"/>
    <w:rsid w:val="00226F1A"/>
    <w:rsid w:val="00227171"/>
    <w:rsid w:val="00231757"/>
    <w:rsid w:val="002325C7"/>
    <w:rsid w:val="00233F63"/>
    <w:rsid w:val="0024370C"/>
    <w:rsid w:val="00243C4E"/>
    <w:rsid w:val="00244C06"/>
    <w:rsid w:val="0024520E"/>
    <w:rsid w:val="0024695A"/>
    <w:rsid w:val="00256DF8"/>
    <w:rsid w:val="0025728E"/>
    <w:rsid w:val="00257459"/>
    <w:rsid w:val="00261422"/>
    <w:rsid w:val="002626EF"/>
    <w:rsid w:val="00266D07"/>
    <w:rsid w:val="002747EF"/>
    <w:rsid w:val="00276004"/>
    <w:rsid w:val="00276FFE"/>
    <w:rsid w:val="00280809"/>
    <w:rsid w:val="00281047"/>
    <w:rsid w:val="002818BE"/>
    <w:rsid w:val="00285C5C"/>
    <w:rsid w:val="002938E5"/>
    <w:rsid w:val="002A07D5"/>
    <w:rsid w:val="002A1CD9"/>
    <w:rsid w:val="002A5D06"/>
    <w:rsid w:val="002B048E"/>
    <w:rsid w:val="002B1B8E"/>
    <w:rsid w:val="002B1F1F"/>
    <w:rsid w:val="002B4590"/>
    <w:rsid w:val="002B45F8"/>
    <w:rsid w:val="002B50C2"/>
    <w:rsid w:val="002C4A75"/>
    <w:rsid w:val="002C5B6C"/>
    <w:rsid w:val="002C6DA8"/>
    <w:rsid w:val="002C6F57"/>
    <w:rsid w:val="002D42B0"/>
    <w:rsid w:val="002D5177"/>
    <w:rsid w:val="002D67B5"/>
    <w:rsid w:val="002E06A0"/>
    <w:rsid w:val="002E6E63"/>
    <w:rsid w:val="002F037F"/>
    <w:rsid w:val="002F195D"/>
    <w:rsid w:val="002F4803"/>
    <w:rsid w:val="002F52F1"/>
    <w:rsid w:val="002F53F0"/>
    <w:rsid w:val="002F604F"/>
    <w:rsid w:val="00300B98"/>
    <w:rsid w:val="00305EA4"/>
    <w:rsid w:val="003076DC"/>
    <w:rsid w:val="00307D09"/>
    <w:rsid w:val="0031035F"/>
    <w:rsid w:val="00313D53"/>
    <w:rsid w:val="0031483A"/>
    <w:rsid w:val="00315351"/>
    <w:rsid w:val="00317933"/>
    <w:rsid w:val="00317FA9"/>
    <w:rsid w:val="00321EEB"/>
    <w:rsid w:val="00322D93"/>
    <w:rsid w:val="00323EB3"/>
    <w:rsid w:val="00327E19"/>
    <w:rsid w:val="0033081F"/>
    <w:rsid w:val="00331B47"/>
    <w:rsid w:val="00332D30"/>
    <w:rsid w:val="00335695"/>
    <w:rsid w:val="00337C29"/>
    <w:rsid w:val="00342B97"/>
    <w:rsid w:val="003504C0"/>
    <w:rsid w:val="00354D90"/>
    <w:rsid w:val="00354ECA"/>
    <w:rsid w:val="003556FD"/>
    <w:rsid w:val="00356426"/>
    <w:rsid w:val="00356DC2"/>
    <w:rsid w:val="00360263"/>
    <w:rsid w:val="0036046D"/>
    <w:rsid w:val="00360743"/>
    <w:rsid w:val="0036195A"/>
    <w:rsid w:val="00361E56"/>
    <w:rsid w:val="00361FD8"/>
    <w:rsid w:val="00366570"/>
    <w:rsid w:val="003700AF"/>
    <w:rsid w:val="003715FC"/>
    <w:rsid w:val="0037308A"/>
    <w:rsid w:val="003801FB"/>
    <w:rsid w:val="00380616"/>
    <w:rsid w:val="00382B8B"/>
    <w:rsid w:val="0038352E"/>
    <w:rsid w:val="00383D5B"/>
    <w:rsid w:val="00385071"/>
    <w:rsid w:val="003865F8"/>
    <w:rsid w:val="00390951"/>
    <w:rsid w:val="00392E02"/>
    <w:rsid w:val="00394FFD"/>
    <w:rsid w:val="00396D39"/>
    <w:rsid w:val="003A0B94"/>
    <w:rsid w:val="003A1BCF"/>
    <w:rsid w:val="003A7007"/>
    <w:rsid w:val="003A7105"/>
    <w:rsid w:val="003A7686"/>
    <w:rsid w:val="003B0717"/>
    <w:rsid w:val="003B3EB8"/>
    <w:rsid w:val="003B68A4"/>
    <w:rsid w:val="003B76D4"/>
    <w:rsid w:val="003C0B28"/>
    <w:rsid w:val="003C45DF"/>
    <w:rsid w:val="003C5178"/>
    <w:rsid w:val="003C5543"/>
    <w:rsid w:val="003D7175"/>
    <w:rsid w:val="003D7C2E"/>
    <w:rsid w:val="003E0795"/>
    <w:rsid w:val="003E31D9"/>
    <w:rsid w:val="003E3472"/>
    <w:rsid w:val="003E39C6"/>
    <w:rsid w:val="003E3C02"/>
    <w:rsid w:val="003E502A"/>
    <w:rsid w:val="003E5863"/>
    <w:rsid w:val="003F19FD"/>
    <w:rsid w:val="003F5AF2"/>
    <w:rsid w:val="003F6A57"/>
    <w:rsid w:val="00400F15"/>
    <w:rsid w:val="00401CF5"/>
    <w:rsid w:val="0040311C"/>
    <w:rsid w:val="00405DE3"/>
    <w:rsid w:val="00406308"/>
    <w:rsid w:val="0041005F"/>
    <w:rsid w:val="0041069D"/>
    <w:rsid w:val="00410B25"/>
    <w:rsid w:val="00421D17"/>
    <w:rsid w:val="0042254B"/>
    <w:rsid w:val="004247F9"/>
    <w:rsid w:val="00424819"/>
    <w:rsid w:val="00424964"/>
    <w:rsid w:val="00425FB9"/>
    <w:rsid w:val="00426B70"/>
    <w:rsid w:val="00427382"/>
    <w:rsid w:val="00427E81"/>
    <w:rsid w:val="00433D06"/>
    <w:rsid w:val="00435971"/>
    <w:rsid w:val="00435D16"/>
    <w:rsid w:val="004370C4"/>
    <w:rsid w:val="00443C51"/>
    <w:rsid w:val="00444F1C"/>
    <w:rsid w:val="00446593"/>
    <w:rsid w:val="00446830"/>
    <w:rsid w:val="00446C0F"/>
    <w:rsid w:val="0044751C"/>
    <w:rsid w:val="004521A5"/>
    <w:rsid w:val="00452713"/>
    <w:rsid w:val="004533CF"/>
    <w:rsid w:val="0045460D"/>
    <w:rsid w:val="0045465E"/>
    <w:rsid w:val="004552D3"/>
    <w:rsid w:val="00455CF6"/>
    <w:rsid w:val="00456BF4"/>
    <w:rsid w:val="004604DF"/>
    <w:rsid w:val="00460933"/>
    <w:rsid w:val="00463868"/>
    <w:rsid w:val="00464251"/>
    <w:rsid w:val="00464700"/>
    <w:rsid w:val="00465AF7"/>
    <w:rsid w:val="00471E94"/>
    <w:rsid w:val="00473D3C"/>
    <w:rsid w:val="00474B77"/>
    <w:rsid w:val="00474CD4"/>
    <w:rsid w:val="00475D52"/>
    <w:rsid w:val="0047765A"/>
    <w:rsid w:val="0048042C"/>
    <w:rsid w:val="00480A7B"/>
    <w:rsid w:val="00481FB7"/>
    <w:rsid w:val="00482887"/>
    <w:rsid w:val="004836CF"/>
    <w:rsid w:val="00487D91"/>
    <w:rsid w:val="004923E1"/>
    <w:rsid w:val="0049270A"/>
    <w:rsid w:val="004979BD"/>
    <w:rsid w:val="004A2B03"/>
    <w:rsid w:val="004A2D6D"/>
    <w:rsid w:val="004A745C"/>
    <w:rsid w:val="004B07E4"/>
    <w:rsid w:val="004B7139"/>
    <w:rsid w:val="004C1E04"/>
    <w:rsid w:val="004C3B5C"/>
    <w:rsid w:val="004C57D3"/>
    <w:rsid w:val="004C6967"/>
    <w:rsid w:val="004C7695"/>
    <w:rsid w:val="004D16D1"/>
    <w:rsid w:val="004D2737"/>
    <w:rsid w:val="004D4631"/>
    <w:rsid w:val="004D472C"/>
    <w:rsid w:val="004D4906"/>
    <w:rsid w:val="004D603A"/>
    <w:rsid w:val="004E0651"/>
    <w:rsid w:val="004E0D91"/>
    <w:rsid w:val="004E2F51"/>
    <w:rsid w:val="004E3B44"/>
    <w:rsid w:val="004E3F3B"/>
    <w:rsid w:val="004E45BF"/>
    <w:rsid w:val="004E5D68"/>
    <w:rsid w:val="004E5FCA"/>
    <w:rsid w:val="004E6D99"/>
    <w:rsid w:val="004E731C"/>
    <w:rsid w:val="004F086C"/>
    <w:rsid w:val="004F08B3"/>
    <w:rsid w:val="004F0FE5"/>
    <w:rsid w:val="004F1D98"/>
    <w:rsid w:val="004F2F72"/>
    <w:rsid w:val="004F7810"/>
    <w:rsid w:val="0050064A"/>
    <w:rsid w:val="005018F7"/>
    <w:rsid w:val="00501E2D"/>
    <w:rsid w:val="00502AD0"/>
    <w:rsid w:val="00505648"/>
    <w:rsid w:val="00505AD3"/>
    <w:rsid w:val="00506A48"/>
    <w:rsid w:val="00510D5D"/>
    <w:rsid w:val="00511BA8"/>
    <w:rsid w:val="005126CD"/>
    <w:rsid w:val="00512F73"/>
    <w:rsid w:val="00514792"/>
    <w:rsid w:val="005152A7"/>
    <w:rsid w:val="00515E41"/>
    <w:rsid w:val="005168EA"/>
    <w:rsid w:val="0052347F"/>
    <w:rsid w:val="00523612"/>
    <w:rsid w:val="00524427"/>
    <w:rsid w:val="00525261"/>
    <w:rsid w:val="00525489"/>
    <w:rsid w:val="005330F0"/>
    <w:rsid w:val="0053614D"/>
    <w:rsid w:val="0053631D"/>
    <w:rsid w:val="005363C0"/>
    <w:rsid w:val="00536C81"/>
    <w:rsid w:val="00540C13"/>
    <w:rsid w:val="005413FA"/>
    <w:rsid w:val="005432CA"/>
    <w:rsid w:val="0054734C"/>
    <w:rsid w:val="00553286"/>
    <w:rsid w:val="00555171"/>
    <w:rsid w:val="00555492"/>
    <w:rsid w:val="0055566B"/>
    <w:rsid w:val="00555882"/>
    <w:rsid w:val="00556051"/>
    <w:rsid w:val="0055766D"/>
    <w:rsid w:val="00564245"/>
    <w:rsid w:val="005657E8"/>
    <w:rsid w:val="00566009"/>
    <w:rsid w:val="0057053F"/>
    <w:rsid w:val="00571823"/>
    <w:rsid w:val="00571963"/>
    <w:rsid w:val="00571DBB"/>
    <w:rsid w:val="00573DB6"/>
    <w:rsid w:val="00573EEF"/>
    <w:rsid w:val="005755C2"/>
    <w:rsid w:val="00575F34"/>
    <w:rsid w:val="0057628B"/>
    <w:rsid w:val="00581134"/>
    <w:rsid w:val="00584CCD"/>
    <w:rsid w:val="0059240F"/>
    <w:rsid w:val="0059273D"/>
    <w:rsid w:val="00595A0C"/>
    <w:rsid w:val="00596700"/>
    <w:rsid w:val="005967FF"/>
    <w:rsid w:val="005A2779"/>
    <w:rsid w:val="005A27C7"/>
    <w:rsid w:val="005A2CC7"/>
    <w:rsid w:val="005A416F"/>
    <w:rsid w:val="005A472A"/>
    <w:rsid w:val="005A4E3B"/>
    <w:rsid w:val="005A60C7"/>
    <w:rsid w:val="005A6B87"/>
    <w:rsid w:val="005A6EA6"/>
    <w:rsid w:val="005A75FF"/>
    <w:rsid w:val="005A7A75"/>
    <w:rsid w:val="005B06A1"/>
    <w:rsid w:val="005B2CE8"/>
    <w:rsid w:val="005B45F3"/>
    <w:rsid w:val="005B6C84"/>
    <w:rsid w:val="005B7A0D"/>
    <w:rsid w:val="005C32B4"/>
    <w:rsid w:val="005C7B38"/>
    <w:rsid w:val="005D07E3"/>
    <w:rsid w:val="005D405E"/>
    <w:rsid w:val="005D48CF"/>
    <w:rsid w:val="005D62F1"/>
    <w:rsid w:val="005D6B2E"/>
    <w:rsid w:val="005E0851"/>
    <w:rsid w:val="005E1734"/>
    <w:rsid w:val="005E17B3"/>
    <w:rsid w:val="005E2A4F"/>
    <w:rsid w:val="005E6C0F"/>
    <w:rsid w:val="005E76DA"/>
    <w:rsid w:val="005F229F"/>
    <w:rsid w:val="005F4321"/>
    <w:rsid w:val="005F78B2"/>
    <w:rsid w:val="006061FC"/>
    <w:rsid w:val="00607234"/>
    <w:rsid w:val="006077EB"/>
    <w:rsid w:val="00610DDE"/>
    <w:rsid w:val="0061187A"/>
    <w:rsid w:val="0061629C"/>
    <w:rsid w:val="00617709"/>
    <w:rsid w:val="00617B92"/>
    <w:rsid w:val="00622566"/>
    <w:rsid w:val="006238DC"/>
    <w:rsid w:val="00623C6C"/>
    <w:rsid w:val="00626B8E"/>
    <w:rsid w:val="00626BE6"/>
    <w:rsid w:val="00627126"/>
    <w:rsid w:val="0063026F"/>
    <w:rsid w:val="006303E4"/>
    <w:rsid w:val="00630F6D"/>
    <w:rsid w:val="00635917"/>
    <w:rsid w:val="00635FAA"/>
    <w:rsid w:val="00640103"/>
    <w:rsid w:val="00640F21"/>
    <w:rsid w:val="00643611"/>
    <w:rsid w:val="00643C31"/>
    <w:rsid w:val="0064616A"/>
    <w:rsid w:val="00651C6F"/>
    <w:rsid w:val="006538B5"/>
    <w:rsid w:val="0065423D"/>
    <w:rsid w:val="00654A04"/>
    <w:rsid w:val="00655EFE"/>
    <w:rsid w:val="00656EF6"/>
    <w:rsid w:val="00663A6B"/>
    <w:rsid w:val="0066453E"/>
    <w:rsid w:val="00664695"/>
    <w:rsid w:val="006649AC"/>
    <w:rsid w:val="006673ED"/>
    <w:rsid w:val="006706B9"/>
    <w:rsid w:val="006717DA"/>
    <w:rsid w:val="006728AE"/>
    <w:rsid w:val="00672992"/>
    <w:rsid w:val="006764A5"/>
    <w:rsid w:val="00681783"/>
    <w:rsid w:val="00681FC5"/>
    <w:rsid w:val="00682E0A"/>
    <w:rsid w:val="006860CB"/>
    <w:rsid w:val="006869C1"/>
    <w:rsid w:val="00687D28"/>
    <w:rsid w:val="00687D82"/>
    <w:rsid w:val="00690954"/>
    <w:rsid w:val="00691EA6"/>
    <w:rsid w:val="0069373B"/>
    <w:rsid w:val="0069383F"/>
    <w:rsid w:val="00694703"/>
    <w:rsid w:val="00694B19"/>
    <w:rsid w:val="00697EA3"/>
    <w:rsid w:val="006A13FF"/>
    <w:rsid w:val="006A2068"/>
    <w:rsid w:val="006A5F2D"/>
    <w:rsid w:val="006A7C03"/>
    <w:rsid w:val="006B2712"/>
    <w:rsid w:val="006B3CF5"/>
    <w:rsid w:val="006B4B48"/>
    <w:rsid w:val="006B5C09"/>
    <w:rsid w:val="006B6901"/>
    <w:rsid w:val="006B7CB7"/>
    <w:rsid w:val="006C15A4"/>
    <w:rsid w:val="006C2A00"/>
    <w:rsid w:val="006C3284"/>
    <w:rsid w:val="006C6212"/>
    <w:rsid w:val="006C6557"/>
    <w:rsid w:val="006C66C5"/>
    <w:rsid w:val="006C7C6C"/>
    <w:rsid w:val="006D132F"/>
    <w:rsid w:val="006D2532"/>
    <w:rsid w:val="006D38E5"/>
    <w:rsid w:val="006D3B4A"/>
    <w:rsid w:val="006D5900"/>
    <w:rsid w:val="006D590B"/>
    <w:rsid w:val="006E1197"/>
    <w:rsid w:val="006E164A"/>
    <w:rsid w:val="006E1926"/>
    <w:rsid w:val="006E23EB"/>
    <w:rsid w:val="006E5AE0"/>
    <w:rsid w:val="006E7E63"/>
    <w:rsid w:val="006F2DBA"/>
    <w:rsid w:val="006F3E4B"/>
    <w:rsid w:val="006F7E65"/>
    <w:rsid w:val="0070571E"/>
    <w:rsid w:val="00707112"/>
    <w:rsid w:val="007073B0"/>
    <w:rsid w:val="00712D8D"/>
    <w:rsid w:val="00712EBA"/>
    <w:rsid w:val="00714CFA"/>
    <w:rsid w:val="007156E5"/>
    <w:rsid w:val="007157F3"/>
    <w:rsid w:val="00717DFA"/>
    <w:rsid w:val="00722112"/>
    <w:rsid w:val="007232EE"/>
    <w:rsid w:val="00724F06"/>
    <w:rsid w:val="00725E4E"/>
    <w:rsid w:val="00726A42"/>
    <w:rsid w:val="007279C2"/>
    <w:rsid w:val="007301FA"/>
    <w:rsid w:val="00730CE5"/>
    <w:rsid w:val="0073255A"/>
    <w:rsid w:val="0073485F"/>
    <w:rsid w:val="00737751"/>
    <w:rsid w:val="00744E49"/>
    <w:rsid w:val="007455A4"/>
    <w:rsid w:val="0074734D"/>
    <w:rsid w:val="00751610"/>
    <w:rsid w:val="00752140"/>
    <w:rsid w:val="00754BE2"/>
    <w:rsid w:val="0075508A"/>
    <w:rsid w:val="007561EF"/>
    <w:rsid w:val="007562D5"/>
    <w:rsid w:val="00763949"/>
    <w:rsid w:val="00763C9C"/>
    <w:rsid w:val="0076663C"/>
    <w:rsid w:val="00766C58"/>
    <w:rsid w:val="00766DA2"/>
    <w:rsid w:val="00770374"/>
    <w:rsid w:val="00772161"/>
    <w:rsid w:val="007726B5"/>
    <w:rsid w:val="00773D81"/>
    <w:rsid w:val="007806AF"/>
    <w:rsid w:val="00784CF5"/>
    <w:rsid w:val="00786266"/>
    <w:rsid w:val="00790062"/>
    <w:rsid w:val="00790E97"/>
    <w:rsid w:val="007924F9"/>
    <w:rsid w:val="00792B9C"/>
    <w:rsid w:val="007944EE"/>
    <w:rsid w:val="007A73B9"/>
    <w:rsid w:val="007A74F5"/>
    <w:rsid w:val="007A7EB7"/>
    <w:rsid w:val="007B0F9E"/>
    <w:rsid w:val="007B2956"/>
    <w:rsid w:val="007B2C04"/>
    <w:rsid w:val="007B3C74"/>
    <w:rsid w:val="007B3CA6"/>
    <w:rsid w:val="007B4184"/>
    <w:rsid w:val="007B5125"/>
    <w:rsid w:val="007B6056"/>
    <w:rsid w:val="007C3715"/>
    <w:rsid w:val="007D1268"/>
    <w:rsid w:val="007D15F4"/>
    <w:rsid w:val="007D1BAD"/>
    <w:rsid w:val="007D260F"/>
    <w:rsid w:val="007D2DAA"/>
    <w:rsid w:val="007D3259"/>
    <w:rsid w:val="007D38D7"/>
    <w:rsid w:val="007D5D8B"/>
    <w:rsid w:val="007D652C"/>
    <w:rsid w:val="007E16C5"/>
    <w:rsid w:val="007E2B3A"/>
    <w:rsid w:val="007E39B4"/>
    <w:rsid w:val="007E677C"/>
    <w:rsid w:val="007E6FE0"/>
    <w:rsid w:val="007E7D15"/>
    <w:rsid w:val="007F1C88"/>
    <w:rsid w:val="007F3D0F"/>
    <w:rsid w:val="007F66C9"/>
    <w:rsid w:val="008004BB"/>
    <w:rsid w:val="00807C06"/>
    <w:rsid w:val="008155C6"/>
    <w:rsid w:val="008159DD"/>
    <w:rsid w:val="008169CD"/>
    <w:rsid w:val="008170E2"/>
    <w:rsid w:val="008179AA"/>
    <w:rsid w:val="00821B2B"/>
    <w:rsid w:val="00825BFF"/>
    <w:rsid w:val="008319C8"/>
    <w:rsid w:val="008322E4"/>
    <w:rsid w:val="0083345D"/>
    <w:rsid w:val="0083356B"/>
    <w:rsid w:val="0083370D"/>
    <w:rsid w:val="00835406"/>
    <w:rsid w:val="008356B0"/>
    <w:rsid w:val="0083586F"/>
    <w:rsid w:val="00836874"/>
    <w:rsid w:val="00837093"/>
    <w:rsid w:val="00842D14"/>
    <w:rsid w:val="0084478B"/>
    <w:rsid w:val="008449AD"/>
    <w:rsid w:val="00850A90"/>
    <w:rsid w:val="0085279E"/>
    <w:rsid w:val="00852809"/>
    <w:rsid w:val="008544D1"/>
    <w:rsid w:val="00854E53"/>
    <w:rsid w:val="00855BEE"/>
    <w:rsid w:val="008627EB"/>
    <w:rsid w:val="00862F90"/>
    <w:rsid w:val="0086512B"/>
    <w:rsid w:val="00865A95"/>
    <w:rsid w:val="00865FFD"/>
    <w:rsid w:val="0087111C"/>
    <w:rsid w:val="0087255A"/>
    <w:rsid w:val="00873D4D"/>
    <w:rsid w:val="00874C12"/>
    <w:rsid w:val="008764DB"/>
    <w:rsid w:val="00880CE7"/>
    <w:rsid w:val="00880FEA"/>
    <w:rsid w:val="00882E14"/>
    <w:rsid w:val="00885DE9"/>
    <w:rsid w:val="00886182"/>
    <w:rsid w:val="00887B29"/>
    <w:rsid w:val="00887D15"/>
    <w:rsid w:val="00891EE2"/>
    <w:rsid w:val="0089234C"/>
    <w:rsid w:val="008935EA"/>
    <w:rsid w:val="00894562"/>
    <w:rsid w:val="00895A6A"/>
    <w:rsid w:val="00895E06"/>
    <w:rsid w:val="00897975"/>
    <w:rsid w:val="008A41C0"/>
    <w:rsid w:val="008A5B25"/>
    <w:rsid w:val="008A7E79"/>
    <w:rsid w:val="008B1777"/>
    <w:rsid w:val="008B2B93"/>
    <w:rsid w:val="008B4C66"/>
    <w:rsid w:val="008C0760"/>
    <w:rsid w:val="008C087E"/>
    <w:rsid w:val="008C1B3E"/>
    <w:rsid w:val="008C1F04"/>
    <w:rsid w:val="008C2F1D"/>
    <w:rsid w:val="008C5B54"/>
    <w:rsid w:val="008C632C"/>
    <w:rsid w:val="008C6445"/>
    <w:rsid w:val="008C7C61"/>
    <w:rsid w:val="008C7CF9"/>
    <w:rsid w:val="008D1D2F"/>
    <w:rsid w:val="008D5366"/>
    <w:rsid w:val="008D76B6"/>
    <w:rsid w:val="008E0887"/>
    <w:rsid w:val="008E27E0"/>
    <w:rsid w:val="008E32C8"/>
    <w:rsid w:val="008E3501"/>
    <w:rsid w:val="008E448F"/>
    <w:rsid w:val="008E5AC9"/>
    <w:rsid w:val="008E65A8"/>
    <w:rsid w:val="008E7989"/>
    <w:rsid w:val="008F3D16"/>
    <w:rsid w:val="00902012"/>
    <w:rsid w:val="00902904"/>
    <w:rsid w:val="009053A9"/>
    <w:rsid w:val="00907B75"/>
    <w:rsid w:val="0091366C"/>
    <w:rsid w:val="0091417B"/>
    <w:rsid w:val="00920B00"/>
    <w:rsid w:val="009210C4"/>
    <w:rsid w:val="009213DE"/>
    <w:rsid w:val="00926C50"/>
    <w:rsid w:val="00926FA4"/>
    <w:rsid w:val="009304AD"/>
    <w:rsid w:val="00930991"/>
    <w:rsid w:val="00937C73"/>
    <w:rsid w:val="00941F28"/>
    <w:rsid w:val="0094269E"/>
    <w:rsid w:val="00943D09"/>
    <w:rsid w:val="009446F6"/>
    <w:rsid w:val="00945B40"/>
    <w:rsid w:val="009461D7"/>
    <w:rsid w:val="00947312"/>
    <w:rsid w:val="00947492"/>
    <w:rsid w:val="00953C5F"/>
    <w:rsid w:val="009543D1"/>
    <w:rsid w:val="00956EF9"/>
    <w:rsid w:val="009573D8"/>
    <w:rsid w:val="00957B89"/>
    <w:rsid w:val="00963B1D"/>
    <w:rsid w:val="00965144"/>
    <w:rsid w:val="0096616A"/>
    <w:rsid w:val="00966C3B"/>
    <w:rsid w:val="00967CD3"/>
    <w:rsid w:val="00972C3B"/>
    <w:rsid w:val="009738E0"/>
    <w:rsid w:val="00974C2C"/>
    <w:rsid w:val="009760A1"/>
    <w:rsid w:val="00976FCD"/>
    <w:rsid w:val="00977000"/>
    <w:rsid w:val="009770A3"/>
    <w:rsid w:val="009773E1"/>
    <w:rsid w:val="009801D3"/>
    <w:rsid w:val="00981D12"/>
    <w:rsid w:val="0098200A"/>
    <w:rsid w:val="00982692"/>
    <w:rsid w:val="00982780"/>
    <w:rsid w:val="00983EE4"/>
    <w:rsid w:val="009902A3"/>
    <w:rsid w:val="00990CCC"/>
    <w:rsid w:val="00993B23"/>
    <w:rsid w:val="0099433C"/>
    <w:rsid w:val="009964F2"/>
    <w:rsid w:val="00997E71"/>
    <w:rsid w:val="009A6EFF"/>
    <w:rsid w:val="009A73B1"/>
    <w:rsid w:val="009B0B6E"/>
    <w:rsid w:val="009B1986"/>
    <w:rsid w:val="009B1C4C"/>
    <w:rsid w:val="009B1EBB"/>
    <w:rsid w:val="009B261F"/>
    <w:rsid w:val="009B2FDD"/>
    <w:rsid w:val="009B4159"/>
    <w:rsid w:val="009B4FD4"/>
    <w:rsid w:val="009B510F"/>
    <w:rsid w:val="009C3B36"/>
    <w:rsid w:val="009C5680"/>
    <w:rsid w:val="009C6270"/>
    <w:rsid w:val="009D0388"/>
    <w:rsid w:val="009D31F8"/>
    <w:rsid w:val="009D40CF"/>
    <w:rsid w:val="009D4D55"/>
    <w:rsid w:val="009D5A3F"/>
    <w:rsid w:val="009D6932"/>
    <w:rsid w:val="009D7CEC"/>
    <w:rsid w:val="009E24D9"/>
    <w:rsid w:val="009E7DC2"/>
    <w:rsid w:val="009F05AA"/>
    <w:rsid w:val="009F0EE6"/>
    <w:rsid w:val="009F2CD7"/>
    <w:rsid w:val="009F438F"/>
    <w:rsid w:val="009F4ADA"/>
    <w:rsid w:val="009F5FAC"/>
    <w:rsid w:val="00A02BA4"/>
    <w:rsid w:val="00A02EB9"/>
    <w:rsid w:val="00A07015"/>
    <w:rsid w:val="00A11431"/>
    <w:rsid w:val="00A17A43"/>
    <w:rsid w:val="00A238C4"/>
    <w:rsid w:val="00A2467B"/>
    <w:rsid w:val="00A26083"/>
    <w:rsid w:val="00A2749E"/>
    <w:rsid w:val="00A27B00"/>
    <w:rsid w:val="00A30996"/>
    <w:rsid w:val="00A326E4"/>
    <w:rsid w:val="00A34CC4"/>
    <w:rsid w:val="00A34EB9"/>
    <w:rsid w:val="00A37483"/>
    <w:rsid w:val="00A40EC7"/>
    <w:rsid w:val="00A41C9C"/>
    <w:rsid w:val="00A44681"/>
    <w:rsid w:val="00A4621A"/>
    <w:rsid w:val="00A5184A"/>
    <w:rsid w:val="00A53CCD"/>
    <w:rsid w:val="00A54EEA"/>
    <w:rsid w:val="00A56B44"/>
    <w:rsid w:val="00A57A2C"/>
    <w:rsid w:val="00A57BEE"/>
    <w:rsid w:val="00A60CB2"/>
    <w:rsid w:val="00A6313E"/>
    <w:rsid w:val="00A63F79"/>
    <w:rsid w:val="00A65110"/>
    <w:rsid w:val="00A73036"/>
    <w:rsid w:val="00A733A6"/>
    <w:rsid w:val="00A73D0B"/>
    <w:rsid w:val="00A74355"/>
    <w:rsid w:val="00A74FF2"/>
    <w:rsid w:val="00A751FD"/>
    <w:rsid w:val="00A81E73"/>
    <w:rsid w:val="00A828D5"/>
    <w:rsid w:val="00A82AE1"/>
    <w:rsid w:val="00A835B7"/>
    <w:rsid w:val="00A843F8"/>
    <w:rsid w:val="00A92D10"/>
    <w:rsid w:val="00A950BE"/>
    <w:rsid w:val="00A96D10"/>
    <w:rsid w:val="00A96E29"/>
    <w:rsid w:val="00AA1623"/>
    <w:rsid w:val="00AA221B"/>
    <w:rsid w:val="00AA24EB"/>
    <w:rsid w:val="00AA7514"/>
    <w:rsid w:val="00AB3BAB"/>
    <w:rsid w:val="00AB7719"/>
    <w:rsid w:val="00AC1FEE"/>
    <w:rsid w:val="00AC2639"/>
    <w:rsid w:val="00AC44D2"/>
    <w:rsid w:val="00AD0957"/>
    <w:rsid w:val="00AD0E3D"/>
    <w:rsid w:val="00AD38F2"/>
    <w:rsid w:val="00AD5CD6"/>
    <w:rsid w:val="00AD64CA"/>
    <w:rsid w:val="00AE4274"/>
    <w:rsid w:val="00AE57E6"/>
    <w:rsid w:val="00AE5BE8"/>
    <w:rsid w:val="00AE788A"/>
    <w:rsid w:val="00AF034A"/>
    <w:rsid w:val="00AF1476"/>
    <w:rsid w:val="00AF2774"/>
    <w:rsid w:val="00AF33F9"/>
    <w:rsid w:val="00AF3676"/>
    <w:rsid w:val="00AF5DD8"/>
    <w:rsid w:val="00AF612C"/>
    <w:rsid w:val="00B01AEA"/>
    <w:rsid w:val="00B01FBE"/>
    <w:rsid w:val="00B027B8"/>
    <w:rsid w:val="00B071FE"/>
    <w:rsid w:val="00B10CAE"/>
    <w:rsid w:val="00B125CA"/>
    <w:rsid w:val="00B12F27"/>
    <w:rsid w:val="00B14139"/>
    <w:rsid w:val="00B15F09"/>
    <w:rsid w:val="00B20822"/>
    <w:rsid w:val="00B21259"/>
    <w:rsid w:val="00B24CC2"/>
    <w:rsid w:val="00B34A57"/>
    <w:rsid w:val="00B362A8"/>
    <w:rsid w:val="00B42CBB"/>
    <w:rsid w:val="00B44773"/>
    <w:rsid w:val="00B47E87"/>
    <w:rsid w:val="00B5286D"/>
    <w:rsid w:val="00B53919"/>
    <w:rsid w:val="00B5650F"/>
    <w:rsid w:val="00B60743"/>
    <w:rsid w:val="00B64CB2"/>
    <w:rsid w:val="00B65EB2"/>
    <w:rsid w:val="00B67422"/>
    <w:rsid w:val="00B6787C"/>
    <w:rsid w:val="00B74EAF"/>
    <w:rsid w:val="00B755A6"/>
    <w:rsid w:val="00B756BA"/>
    <w:rsid w:val="00B76616"/>
    <w:rsid w:val="00B77BBA"/>
    <w:rsid w:val="00B77E88"/>
    <w:rsid w:val="00B80993"/>
    <w:rsid w:val="00B818BC"/>
    <w:rsid w:val="00B8337C"/>
    <w:rsid w:val="00B84882"/>
    <w:rsid w:val="00B85E60"/>
    <w:rsid w:val="00B90276"/>
    <w:rsid w:val="00B90386"/>
    <w:rsid w:val="00B94EEE"/>
    <w:rsid w:val="00B95967"/>
    <w:rsid w:val="00B9649A"/>
    <w:rsid w:val="00B975CF"/>
    <w:rsid w:val="00B9775F"/>
    <w:rsid w:val="00BA25E5"/>
    <w:rsid w:val="00BA5616"/>
    <w:rsid w:val="00BA5FC2"/>
    <w:rsid w:val="00BB1874"/>
    <w:rsid w:val="00BB2A9C"/>
    <w:rsid w:val="00BB3CD2"/>
    <w:rsid w:val="00BB671A"/>
    <w:rsid w:val="00BB758F"/>
    <w:rsid w:val="00BB7E70"/>
    <w:rsid w:val="00BC0593"/>
    <w:rsid w:val="00BC0946"/>
    <w:rsid w:val="00BC0A92"/>
    <w:rsid w:val="00BC5845"/>
    <w:rsid w:val="00BC794B"/>
    <w:rsid w:val="00BD3620"/>
    <w:rsid w:val="00BD3B8A"/>
    <w:rsid w:val="00BD637F"/>
    <w:rsid w:val="00BD6E81"/>
    <w:rsid w:val="00BE4D69"/>
    <w:rsid w:val="00BE6AAD"/>
    <w:rsid w:val="00BF1362"/>
    <w:rsid w:val="00BF2D5C"/>
    <w:rsid w:val="00BF322A"/>
    <w:rsid w:val="00BF44E5"/>
    <w:rsid w:val="00BF586A"/>
    <w:rsid w:val="00BF7CB0"/>
    <w:rsid w:val="00BF7E67"/>
    <w:rsid w:val="00C00024"/>
    <w:rsid w:val="00C03756"/>
    <w:rsid w:val="00C047F7"/>
    <w:rsid w:val="00C0731E"/>
    <w:rsid w:val="00C107C7"/>
    <w:rsid w:val="00C11A34"/>
    <w:rsid w:val="00C12D64"/>
    <w:rsid w:val="00C13E66"/>
    <w:rsid w:val="00C13EBC"/>
    <w:rsid w:val="00C147CD"/>
    <w:rsid w:val="00C15842"/>
    <w:rsid w:val="00C225E1"/>
    <w:rsid w:val="00C249AA"/>
    <w:rsid w:val="00C25010"/>
    <w:rsid w:val="00C250AD"/>
    <w:rsid w:val="00C33576"/>
    <w:rsid w:val="00C36A4D"/>
    <w:rsid w:val="00C40E0A"/>
    <w:rsid w:val="00C43F3D"/>
    <w:rsid w:val="00C43FAF"/>
    <w:rsid w:val="00C440DD"/>
    <w:rsid w:val="00C44B83"/>
    <w:rsid w:val="00C50AEB"/>
    <w:rsid w:val="00C5423D"/>
    <w:rsid w:val="00C551EC"/>
    <w:rsid w:val="00C563B4"/>
    <w:rsid w:val="00C5723E"/>
    <w:rsid w:val="00C6040B"/>
    <w:rsid w:val="00C6312A"/>
    <w:rsid w:val="00C641A8"/>
    <w:rsid w:val="00C65A57"/>
    <w:rsid w:val="00C70A8C"/>
    <w:rsid w:val="00C7122B"/>
    <w:rsid w:val="00C720B7"/>
    <w:rsid w:val="00C73EF1"/>
    <w:rsid w:val="00C74E30"/>
    <w:rsid w:val="00C80608"/>
    <w:rsid w:val="00C81139"/>
    <w:rsid w:val="00C83C75"/>
    <w:rsid w:val="00C8610E"/>
    <w:rsid w:val="00C862EA"/>
    <w:rsid w:val="00C925BD"/>
    <w:rsid w:val="00C933AD"/>
    <w:rsid w:val="00CA123C"/>
    <w:rsid w:val="00CA1604"/>
    <w:rsid w:val="00CA20D6"/>
    <w:rsid w:val="00CA39C2"/>
    <w:rsid w:val="00CA47D0"/>
    <w:rsid w:val="00CA5D19"/>
    <w:rsid w:val="00CA7BC8"/>
    <w:rsid w:val="00CA7D2C"/>
    <w:rsid w:val="00CB1790"/>
    <w:rsid w:val="00CB372C"/>
    <w:rsid w:val="00CB6583"/>
    <w:rsid w:val="00CC0D4E"/>
    <w:rsid w:val="00CC1AE3"/>
    <w:rsid w:val="00CC2EEB"/>
    <w:rsid w:val="00CD08B2"/>
    <w:rsid w:val="00CD243D"/>
    <w:rsid w:val="00CE1764"/>
    <w:rsid w:val="00CE2DE8"/>
    <w:rsid w:val="00CE4E38"/>
    <w:rsid w:val="00CE66B1"/>
    <w:rsid w:val="00CE6BD0"/>
    <w:rsid w:val="00CF0967"/>
    <w:rsid w:val="00CF2DDE"/>
    <w:rsid w:val="00CF34C8"/>
    <w:rsid w:val="00CF523F"/>
    <w:rsid w:val="00CF5A3F"/>
    <w:rsid w:val="00CF62B4"/>
    <w:rsid w:val="00D02538"/>
    <w:rsid w:val="00D02A18"/>
    <w:rsid w:val="00D02F6F"/>
    <w:rsid w:val="00D058E8"/>
    <w:rsid w:val="00D06237"/>
    <w:rsid w:val="00D06B32"/>
    <w:rsid w:val="00D17589"/>
    <w:rsid w:val="00D17D5C"/>
    <w:rsid w:val="00D20042"/>
    <w:rsid w:val="00D201F7"/>
    <w:rsid w:val="00D2033F"/>
    <w:rsid w:val="00D20454"/>
    <w:rsid w:val="00D227DC"/>
    <w:rsid w:val="00D22C25"/>
    <w:rsid w:val="00D22EF7"/>
    <w:rsid w:val="00D24720"/>
    <w:rsid w:val="00D25062"/>
    <w:rsid w:val="00D25E9A"/>
    <w:rsid w:val="00D267E9"/>
    <w:rsid w:val="00D26CF9"/>
    <w:rsid w:val="00D27756"/>
    <w:rsid w:val="00D27A10"/>
    <w:rsid w:val="00D3057D"/>
    <w:rsid w:val="00D314DD"/>
    <w:rsid w:val="00D324FA"/>
    <w:rsid w:val="00D340C9"/>
    <w:rsid w:val="00D3543E"/>
    <w:rsid w:val="00D363CB"/>
    <w:rsid w:val="00D42DC7"/>
    <w:rsid w:val="00D43723"/>
    <w:rsid w:val="00D45E55"/>
    <w:rsid w:val="00D474E1"/>
    <w:rsid w:val="00D50940"/>
    <w:rsid w:val="00D51031"/>
    <w:rsid w:val="00D517CF"/>
    <w:rsid w:val="00D55E5A"/>
    <w:rsid w:val="00D6452B"/>
    <w:rsid w:val="00D65258"/>
    <w:rsid w:val="00D7059E"/>
    <w:rsid w:val="00D71F9B"/>
    <w:rsid w:val="00D720FF"/>
    <w:rsid w:val="00D732FF"/>
    <w:rsid w:val="00D74D5D"/>
    <w:rsid w:val="00D753D9"/>
    <w:rsid w:val="00D75E0F"/>
    <w:rsid w:val="00D80161"/>
    <w:rsid w:val="00D80361"/>
    <w:rsid w:val="00D81E7D"/>
    <w:rsid w:val="00D81FED"/>
    <w:rsid w:val="00D820B4"/>
    <w:rsid w:val="00D83BA1"/>
    <w:rsid w:val="00D864CF"/>
    <w:rsid w:val="00D87024"/>
    <w:rsid w:val="00D87576"/>
    <w:rsid w:val="00D875AD"/>
    <w:rsid w:val="00D91366"/>
    <w:rsid w:val="00D91EDE"/>
    <w:rsid w:val="00D9486C"/>
    <w:rsid w:val="00D94DD2"/>
    <w:rsid w:val="00D97EB1"/>
    <w:rsid w:val="00DA2405"/>
    <w:rsid w:val="00DA25B9"/>
    <w:rsid w:val="00DA3C47"/>
    <w:rsid w:val="00DA4C1C"/>
    <w:rsid w:val="00DA589A"/>
    <w:rsid w:val="00DA5DB4"/>
    <w:rsid w:val="00DA7155"/>
    <w:rsid w:val="00DA73F0"/>
    <w:rsid w:val="00DA7E3D"/>
    <w:rsid w:val="00DB1451"/>
    <w:rsid w:val="00DB41E9"/>
    <w:rsid w:val="00DB6192"/>
    <w:rsid w:val="00DB76C6"/>
    <w:rsid w:val="00DC1373"/>
    <w:rsid w:val="00DC2B91"/>
    <w:rsid w:val="00DC5D19"/>
    <w:rsid w:val="00DC663E"/>
    <w:rsid w:val="00DD1D0E"/>
    <w:rsid w:val="00DD37C6"/>
    <w:rsid w:val="00DD47A9"/>
    <w:rsid w:val="00DD54E0"/>
    <w:rsid w:val="00DD79B5"/>
    <w:rsid w:val="00DE3A4E"/>
    <w:rsid w:val="00DE7457"/>
    <w:rsid w:val="00DF01CC"/>
    <w:rsid w:val="00DF0AF6"/>
    <w:rsid w:val="00DF1A62"/>
    <w:rsid w:val="00DF591C"/>
    <w:rsid w:val="00DF637D"/>
    <w:rsid w:val="00E028F6"/>
    <w:rsid w:val="00E029F4"/>
    <w:rsid w:val="00E0486E"/>
    <w:rsid w:val="00E06B08"/>
    <w:rsid w:val="00E07174"/>
    <w:rsid w:val="00E1218F"/>
    <w:rsid w:val="00E13169"/>
    <w:rsid w:val="00E2120C"/>
    <w:rsid w:val="00E2150E"/>
    <w:rsid w:val="00E242BE"/>
    <w:rsid w:val="00E25728"/>
    <w:rsid w:val="00E25EEC"/>
    <w:rsid w:val="00E26968"/>
    <w:rsid w:val="00E3039C"/>
    <w:rsid w:val="00E3053D"/>
    <w:rsid w:val="00E328A5"/>
    <w:rsid w:val="00E3299A"/>
    <w:rsid w:val="00E32BCA"/>
    <w:rsid w:val="00E32DD4"/>
    <w:rsid w:val="00E34809"/>
    <w:rsid w:val="00E36EC9"/>
    <w:rsid w:val="00E410DE"/>
    <w:rsid w:val="00E43410"/>
    <w:rsid w:val="00E45014"/>
    <w:rsid w:val="00E503CA"/>
    <w:rsid w:val="00E52CA6"/>
    <w:rsid w:val="00E55BCB"/>
    <w:rsid w:val="00E5697F"/>
    <w:rsid w:val="00E56D4F"/>
    <w:rsid w:val="00E573ED"/>
    <w:rsid w:val="00E5744A"/>
    <w:rsid w:val="00E57D6E"/>
    <w:rsid w:val="00E61BCA"/>
    <w:rsid w:val="00E620EC"/>
    <w:rsid w:val="00E624E8"/>
    <w:rsid w:val="00E62CF0"/>
    <w:rsid w:val="00E66C27"/>
    <w:rsid w:val="00E6717F"/>
    <w:rsid w:val="00E72EBC"/>
    <w:rsid w:val="00E73577"/>
    <w:rsid w:val="00E74D09"/>
    <w:rsid w:val="00E75046"/>
    <w:rsid w:val="00E75098"/>
    <w:rsid w:val="00E75294"/>
    <w:rsid w:val="00E80F23"/>
    <w:rsid w:val="00E817F0"/>
    <w:rsid w:val="00E81BE3"/>
    <w:rsid w:val="00E8363F"/>
    <w:rsid w:val="00E84B9C"/>
    <w:rsid w:val="00E856FF"/>
    <w:rsid w:val="00E86F5A"/>
    <w:rsid w:val="00E87DF1"/>
    <w:rsid w:val="00E91518"/>
    <w:rsid w:val="00E9179E"/>
    <w:rsid w:val="00E94C4D"/>
    <w:rsid w:val="00E94D1E"/>
    <w:rsid w:val="00E95178"/>
    <w:rsid w:val="00EA06D6"/>
    <w:rsid w:val="00EA12C2"/>
    <w:rsid w:val="00EA1A1A"/>
    <w:rsid w:val="00EA2F2F"/>
    <w:rsid w:val="00EA4941"/>
    <w:rsid w:val="00EA7B3B"/>
    <w:rsid w:val="00EC07FE"/>
    <w:rsid w:val="00EC13B1"/>
    <w:rsid w:val="00EC1B61"/>
    <w:rsid w:val="00EC28A9"/>
    <w:rsid w:val="00EC31F1"/>
    <w:rsid w:val="00EC6F87"/>
    <w:rsid w:val="00EC7AD6"/>
    <w:rsid w:val="00ED16C9"/>
    <w:rsid w:val="00ED25FE"/>
    <w:rsid w:val="00ED4276"/>
    <w:rsid w:val="00ED5FB6"/>
    <w:rsid w:val="00ED7149"/>
    <w:rsid w:val="00EE082B"/>
    <w:rsid w:val="00EE3652"/>
    <w:rsid w:val="00EE446A"/>
    <w:rsid w:val="00EE5C5F"/>
    <w:rsid w:val="00EE6918"/>
    <w:rsid w:val="00EE6C71"/>
    <w:rsid w:val="00EE7FB4"/>
    <w:rsid w:val="00EF18EE"/>
    <w:rsid w:val="00EF1EB1"/>
    <w:rsid w:val="00EF48F0"/>
    <w:rsid w:val="00EF6364"/>
    <w:rsid w:val="00F002B8"/>
    <w:rsid w:val="00F05DA9"/>
    <w:rsid w:val="00F13D99"/>
    <w:rsid w:val="00F14405"/>
    <w:rsid w:val="00F1491D"/>
    <w:rsid w:val="00F14CE6"/>
    <w:rsid w:val="00F20A85"/>
    <w:rsid w:val="00F23552"/>
    <w:rsid w:val="00F2476F"/>
    <w:rsid w:val="00F264B0"/>
    <w:rsid w:val="00F27AE8"/>
    <w:rsid w:val="00F30F5B"/>
    <w:rsid w:val="00F365BC"/>
    <w:rsid w:val="00F370E9"/>
    <w:rsid w:val="00F378D6"/>
    <w:rsid w:val="00F40D66"/>
    <w:rsid w:val="00F41196"/>
    <w:rsid w:val="00F41692"/>
    <w:rsid w:val="00F41BA7"/>
    <w:rsid w:val="00F43E73"/>
    <w:rsid w:val="00F47E12"/>
    <w:rsid w:val="00F5164E"/>
    <w:rsid w:val="00F51744"/>
    <w:rsid w:val="00F51E68"/>
    <w:rsid w:val="00F654E3"/>
    <w:rsid w:val="00F6786D"/>
    <w:rsid w:val="00F67B49"/>
    <w:rsid w:val="00F67C88"/>
    <w:rsid w:val="00F70300"/>
    <w:rsid w:val="00F73BB7"/>
    <w:rsid w:val="00F75268"/>
    <w:rsid w:val="00F803AE"/>
    <w:rsid w:val="00F817FA"/>
    <w:rsid w:val="00F83522"/>
    <w:rsid w:val="00F839D9"/>
    <w:rsid w:val="00F83CB8"/>
    <w:rsid w:val="00F83E6E"/>
    <w:rsid w:val="00F85D8B"/>
    <w:rsid w:val="00F959A5"/>
    <w:rsid w:val="00F9693A"/>
    <w:rsid w:val="00FA5688"/>
    <w:rsid w:val="00FA676C"/>
    <w:rsid w:val="00FB07F8"/>
    <w:rsid w:val="00FB5B2B"/>
    <w:rsid w:val="00FB651E"/>
    <w:rsid w:val="00FC0596"/>
    <w:rsid w:val="00FC1519"/>
    <w:rsid w:val="00FC430A"/>
    <w:rsid w:val="00FC5A9E"/>
    <w:rsid w:val="00FC5F17"/>
    <w:rsid w:val="00FC76C0"/>
    <w:rsid w:val="00FD0BEB"/>
    <w:rsid w:val="00FD1373"/>
    <w:rsid w:val="00FD202F"/>
    <w:rsid w:val="00FD57A8"/>
    <w:rsid w:val="00FD731B"/>
    <w:rsid w:val="00FD7D3D"/>
    <w:rsid w:val="00FE0A9B"/>
    <w:rsid w:val="00FE0E26"/>
    <w:rsid w:val="00FE2C5C"/>
    <w:rsid w:val="00FE43F4"/>
    <w:rsid w:val="00FE4F5F"/>
    <w:rsid w:val="00FE5345"/>
    <w:rsid w:val="00FE76E0"/>
    <w:rsid w:val="00FE78DB"/>
    <w:rsid w:val="00FF3645"/>
    <w:rsid w:val="00FF5A60"/>
    <w:rsid w:val="00FF65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DFFDFF"/>
  <w15:docId w15:val="{128322F8-7DC3-4527-B473-8E1C034E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48F5"/>
    <w:rPr>
      <w:sz w:val="24"/>
      <w:szCs w:val="24"/>
    </w:rPr>
  </w:style>
  <w:style w:type="paragraph" w:styleId="berschrift1">
    <w:name w:val="heading 1"/>
    <w:basedOn w:val="Standard"/>
    <w:next w:val="Standard"/>
    <w:link w:val="berschrift1Zchn"/>
    <w:qFormat/>
    <w:rsid w:val="00F67B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unhideWhenUsed/>
    <w:rsid w:val="00726A42"/>
    <w:rPr>
      <w:sz w:val="20"/>
      <w:szCs w:val="20"/>
    </w:rPr>
  </w:style>
  <w:style w:type="character" w:customStyle="1" w:styleId="FunotentextZchn">
    <w:name w:val="Fußnotentext Zchn"/>
    <w:basedOn w:val="Absatz-Standardschriftart"/>
    <w:link w:val="Funotentext"/>
    <w:semiHidden/>
    <w:rsid w:val="00726A42"/>
  </w:style>
  <w:style w:type="character" w:styleId="Funotenzeichen">
    <w:name w:val="footnote reference"/>
    <w:basedOn w:val="Absatz-Standardschriftart"/>
    <w:semiHidden/>
    <w:unhideWhenUsed/>
    <w:rsid w:val="00726A42"/>
    <w:rPr>
      <w:vertAlign w:val="superscript"/>
    </w:rPr>
  </w:style>
  <w:style w:type="character" w:styleId="Platzhaltertext">
    <w:name w:val="Placeholder Text"/>
    <w:basedOn w:val="Absatz-Standardschriftart"/>
    <w:uiPriority w:val="99"/>
    <w:semiHidden/>
    <w:rsid w:val="00EE082B"/>
    <w:rPr>
      <w:color w:val="808080"/>
    </w:rPr>
  </w:style>
  <w:style w:type="character" w:styleId="Kommentarzeichen">
    <w:name w:val="annotation reference"/>
    <w:basedOn w:val="Absatz-Standardschriftart"/>
    <w:semiHidden/>
    <w:unhideWhenUsed/>
    <w:rsid w:val="007D38D7"/>
    <w:rPr>
      <w:sz w:val="16"/>
      <w:szCs w:val="16"/>
    </w:rPr>
  </w:style>
  <w:style w:type="paragraph" w:styleId="Kommentartext">
    <w:name w:val="annotation text"/>
    <w:basedOn w:val="Standard"/>
    <w:link w:val="KommentartextZchn"/>
    <w:semiHidden/>
    <w:unhideWhenUsed/>
    <w:rsid w:val="007D38D7"/>
    <w:rPr>
      <w:sz w:val="20"/>
      <w:szCs w:val="20"/>
    </w:rPr>
  </w:style>
  <w:style w:type="character" w:customStyle="1" w:styleId="KommentartextZchn">
    <w:name w:val="Kommentartext Zchn"/>
    <w:basedOn w:val="Absatz-Standardschriftart"/>
    <w:link w:val="Kommentartext"/>
    <w:semiHidden/>
    <w:rsid w:val="007D38D7"/>
  </w:style>
  <w:style w:type="paragraph" w:styleId="Kommentarthema">
    <w:name w:val="annotation subject"/>
    <w:basedOn w:val="Kommentartext"/>
    <w:next w:val="Kommentartext"/>
    <w:link w:val="KommentarthemaZchn"/>
    <w:semiHidden/>
    <w:unhideWhenUsed/>
    <w:rsid w:val="007D38D7"/>
    <w:rPr>
      <w:b/>
      <w:bCs/>
    </w:rPr>
  </w:style>
  <w:style w:type="character" w:customStyle="1" w:styleId="KommentarthemaZchn">
    <w:name w:val="Kommentarthema Zchn"/>
    <w:basedOn w:val="KommentartextZchn"/>
    <w:link w:val="Kommentarthema"/>
    <w:semiHidden/>
    <w:rsid w:val="007D38D7"/>
    <w:rPr>
      <w:b/>
      <w:bCs/>
    </w:rPr>
  </w:style>
  <w:style w:type="paragraph" w:styleId="Sprechblasentext">
    <w:name w:val="Balloon Text"/>
    <w:basedOn w:val="Standard"/>
    <w:link w:val="SprechblasentextZchn"/>
    <w:semiHidden/>
    <w:unhideWhenUsed/>
    <w:rsid w:val="007D38D7"/>
    <w:rPr>
      <w:rFonts w:ascii="Segoe UI" w:hAnsi="Segoe UI" w:cs="Segoe UI"/>
      <w:sz w:val="18"/>
      <w:szCs w:val="18"/>
    </w:rPr>
  </w:style>
  <w:style w:type="character" w:customStyle="1" w:styleId="SprechblasentextZchn">
    <w:name w:val="Sprechblasentext Zchn"/>
    <w:basedOn w:val="Absatz-Standardschriftart"/>
    <w:link w:val="Sprechblasentext"/>
    <w:semiHidden/>
    <w:rsid w:val="007D38D7"/>
    <w:rPr>
      <w:rFonts w:ascii="Segoe UI" w:hAnsi="Segoe UI" w:cs="Segoe UI"/>
      <w:sz w:val="18"/>
      <w:szCs w:val="18"/>
    </w:rPr>
  </w:style>
  <w:style w:type="paragraph" w:styleId="Listenabsatz">
    <w:name w:val="List Paragraph"/>
    <w:basedOn w:val="Standard"/>
    <w:uiPriority w:val="34"/>
    <w:qFormat/>
    <w:rsid w:val="008170E2"/>
    <w:pPr>
      <w:ind w:left="720"/>
      <w:contextualSpacing/>
    </w:pPr>
  </w:style>
  <w:style w:type="character" w:customStyle="1" w:styleId="berschrift1Zchn">
    <w:name w:val="Überschrift 1 Zchn"/>
    <w:basedOn w:val="Absatz-Standardschriftart"/>
    <w:link w:val="berschrift1"/>
    <w:rsid w:val="00F67B49"/>
    <w:rPr>
      <w:rFonts w:asciiTheme="majorHAnsi" w:eastAsiaTheme="majorEastAsia" w:hAnsiTheme="majorHAnsi" w:cstheme="majorBidi"/>
      <w:color w:val="365F91" w:themeColor="accent1" w:themeShade="BF"/>
      <w:sz w:val="32"/>
      <w:szCs w:val="32"/>
    </w:rPr>
  </w:style>
  <w:style w:type="character" w:styleId="Hyperlink">
    <w:name w:val="Hyperlink"/>
    <w:basedOn w:val="Absatz-Standardschriftart"/>
    <w:unhideWhenUsed/>
    <w:rsid w:val="00D2033F"/>
    <w:rPr>
      <w:color w:val="0000FF" w:themeColor="hyperlink"/>
      <w:u w:val="single"/>
    </w:rPr>
  </w:style>
  <w:style w:type="character" w:customStyle="1" w:styleId="NichtaufgelsteErwhnung1">
    <w:name w:val="Nicht aufgelöste Erwähnung1"/>
    <w:basedOn w:val="Absatz-Standardschriftart"/>
    <w:uiPriority w:val="99"/>
    <w:semiHidden/>
    <w:unhideWhenUsed/>
    <w:rsid w:val="00D2033F"/>
    <w:rPr>
      <w:color w:val="605E5C"/>
      <w:shd w:val="clear" w:color="auto" w:fill="E1DFDD"/>
    </w:rPr>
  </w:style>
  <w:style w:type="paragraph" w:styleId="Kopfzeile">
    <w:name w:val="header"/>
    <w:basedOn w:val="Standard"/>
    <w:link w:val="KopfzeileZchn"/>
    <w:unhideWhenUsed/>
    <w:rsid w:val="00474CD4"/>
    <w:pPr>
      <w:tabs>
        <w:tab w:val="center" w:pos="4536"/>
        <w:tab w:val="right" w:pos="9072"/>
      </w:tabs>
    </w:pPr>
  </w:style>
  <w:style w:type="character" w:customStyle="1" w:styleId="KopfzeileZchn">
    <w:name w:val="Kopfzeile Zchn"/>
    <w:basedOn w:val="Absatz-Standardschriftart"/>
    <w:link w:val="Kopfzeile"/>
    <w:rsid w:val="00474CD4"/>
    <w:rPr>
      <w:sz w:val="24"/>
      <w:szCs w:val="24"/>
    </w:rPr>
  </w:style>
  <w:style w:type="paragraph" w:styleId="Fuzeile">
    <w:name w:val="footer"/>
    <w:basedOn w:val="Standard"/>
    <w:link w:val="FuzeileZchn"/>
    <w:unhideWhenUsed/>
    <w:rsid w:val="00474CD4"/>
    <w:pPr>
      <w:tabs>
        <w:tab w:val="center" w:pos="4536"/>
        <w:tab w:val="right" w:pos="9072"/>
      </w:tabs>
    </w:pPr>
  </w:style>
  <w:style w:type="character" w:customStyle="1" w:styleId="FuzeileZchn">
    <w:name w:val="Fußzeile Zchn"/>
    <w:basedOn w:val="Absatz-Standardschriftart"/>
    <w:link w:val="Fuzeile"/>
    <w:rsid w:val="00474CD4"/>
    <w:rPr>
      <w:sz w:val="24"/>
      <w:szCs w:val="24"/>
    </w:rPr>
  </w:style>
  <w:style w:type="character" w:customStyle="1" w:styleId="NichtaufgelsteErwhnung2">
    <w:name w:val="Nicht aufgelöste Erwähnung2"/>
    <w:basedOn w:val="Absatz-Standardschriftart"/>
    <w:uiPriority w:val="99"/>
    <w:semiHidden/>
    <w:unhideWhenUsed/>
    <w:rsid w:val="00A828D5"/>
    <w:rPr>
      <w:color w:val="605E5C"/>
      <w:shd w:val="clear" w:color="auto" w:fill="E1DFDD"/>
    </w:rPr>
  </w:style>
  <w:style w:type="paragraph" w:styleId="StandardWeb">
    <w:name w:val="Normal (Web)"/>
    <w:basedOn w:val="Standard"/>
    <w:uiPriority w:val="99"/>
    <w:semiHidden/>
    <w:unhideWhenUsed/>
    <w:rsid w:val="00842D14"/>
    <w:pPr>
      <w:spacing w:before="100" w:beforeAutospacing="1" w:after="100" w:afterAutospacing="1"/>
    </w:pPr>
  </w:style>
  <w:style w:type="character" w:styleId="Fett">
    <w:name w:val="Strong"/>
    <w:basedOn w:val="Absatz-Standardschriftart"/>
    <w:uiPriority w:val="22"/>
    <w:qFormat/>
    <w:rsid w:val="00842D14"/>
    <w:rPr>
      <w:b/>
      <w:bCs/>
    </w:rPr>
  </w:style>
  <w:style w:type="paragraph" w:styleId="Beschriftung">
    <w:name w:val="caption"/>
    <w:basedOn w:val="Standard"/>
    <w:next w:val="Standard"/>
    <w:unhideWhenUsed/>
    <w:qFormat/>
    <w:rsid w:val="00DB1451"/>
    <w:pPr>
      <w:spacing w:after="200"/>
    </w:pPr>
    <w:rPr>
      <w:b/>
      <w:bCs/>
      <w:color w:val="4F81BD" w:themeColor="accent1"/>
      <w:sz w:val="18"/>
      <w:szCs w:val="18"/>
    </w:rPr>
  </w:style>
  <w:style w:type="table" w:styleId="Tabellenraster">
    <w:name w:val="Table Grid"/>
    <w:basedOn w:val="NormaleTabelle"/>
    <w:rsid w:val="00281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544181">
      <w:bodyDiv w:val="1"/>
      <w:marLeft w:val="0"/>
      <w:marRight w:val="0"/>
      <w:marTop w:val="0"/>
      <w:marBottom w:val="0"/>
      <w:divBdr>
        <w:top w:val="none" w:sz="0" w:space="0" w:color="auto"/>
        <w:left w:val="none" w:sz="0" w:space="0" w:color="auto"/>
        <w:bottom w:val="none" w:sz="0" w:space="0" w:color="auto"/>
        <w:right w:val="none" w:sz="0" w:space="0" w:color="auto"/>
      </w:divBdr>
    </w:div>
    <w:div w:id="751393672">
      <w:bodyDiv w:val="1"/>
      <w:marLeft w:val="0"/>
      <w:marRight w:val="0"/>
      <w:marTop w:val="0"/>
      <w:marBottom w:val="0"/>
      <w:divBdr>
        <w:top w:val="none" w:sz="0" w:space="0" w:color="auto"/>
        <w:left w:val="none" w:sz="0" w:space="0" w:color="auto"/>
        <w:bottom w:val="none" w:sz="0" w:space="0" w:color="auto"/>
        <w:right w:val="none" w:sz="0" w:space="0" w:color="auto"/>
      </w:divBdr>
    </w:div>
    <w:div w:id="752505235">
      <w:bodyDiv w:val="1"/>
      <w:marLeft w:val="0"/>
      <w:marRight w:val="0"/>
      <w:marTop w:val="0"/>
      <w:marBottom w:val="0"/>
      <w:divBdr>
        <w:top w:val="none" w:sz="0" w:space="0" w:color="auto"/>
        <w:left w:val="none" w:sz="0" w:space="0" w:color="auto"/>
        <w:bottom w:val="none" w:sz="0" w:space="0" w:color="auto"/>
        <w:right w:val="none" w:sz="0" w:space="0" w:color="auto"/>
      </w:divBdr>
    </w:div>
    <w:div w:id="933785998">
      <w:bodyDiv w:val="1"/>
      <w:marLeft w:val="0"/>
      <w:marRight w:val="0"/>
      <w:marTop w:val="0"/>
      <w:marBottom w:val="0"/>
      <w:divBdr>
        <w:top w:val="none" w:sz="0" w:space="0" w:color="auto"/>
        <w:left w:val="none" w:sz="0" w:space="0" w:color="auto"/>
        <w:bottom w:val="none" w:sz="0" w:space="0" w:color="auto"/>
        <w:right w:val="none" w:sz="0" w:space="0" w:color="auto"/>
      </w:divBdr>
    </w:div>
    <w:div w:id="1387879283">
      <w:bodyDiv w:val="1"/>
      <w:marLeft w:val="0"/>
      <w:marRight w:val="0"/>
      <w:marTop w:val="0"/>
      <w:marBottom w:val="0"/>
      <w:divBdr>
        <w:top w:val="none" w:sz="0" w:space="0" w:color="auto"/>
        <w:left w:val="none" w:sz="0" w:space="0" w:color="auto"/>
        <w:bottom w:val="none" w:sz="0" w:space="0" w:color="auto"/>
        <w:right w:val="none" w:sz="0" w:space="0" w:color="auto"/>
      </w:divBdr>
      <w:divsChild>
        <w:div w:id="1304851463">
          <w:marLeft w:val="360"/>
          <w:marRight w:val="0"/>
          <w:marTop w:val="200"/>
          <w:marBottom w:val="0"/>
          <w:divBdr>
            <w:top w:val="none" w:sz="0" w:space="0" w:color="auto"/>
            <w:left w:val="none" w:sz="0" w:space="0" w:color="auto"/>
            <w:bottom w:val="none" w:sz="0" w:space="0" w:color="auto"/>
            <w:right w:val="none" w:sz="0" w:space="0" w:color="auto"/>
          </w:divBdr>
        </w:div>
        <w:div w:id="9721818">
          <w:marLeft w:val="360"/>
          <w:marRight w:val="0"/>
          <w:marTop w:val="200"/>
          <w:marBottom w:val="0"/>
          <w:divBdr>
            <w:top w:val="none" w:sz="0" w:space="0" w:color="auto"/>
            <w:left w:val="none" w:sz="0" w:space="0" w:color="auto"/>
            <w:bottom w:val="none" w:sz="0" w:space="0" w:color="auto"/>
            <w:right w:val="none" w:sz="0" w:space="0" w:color="auto"/>
          </w:divBdr>
        </w:div>
        <w:div w:id="767239642">
          <w:marLeft w:val="360"/>
          <w:marRight w:val="0"/>
          <w:marTop w:val="200"/>
          <w:marBottom w:val="0"/>
          <w:divBdr>
            <w:top w:val="none" w:sz="0" w:space="0" w:color="auto"/>
            <w:left w:val="none" w:sz="0" w:space="0" w:color="auto"/>
            <w:bottom w:val="none" w:sz="0" w:space="0" w:color="auto"/>
            <w:right w:val="none" w:sz="0" w:space="0" w:color="auto"/>
          </w:divBdr>
        </w:div>
        <w:div w:id="445657172">
          <w:marLeft w:val="360"/>
          <w:marRight w:val="0"/>
          <w:marTop w:val="200"/>
          <w:marBottom w:val="0"/>
          <w:divBdr>
            <w:top w:val="none" w:sz="0" w:space="0" w:color="auto"/>
            <w:left w:val="none" w:sz="0" w:space="0" w:color="auto"/>
            <w:bottom w:val="none" w:sz="0" w:space="0" w:color="auto"/>
            <w:right w:val="none" w:sz="0" w:space="0" w:color="auto"/>
          </w:divBdr>
        </w:div>
        <w:div w:id="1240099005">
          <w:marLeft w:val="360"/>
          <w:marRight w:val="0"/>
          <w:marTop w:val="200"/>
          <w:marBottom w:val="0"/>
          <w:divBdr>
            <w:top w:val="none" w:sz="0" w:space="0" w:color="auto"/>
            <w:left w:val="none" w:sz="0" w:space="0" w:color="auto"/>
            <w:bottom w:val="none" w:sz="0" w:space="0" w:color="auto"/>
            <w:right w:val="none" w:sz="0" w:space="0" w:color="auto"/>
          </w:divBdr>
        </w:div>
      </w:divsChild>
    </w:div>
    <w:div w:id="1391345812">
      <w:bodyDiv w:val="1"/>
      <w:marLeft w:val="0"/>
      <w:marRight w:val="0"/>
      <w:marTop w:val="0"/>
      <w:marBottom w:val="0"/>
      <w:divBdr>
        <w:top w:val="none" w:sz="0" w:space="0" w:color="auto"/>
        <w:left w:val="none" w:sz="0" w:space="0" w:color="auto"/>
        <w:bottom w:val="none" w:sz="0" w:space="0" w:color="auto"/>
        <w:right w:val="none" w:sz="0" w:space="0" w:color="auto"/>
      </w:divBdr>
    </w:div>
    <w:div w:id="1580872876">
      <w:bodyDiv w:val="1"/>
      <w:marLeft w:val="0"/>
      <w:marRight w:val="0"/>
      <w:marTop w:val="0"/>
      <w:marBottom w:val="0"/>
      <w:divBdr>
        <w:top w:val="none" w:sz="0" w:space="0" w:color="auto"/>
        <w:left w:val="none" w:sz="0" w:space="0" w:color="auto"/>
        <w:bottom w:val="none" w:sz="0" w:space="0" w:color="auto"/>
        <w:right w:val="none" w:sz="0" w:space="0" w:color="auto"/>
      </w:divBdr>
    </w:div>
    <w:div w:id="1581601691">
      <w:bodyDiv w:val="1"/>
      <w:marLeft w:val="0"/>
      <w:marRight w:val="0"/>
      <w:marTop w:val="0"/>
      <w:marBottom w:val="0"/>
      <w:divBdr>
        <w:top w:val="none" w:sz="0" w:space="0" w:color="auto"/>
        <w:left w:val="none" w:sz="0" w:space="0" w:color="auto"/>
        <w:bottom w:val="none" w:sz="0" w:space="0" w:color="auto"/>
        <w:right w:val="none" w:sz="0" w:space="0" w:color="auto"/>
      </w:divBdr>
    </w:div>
    <w:div w:id="1652980057">
      <w:bodyDiv w:val="1"/>
      <w:marLeft w:val="0"/>
      <w:marRight w:val="0"/>
      <w:marTop w:val="0"/>
      <w:marBottom w:val="0"/>
      <w:divBdr>
        <w:top w:val="none" w:sz="0" w:space="0" w:color="auto"/>
        <w:left w:val="none" w:sz="0" w:space="0" w:color="auto"/>
        <w:bottom w:val="none" w:sz="0" w:space="0" w:color="auto"/>
        <w:right w:val="none" w:sz="0" w:space="0" w:color="auto"/>
      </w:divBdr>
    </w:div>
    <w:div w:id="1771853301">
      <w:bodyDiv w:val="1"/>
      <w:marLeft w:val="0"/>
      <w:marRight w:val="0"/>
      <w:marTop w:val="0"/>
      <w:marBottom w:val="0"/>
      <w:divBdr>
        <w:top w:val="none" w:sz="0" w:space="0" w:color="auto"/>
        <w:left w:val="none" w:sz="0" w:space="0" w:color="auto"/>
        <w:bottom w:val="none" w:sz="0" w:space="0" w:color="auto"/>
        <w:right w:val="none" w:sz="0" w:space="0" w:color="auto"/>
      </w:divBdr>
      <w:divsChild>
        <w:div w:id="46927404">
          <w:marLeft w:val="360"/>
          <w:marRight w:val="0"/>
          <w:marTop w:val="200"/>
          <w:marBottom w:val="0"/>
          <w:divBdr>
            <w:top w:val="none" w:sz="0" w:space="0" w:color="auto"/>
            <w:left w:val="none" w:sz="0" w:space="0" w:color="auto"/>
            <w:bottom w:val="none" w:sz="0" w:space="0" w:color="auto"/>
            <w:right w:val="none" w:sz="0" w:space="0" w:color="auto"/>
          </w:divBdr>
        </w:div>
        <w:div w:id="908492224">
          <w:marLeft w:val="360"/>
          <w:marRight w:val="0"/>
          <w:marTop w:val="200"/>
          <w:marBottom w:val="0"/>
          <w:divBdr>
            <w:top w:val="none" w:sz="0" w:space="0" w:color="auto"/>
            <w:left w:val="none" w:sz="0" w:space="0" w:color="auto"/>
            <w:bottom w:val="none" w:sz="0" w:space="0" w:color="auto"/>
            <w:right w:val="none" w:sz="0" w:space="0" w:color="auto"/>
          </w:divBdr>
        </w:div>
        <w:div w:id="957952025">
          <w:marLeft w:val="1080"/>
          <w:marRight w:val="0"/>
          <w:marTop w:val="100"/>
          <w:marBottom w:val="0"/>
          <w:divBdr>
            <w:top w:val="none" w:sz="0" w:space="0" w:color="auto"/>
            <w:left w:val="none" w:sz="0" w:space="0" w:color="auto"/>
            <w:bottom w:val="none" w:sz="0" w:space="0" w:color="auto"/>
            <w:right w:val="none" w:sz="0" w:space="0" w:color="auto"/>
          </w:divBdr>
        </w:div>
        <w:div w:id="326174437">
          <w:marLeft w:val="360"/>
          <w:marRight w:val="0"/>
          <w:marTop w:val="200"/>
          <w:marBottom w:val="0"/>
          <w:divBdr>
            <w:top w:val="none" w:sz="0" w:space="0" w:color="auto"/>
            <w:left w:val="none" w:sz="0" w:space="0" w:color="auto"/>
            <w:bottom w:val="none" w:sz="0" w:space="0" w:color="auto"/>
            <w:right w:val="none" w:sz="0" w:space="0" w:color="auto"/>
          </w:divBdr>
        </w:div>
        <w:div w:id="1545143731">
          <w:marLeft w:val="360"/>
          <w:marRight w:val="0"/>
          <w:marTop w:val="200"/>
          <w:marBottom w:val="0"/>
          <w:divBdr>
            <w:top w:val="none" w:sz="0" w:space="0" w:color="auto"/>
            <w:left w:val="none" w:sz="0" w:space="0" w:color="auto"/>
            <w:bottom w:val="none" w:sz="0" w:space="0" w:color="auto"/>
            <w:right w:val="none" w:sz="0" w:space="0" w:color="auto"/>
          </w:divBdr>
        </w:div>
        <w:div w:id="39403460">
          <w:marLeft w:val="360"/>
          <w:marRight w:val="0"/>
          <w:marTop w:val="200"/>
          <w:marBottom w:val="0"/>
          <w:divBdr>
            <w:top w:val="none" w:sz="0" w:space="0" w:color="auto"/>
            <w:left w:val="none" w:sz="0" w:space="0" w:color="auto"/>
            <w:bottom w:val="none" w:sz="0" w:space="0" w:color="auto"/>
            <w:right w:val="none" w:sz="0" w:space="0" w:color="auto"/>
          </w:divBdr>
        </w:div>
        <w:div w:id="457453110">
          <w:marLeft w:val="360"/>
          <w:marRight w:val="0"/>
          <w:marTop w:val="200"/>
          <w:marBottom w:val="0"/>
          <w:divBdr>
            <w:top w:val="none" w:sz="0" w:space="0" w:color="auto"/>
            <w:left w:val="none" w:sz="0" w:space="0" w:color="auto"/>
            <w:bottom w:val="none" w:sz="0" w:space="0" w:color="auto"/>
            <w:right w:val="none" w:sz="0" w:space="0" w:color="auto"/>
          </w:divBdr>
        </w:div>
      </w:divsChild>
    </w:div>
    <w:div w:id="1891960607">
      <w:bodyDiv w:val="1"/>
      <w:marLeft w:val="0"/>
      <w:marRight w:val="0"/>
      <w:marTop w:val="0"/>
      <w:marBottom w:val="0"/>
      <w:divBdr>
        <w:top w:val="none" w:sz="0" w:space="0" w:color="auto"/>
        <w:left w:val="none" w:sz="0" w:space="0" w:color="auto"/>
        <w:bottom w:val="none" w:sz="0" w:space="0" w:color="auto"/>
        <w:right w:val="none" w:sz="0" w:space="0" w:color="auto"/>
      </w:divBdr>
    </w:div>
    <w:div w:id="1903104595">
      <w:bodyDiv w:val="1"/>
      <w:marLeft w:val="0"/>
      <w:marRight w:val="0"/>
      <w:marTop w:val="0"/>
      <w:marBottom w:val="0"/>
      <w:divBdr>
        <w:top w:val="none" w:sz="0" w:space="0" w:color="auto"/>
        <w:left w:val="none" w:sz="0" w:space="0" w:color="auto"/>
        <w:bottom w:val="none" w:sz="0" w:space="0" w:color="auto"/>
        <w:right w:val="none" w:sz="0" w:space="0" w:color="auto"/>
      </w:divBdr>
    </w:div>
    <w:div w:id="1971545944">
      <w:bodyDiv w:val="1"/>
      <w:marLeft w:val="0"/>
      <w:marRight w:val="0"/>
      <w:marTop w:val="0"/>
      <w:marBottom w:val="0"/>
      <w:divBdr>
        <w:top w:val="none" w:sz="0" w:space="0" w:color="auto"/>
        <w:left w:val="none" w:sz="0" w:space="0" w:color="auto"/>
        <w:bottom w:val="none" w:sz="0" w:space="0" w:color="auto"/>
        <w:right w:val="none" w:sz="0" w:space="0" w:color="auto"/>
      </w:divBdr>
    </w:div>
    <w:div w:id="2063287281">
      <w:bodyDiv w:val="1"/>
      <w:marLeft w:val="0"/>
      <w:marRight w:val="0"/>
      <w:marTop w:val="0"/>
      <w:marBottom w:val="0"/>
      <w:divBdr>
        <w:top w:val="none" w:sz="0" w:space="0" w:color="auto"/>
        <w:left w:val="none" w:sz="0" w:space="0" w:color="auto"/>
        <w:bottom w:val="none" w:sz="0" w:space="0" w:color="auto"/>
        <w:right w:val="none" w:sz="0" w:space="0" w:color="auto"/>
      </w:divBdr>
    </w:div>
    <w:div w:id="2100982167">
      <w:bodyDiv w:val="1"/>
      <w:marLeft w:val="0"/>
      <w:marRight w:val="0"/>
      <w:marTop w:val="0"/>
      <w:marBottom w:val="0"/>
      <w:divBdr>
        <w:top w:val="none" w:sz="0" w:space="0" w:color="auto"/>
        <w:left w:val="none" w:sz="0" w:space="0" w:color="auto"/>
        <w:bottom w:val="none" w:sz="0" w:space="0" w:color="auto"/>
        <w:right w:val="none" w:sz="0" w:space="0" w:color="auto"/>
      </w:divBdr>
    </w:div>
    <w:div w:id="213459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Mappe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ppe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Doppelbelastung ETS-Sektoren</a:t>
            </a:r>
          </a:p>
          <a:p>
            <a:pPr>
              <a:defRPr/>
            </a:pPr>
            <a:r>
              <a:rPr lang="en-US"/>
              <a:t>(ohne Erstattung)</a:t>
            </a:r>
          </a:p>
        </c:rich>
      </c:tx>
      <c:overlay val="0"/>
    </c:title>
    <c:autoTitleDeleted val="0"/>
    <c:plotArea>
      <c:layout/>
      <c:barChart>
        <c:barDir val="col"/>
        <c:grouping val="clustered"/>
        <c:varyColors val="0"/>
        <c:ser>
          <c:idx val="0"/>
          <c:order val="0"/>
          <c:tx>
            <c:strRef>
              <c:f>Grafik!$B$1</c:f>
              <c:strCache>
                <c:ptCount val="1"/>
                <c:pt idx="0">
                  <c:v>Doppelbelastung ETS-Sektoren (ohne Erstattung)</c:v>
                </c:pt>
              </c:strCache>
            </c:strRef>
          </c:tx>
          <c:invertIfNegative val="0"/>
          <c:cat>
            <c:numRef>
              <c:f>Grafik!$A$2:$A$6</c:f>
              <c:numCache>
                <c:formatCode>General</c:formatCode>
                <c:ptCount val="5"/>
                <c:pt idx="0">
                  <c:v>2021</c:v>
                </c:pt>
                <c:pt idx="1">
                  <c:v>2022</c:v>
                </c:pt>
                <c:pt idx="2">
                  <c:v>2023</c:v>
                </c:pt>
                <c:pt idx="3">
                  <c:v>2024</c:v>
                </c:pt>
                <c:pt idx="4">
                  <c:v>2025</c:v>
                </c:pt>
              </c:numCache>
            </c:numRef>
          </c:cat>
          <c:val>
            <c:numRef>
              <c:f>Grafik!$B$2:$B$6</c:f>
              <c:numCache>
                <c:formatCode>#,##0\ "€"</c:formatCode>
                <c:ptCount val="5"/>
                <c:pt idx="0">
                  <c:v>3228250000</c:v>
                </c:pt>
                <c:pt idx="1">
                  <c:v>3873900000</c:v>
                </c:pt>
                <c:pt idx="2">
                  <c:v>13997900000</c:v>
                </c:pt>
                <c:pt idx="3">
                  <c:v>17997300000</c:v>
                </c:pt>
                <c:pt idx="4">
                  <c:v>21996700000</c:v>
                </c:pt>
              </c:numCache>
            </c:numRef>
          </c:val>
          <c:extLst>
            <c:ext xmlns:c16="http://schemas.microsoft.com/office/drawing/2014/chart" uri="{C3380CC4-5D6E-409C-BE32-E72D297353CC}">
              <c16:uniqueId val="{00000000-9D5E-4935-9E82-66E6F6F230A6}"/>
            </c:ext>
          </c:extLst>
        </c:ser>
        <c:dLbls>
          <c:showLegendKey val="0"/>
          <c:showVal val="0"/>
          <c:showCatName val="0"/>
          <c:showSerName val="0"/>
          <c:showPercent val="0"/>
          <c:showBubbleSize val="0"/>
        </c:dLbls>
        <c:gapWidth val="150"/>
        <c:axId val="152418176"/>
        <c:axId val="152419712"/>
      </c:barChart>
      <c:catAx>
        <c:axId val="152418176"/>
        <c:scaling>
          <c:orientation val="minMax"/>
        </c:scaling>
        <c:delete val="0"/>
        <c:axPos val="b"/>
        <c:numFmt formatCode="General" sourceLinked="1"/>
        <c:majorTickMark val="out"/>
        <c:minorTickMark val="none"/>
        <c:tickLblPos val="nextTo"/>
        <c:crossAx val="152419712"/>
        <c:crosses val="autoZero"/>
        <c:auto val="1"/>
        <c:lblAlgn val="ctr"/>
        <c:lblOffset val="100"/>
        <c:noMultiLvlLbl val="0"/>
      </c:catAx>
      <c:valAx>
        <c:axId val="152419712"/>
        <c:scaling>
          <c:orientation val="minMax"/>
        </c:scaling>
        <c:delete val="0"/>
        <c:axPos val="l"/>
        <c:majorGridlines/>
        <c:numFmt formatCode="#,##0" sourceLinked="0"/>
        <c:majorTickMark val="out"/>
        <c:minorTickMark val="none"/>
        <c:tickLblPos val="nextTo"/>
        <c:crossAx val="152418176"/>
        <c:crosses val="autoZero"/>
        <c:crossBetween val="between"/>
        <c:dispUnits>
          <c:builtInUnit val="billions"/>
          <c:dispUnitsLbl>
            <c:tx>
              <c:rich>
                <a:bodyPr/>
                <a:lstStyle/>
                <a:p>
                  <a:pPr>
                    <a:defRPr/>
                  </a:pPr>
                  <a:r>
                    <a:rPr lang="en-GB"/>
                    <a:t>Milliarden Euro</a:t>
                  </a:r>
                </a:p>
              </c:rich>
            </c:tx>
          </c:dispUnitsLbl>
        </c:dispUnits>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Liquiditätsentzug ETS-Sektoren</a:t>
            </a:r>
          </a:p>
          <a:p>
            <a:pPr>
              <a:defRPr/>
            </a:pPr>
            <a:r>
              <a:rPr lang="en-US"/>
              <a:t>(bei ex post-Erstattung)</a:t>
            </a:r>
          </a:p>
        </c:rich>
      </c:tx>
      <c:overlay val="0"/>
    </c:title>
    <c:autoTitleDeleted val="0"/>
    <c:plotArea>
      <c:layout/>
      <c:barChart>
        <c:barDir val="col"/>
        <c:grouping val="clustered"/>
        <c:varyColors val="0"/>
        <c:ser>
          <c:idx val="1"/>
          <c:order val="0"/>
          <c:tx>
            <c:strRef>
              <c:f>Grafik!$C$1</c:f>
              <c:strCache>
                <c:ptCount val="1"/>
                <c:pt idx="0">
                  <c:v>Netto-Liquiditätsentzug ETS-Sektoren (bei ex post-Erstattung)</c:v>
                </c:pt>
              </c:strCache>
            </c:strRef>
          </c:tx>
          <c:invertIfNegative val="0"/>
          <c:cat>
            <c:numRef>
              <c:f>Grafik!$A$2:$A$6</c:f>
              <c:numCache>
                <c:formatCode>General</c:formatCode>
                <c:ptCount val="5"/>
                <c:pt idx="0">
                  <c:v>2021</c:v>
                </c:pt>
                <c:pt idx="1">
                  <c:v>2022</c:v>
                </c:pt>
                <c:pt idx="2">
                  <c:v>2023</c:v>
                </c:pt>
                <c:pt idx="3">
                  <c:v>2024</c:v>
                </c:pt>
                <c:pt idx="4">
                  <c:v>2025</c:v>
                </c:pt>
              </c:numCache>
            </c:numRef>
          </c:cat>
          <c:val>
            <c:numRef>
              <c:f>Grafik!$C$2:$C$6</c:f>
              <c:numCache>
                <c:formatCode>#,##0\ "€"</c:formatCode>
                <c:ptCount val="5"/>
                <c:pt idx="0">
                  <c:v>3228250000</c:v>
                </c:pt>
                <c:pt idx="1">
                  <c:v>645650000</c:v>
                </c:pt>
                <c:pt idx="2">
                  <c:v>10124000000</c:v>
                </c:pt>
                <c:pt idx="3">
                  <c:v>3999400000</c:v>
                </c:pt>
                <c:pt idx="4">
                  <c:v>3999400000</c:v>
                </c:pt>
              </c:numCache>
            </c:numRef>
          </c:val>
          <c:extLst>
            <c:ext xmlns:c16="http://schemas.microsoft.com/office/drawing/2014/chart" uri="{C3380CC4-5D6E-409C-BE32-E72D297353CC}">
              <c16:uniqueId val="{00000000-11B7-477E-A649-E191435DEF11}"/>
            </c:ext>
          </c:extLst>
        </c:ser>
        <c:dLbls>
          <c:showLegendKey val="0"/>
          <c:showVal val="0"/>
          <c:showCatName val="0"/>
          <c:showSerName val="0"/>
          <c:showPercent val="0"/>
          <c:showBubbleSize val="0"/>
        </c:dLbls>
        <c:gapWidth val="150"/>
        <c:axId val="153291776"/>
        <c:axId val="153297664"/>
      </c:barChart>
      <c:catAx>
        <c:axId val="153291776"/>
        <c:scaling>
          <c:orientation val="minMax"/>
        </c:scaling>
        <c:delete val="0"/>
        <c:axPos val="b"/>
        <c:numFmt formatCode="General" sourceLinked="1"/>
        <c:majorTickMark val="out"/>
        <c:minorTickMark val="none"/>
        <c:tickLblPos val="nextTo"/>
        <c:crossAx val="153297664"/>
        <c:crosses val="autoZero"/>
        <c:auto val="1"/>
        <c:lblAlgn val="ctr"/>
        <c:lblOffset val="100"/>
        <c:noMultiLvlLbl val="0"/>
      </c:catAx>
      <c:valAx>
        <c:axId val="153297664"/>
        <c:scaling>
          <c:orientation val="minMax"/>
        </c:scaling>
        <c:delete val="0"/>
        <c:axPos val="l"/>
        <c:majorGridlines/>
        <c:numFmt formatCode="#,##0" sourceLinked="0"/>
        <c:majorTickMark val="out"/>
        <c:minorTickMark val="none"/>
        <c:tickLblPos val="nextTo"/>
        <c:crossAx val="153291776"/>
        <c:crosses val="autoZero"/>
        <c:crossBetween val="between"/>
        <c:dispUnits>
          <c:builtInUnit val="billions"/>
          <c:dispUnitsLbl>
            <c:tx>
              <c:rich>
                <a:bodyPr/>
                <a:lstStyle/>
                <a:p>
                  <a:pPr>
                    <a:defRPr/>
                  </a:pPr>
                  <a:r>
                    <a:rPr lang="en-US"/>
                    <a:t>Milliarden Euro</a:t>
                  </a:r>
                </a:p>
              </c:rich>
            </c:tx>
          </c:dispUnitsLbl>
        </c:dispUnits>
      </c:valAx>
    </c:plotArea>
    <c:plotVisOnly val="1"/>
    <c:dispBlanksAs val="gap"/>
    <c:showDLblsOverMax val="0"/>
  </c:chart>
  <c:externalData r:id="rId1">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784B231E86EE4AA38AC0AC014065EA" ma:contentTypeVersion="12" ma:contentTypeDescription="Ein neues Dokument erstellen." ma:contentTypeScope="" ma:versionID="843ca1516d263c0be9124eca9cf6512c">
  <xsd:schema xmlns:xsd="http://www.w3.org/2001/XMLSchema" xmlns:xs="http://www.w3.org/2001/XMLSchema" xmlns:p="http://schemas.microsoft.com/office/2006/metadata/properties" xmlns:ns3="18c854cc-df92-458b-a9c8-ca861322531e" xmlns:ns4="ef1333fb-837e-4d32-99a3-8e4894884d4f" targetNamespace="http://schemas.microsoft.com/office/2006/metadata/properties" ma:root="true" ma:fieldsID="df87e584b381317d8400bb0db46e65c4" ns3:_="" ns4:_="">
    <xsd:import namespace="18c854cc-df92-458b-a9c8-ca861322531e"/>
    <xsd:import namespace="ef1333fb-837e-4d32-99a3-8e4894884d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854cc-df92-458b-a9c8-ca8613225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1333fb-837e-4d32-99a3-8e4894884d4f"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7987E-DD09-4F93-A948-B372BFFA0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854cc-df92-458b-a9c8-ca861322531e"/>
    <ds:schemaRef ds:uri="ef1333fb-837e-4d32-99a3-8e4894884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0010E5-5747-4945-8532-34BEEC7694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D5166D-E0F5-480B-B8D0-35091835024D}">
  <ds:schemaRefs>
    <ds:schemaRef ds:uri="http://schemas.microsoft.com/sharepoint/v3/contenttype/forms"/>
  </ds:schemaRefs>
</ds:datastoreItem>
</file>

<file path=customXml/itemProps4.xml><?xml version="1.0" encoding="utf-8"?>
<ds:datastoreItem xmlns:ds="http://schemas.openxmlformats.org/officeDocument/2006/customXml" ds:itemID="{15C9E41D-1BE0-4076-955C-190DA2FCF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2911</Words>
  <Characters>18340</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VDZ gGmbH</Company>
  <LinksUpToDate>false</LinksUpToDate>
  <CharactersWithSpaces>21209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Nuyken, Philip</dc:creator>
  <cp:lastModifiedBy>Nuyken, Philip</cp:lastModifiedBy>
  <cp:revision>3</cp:revision>
  <cp:lastPrinted>2020-02-11T12:57:00Z</cp:lastPrinted>
  <dcterms:created xsi:type="dcterms:W3CDTF">2020-02-27T15:03:00Z</dcterms:created>
  <dcterms:modified xsi:type="dcterms:W3CDTF">2020-02-27T15:15:00Z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0x01010091784B231E86EE4AA38AC0AC014065EA</vt:lpwstr>
  </property>
</Properties>
</file>