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8B43" w14:textId="77777777" w:rsidR="0057628B" w:rsidRDefault="00887B29" w:rsidP="00505AD3">
      <w:pPr>
        <w:pStyle w:val="berschrift1"/>
      </w:pPr>
      <w:bookmarkStart w:id="0" w:name="_GoBack"/>
      <w:bookmarkEnd w:id="0"/>
      <w:r>
        <w:t xml:space="preserve">Belastungsausgleich </w:t>
      </w:r>
      <w:r w:rsidR="004F1D98">
        <w:t xml:space="preserve">im Brennstoffemissionshandelsgesetz </w:t>
      </w:r>
      <w:r w:rsidR="00505AD3">
        <w:t>– § 11 (3)</w:t>
      </w:r>
    </w:p>
    <w:p w14:paraId="5F8D8725" w14:textId="77777777" w:rsidR="0003603A" w:rsidRDefault="0003603A" w:rsidP="00DD54E0"/>
    <w:p w14:paraId="53866F61" w14:textId="2DC3BAE1" w:rsidR="00717DFA" w:rsidRDefault="00456BF4" w:rsidP="00717DFA">
      <w:r>
        <w:t>Im Dezember 2019 wurde das Brennstoffemissionshandelsgesetz beschlossen. Dadurch wird es mit Wirkung zum 1. Januar 2021 einen Preisaufschlag von 25 € je Tonne CO2 auf fossile Brennstoffe erhoben. Bis 2025 steigt der Preis anhand eines vorgegebenen Pfades auf 55 € je Tonne CO2. Diesen Preis müssen grundsätzlich alle Verbraucher von fossilen Energieträgern in Deutschland bezahlen</w:t>
      </w:r>
      <w:r>
        <w:rPr>
          <w:rStyle w:val="Funotenzeichen"/>
        </w:rPr>
        <w:footnoteReference w:id="1"/>
      </w:r>
      <w:r>
        <w:t>. Es ist jedoch existenziell wichtig, zwischen verschiedenen Verbrauchergruppen zu unterscheiden: Erstens dürfen Anlagen, deren Emissionen bereits im europäischen Emissionshandel erfasst sind (</w:t>
      </w:r>
      <w:r w:rsidR="000C6F0F">
        <w:t xml:space="preserve">ETS-Anlagen), nicht zusätzlich durch den nationalen Emissionshandel belastet werden. Zweitens muss für Industriebetriebe, die bislang nicht vom EU-Emissionshandel erfasst sind (Non-ETS-Anlagen), ein </w:t>
      </w:r>
      <w:r w:rsidR="006B6901">
        <w:t>Belastungsausgleich</w:t>
      </w:r>
      <w:r w:rsidR="000C6F0F">
        <w:t xml:space="preserve"> greifen, da der nationale CO</w:t>
      </w:r>
      <w:r w:rsidR="000C6F0F" w:rsidRPr="00A41681">
        <w:rPr>
          <w:vertAlign w:val="subscript"/>
        </w:rPr>
        <w:t>2</w:t>
      </w:r>
      <w:r w:rsidR="000C6F0F">
        <w:t>-Preis hier ein</w:t>
      </w:r>
      <w:r w:rsidR="00CF2DDE">
        <w:t>en</w:t>
      </w:r>
      <w:r w:rsidR="000C6F0F">
        <w:t xml:space="preserve"> erhebliche</w:t>
      </w:r>
      <w:r w:rsidR="00CF2DDE">
        <w:t>n</w:t>
      </w:r>
      <w:r w:rsidR="000C6F0F">
        <w:t xml:space="preserve"> Wettbewerbsnachteil gegenüber </w:t>
      </w:r>
      <w:r w:rsidR="00AD796A">
        <w:t xml:space="preserve">außer- und innereuropäischen </w:t>
      </w:r>
      <w:r w:rsidR="000C6F0F">
        <w:t xml:space="preserve">Konkurrenten </w:t>
      </w:r>
      <w:r w:rsidR="00CF2DDE">
        <w:t>darstellt</w:t>
      </w:r>
      <w:r w:rsidR="000C6F0F">
        <w:t xml:space="preserve">. Das vorliegende Papier enthält Vorschläge dazu, wie ein wirksamer und umfassender </w:t>
      </w:r>
      <w:r w:rsidR="003C0B28">
        <w:t xml:space="preserve">Belastungsausgleich </w:t>
      </w:r>
      <w:r w:rsidR="000C6F0F">
        <w:t>für Non-ETS-Anlagen</w:t>
      </w:r>
      <w:r w:rsidR="00F2476F">
        <w:t xml:space="preserve"> als Schutz vor Carbon-Leakage</w:t>
      </w:r>
      <w:r w:rsidR="000C6F0F">
        <w:t xml:space="preserve"> ausgestaltet werden </w:t>
      </w:r>
      <w:r w:rsidR="00F2476F">
        <w:t>kann</w:t>
      </w:r>
      <w:r w:rsidR="000C6F0F">
        <w:t>.</w:t>
      </w:r>
    </w:p>
    <w:p w14:paraId="676BCD61" w14:textId="77777777" w:rsidR="00792B9C" w:rsidRDefault="00792B9C" w:rsidP="00717DFA"/>
    <w:p w14:paraId="2DB2E6B8" w14:textId="77777777" w:rsidR="00792B9C" w:rsidRPr="00567980" w:rsidRDefault="00792B9C" w:rsidP="00792B9C">
      <w:pPr>
        <w:rPr>
          <w:b/>
          <w:bCs/>
        </w:rPr>
      </w:pPr>
      <w:r w:rsidRPr="00567980">
        <w:rPr>
          <w:b/>
          <w:bCs/>
        </w:rPr>
        <w:t xml:space="preserve">Ab 2021 </w:t>
      </w:r>
      <w:r>
        <w:rPr>
          <w:b/>
          <w:bCs/>
        </w:rPr>
        <w:t>zahlen</w:t>
      </w:r>
      <w:r w:rsidRPr="00567980">
        <w:rPr>
          <w:b/>
          <w:bCs/>
        </w:rPr>
        <w:t xml:space="preserve"> zehntausende Unternehmen </w:t>
      </w:r>
      <w:r>
        <w:rPr>
          <w:b/>
          <w:bCs/>
        </w:rPr>
        <w:t>eine Milliarde Mehrkosten</w:t>
      </w:r>
      <w:r w:rsidRPr="00567980">
        <w:rPr>
          <w:b/>
          <w:bCs/>
        </w:rPr>
        <w:t xml:space="preserve"> </w:t>
      </w:r>
    </w:p>
    <w:p w14:paraId="4349EA93" w14:textId="77777777" w:rsidR="00717DFA" w:rsidRDefault="00717DFA" w:rsidP="00717DFA"/>
    <w:p w14:paraId="05B8D90E" w14:textId="77777777" w:rsidR="00FF6542" w:rsidRDefault="00305EA4">
      <w:pPr>
        <w:rPr>
          <w:highlight w:val="yellow"/>
        </w:rPr>
      </w:pPr>
      <w:r>
        <w:rPr>
          <w:noProof/>
        </w:rPr>
        <w:drawing>
          <wp:anchor distT="0" distB="0" distL="114300" distR="114300" simplePos="0" relativeHeight="251745280" behindDoc="0" locked="0" layoutInCell="1" allowOverlap="1" wp14:anchorId="70E14457" wp14:editId="0D07BAD0">
            <wp:simplePos x="0" y="0"/>
            <wp:positionH relativeFrom="margin">
              <wp:align>center</wp:align>
            </wp:positionH>
            <wp:positionV relativeFrom="margin">
              <wp:posOffset>5033645</wp:posOffset>
            </wp:positionV>
            <wp:extent cx="6286500" cy="3648075"/>
            <wp:effectExtent l="0" t="0" r="0" b="9525"/>
            <wp:wrapSquare wrapText="bothSides"/>
            <wp:docPr id="5" name="Grafik 5"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Aufteilung Sektoren BEHG_v3.png"/>
                    <pic:cNvPicPr/>
                  </pic:nvPicPr>
                  <pic:blipFill>
                    <a:blip r:embed="rId11">
                      <a:extLst>
                        <a:ext uri="{28A0092B-C50C-407E-A947-70E740481C1C}">
                          <a14:useLocalDpi xmlns:a14="http://schemas.microsoft.com/office/drawing/2010/main" val="0"/>
                        </a:ext>
                      </a:extLst>
                    </a:blip>
                    <a:stretch>
                      <a:fillRect/>
                    </a:stretch>
                  </pic:blipFill>
                  <pic:spPr>
                    <a:xfrm>
                      <a:off x="0" y="0"/>
                      <a:ext cx="6286500" cy="3648075"/>
                    </a:xfrm>
                    <a:prstGeom prst="rect">
                      <a:avLst/>
                    </a:prstGeom>
                  </pic:spPr>
                </pic:pic>
              </a:graphicData>
            </a:graphic>
            <wp14:sizeRelH relativeFrom="margin">
              <wp14:pctWidth>0</wp14:pctWidth>
            </wp14:sizeRelH>
            <wp14:sizeRelV relativeFrom="margin">
              <wp14:pctHeight>0</wp14:pctHeight>
            </wp14:sizeRelV>
          </wp:anchor>
        </w:drawing>
      </w:r>
      <w:r w:rsidR="00717DFA" w:rsidRPr="00941865">
        <w:t>Aktuell sind 1</w:t>
      </w:r>
      <w:r w:rsidR="00717DFA">
        <w:t>.</w:t>
      </w:r>
      <w:r w:rsidR="00717DFA" w:rsidRPr="00941865">
        <w:t>8</w:t>
      </w:r>
      <w:r w:rsidR="00CA7BC8">
        <w:t>7</w:t>
      </w:r>
      <w:r w:rsidR="00717DFA" w:rsidRPr="00941865">
        <w:t>0 Anlagen von ca. 1</w:t>
      </w:r>
      <w:r w:rsidR="00717DFA">
        <w:t>.</w:t>
      </w:r>
      <w:r w:rsidR="00717DFA" w:rsidRPr="00941865">
        <w:t>200 Unternehmen im europäischen Emissionshandel (EU</w:t>
      </w:r>
      <w:r w:rsidR="00717DFA">
        <w:t xml:space="preserve"> </w:t>
      </w:r>
      <w:r w:rsidR="00717DFA" w:rsidRPr="00941865">
        <w:t xml:space="preserve">ETS). </w:t>
      </w:r>
      <w:r w:rsidR="00E32DD4">
        <w:t xml:space="preserve">Dieser deckt damit große Industrie- und Energieerzeugungsanlagen mit einer Feuerungsleistung von mehr als 20 Megawatt ab (ETS-Anlagen). </w:t>
      </w:r>
      <w:r w:rsidR="005E1734">
        <w:t>Durch das</w:t>
      </w:r>
      <w:r w:rsidR="00717DFA" w:rsidRPr="00941865">
        <w:t xml:space="preserve"> </w:t>
      </w:r>
      <w:r w:rsidR="005E1734">
        <w:t>Brennstoffemissionshandelsgesetz</w:t>
      </w:r>
      <w:r w:rsidR="00717DFA" w:rsidRPr="00941865">
        <w:t xml:space="preserve"> sollen </w:t>
      </w:r>
      <w:r w:rsidR="00E87DF1">
        <w:t xml:space="preserve">daneben auch die </w:t>
      </w:r>
      <w:r w:rsidR="00717DFA" w:rsidRPr="00941865">
        <w:t>mehrere</w:t>
      </w:r>
      <w:r w:rsidR="00E87DF1">
        <w:t>n</w:t>
      </w:r>
      <w:r w:rsidR="00717DFA" w:rsidRPr="00941865">
        <w:t xml:space="preserve"> 10.000 </w:t>
      </w:r>
      <w:r w:rsidR="00AA24EB">
        <w:t>kleineren Industrieanlagen künftig</w:t>
      </w:r>
      <w:r w:rsidR="00717DFA" w:rsidRPr="00941865">
        <w:t xml:space="preserve"> einen Preis auf CO</w:t>
      </w:r>
      <w:r w:rsidR="00717DFA" w:rsidRPr="001A2A14">
        <w:rPr>
          <w:vertAlign w:val="subscript"/>
        </w:rPr>
        <w:t xml:space="preserve">2 </w:t>
      </w:r>
      <w:r w:rsidR="00717DFA" w:rsidRPr="00941865">
        <w:t>zahlen</w:t>
      </w:r>
      <w:r w:rsidR="00F51744">
        <w:t xml:space="preserve"> (Non-ETS-Anlagen)</w:t>
      </w:r>
      <w:r w:rsidR="00717DFA" w:rsidRPr="00941865">
        <w:t xml:space="preserve">. Betroffen </w:t>
      </w:r>
      <w:r w:rsidR="00B74EAF">
        <w:t>sind damit meist mittelständische Unternehmen aller Industriebranchen – v</w:t>
      </w:r>
      <w:r w:rsidR="00717DFA" w:rsidRPr="00941865">
        <w:t>on der Baustoffindustrie, über die Chemie</w:t>
      </w:r>
      <w:r w:rsidR="00FD731B">
        <w:t xml:space="preserve"> und Glasveredelung</w:t>
      </w:r>
      <w:r w:rsidR="00717DFA" w:rsidRPr="00941865">
        <w:t xml:space="preserve"> hin zu Keramik und der </w:t>
      </w:r>
      <w:r w:rsidR="00D517CF">
        <w:t>Metallverarbeitung</w:t>
      </w:r>
      <w:r w:rsidR="00717DFA" w:rsidRPr="00941865">
        <w:t>.</w:t>
      </w:r>
      <w:r w:rsidR="00FF6542">
        <w:rPr>
          <w:highlight w:val="yellow"/>
        </w:rPr>
        <w:br w:type="page"/>
      </w:r>
    </w:p>
    <w:p w14:paraId="1F6BA4C9" w14:textId="77777777" w:rsidR="004923E1" w:rsidRPr="00836874" w:rsidRDefault="00821B2B" w:rsidP="00FF5A60">
      <w:pPr>
        <w:rPr>
          <w:b/>
          <w:bCs/>
        </w:rPr>
      </w:pPr>
      <w:r w:rsidRPr="00836874">
        <w:rPr>
          <w:b/>
          <w:bCs/>
        </w:rPr>
        <w:lastRenderedPageBreak/>
        <w:t xml:space="preserve">CO2-Preise wirken </w:t>
      </w:r>
      <w:r>
        <w:rPr>
          <w:b/>
          <w:bCs/>
        </w:rPr>
        <w:t xml:space="preserve">nur </w:t>
      </w:r>
      <w:r w:rsidRPr="00836874">
        <w:rPr>
          <w:b/>
          <w:bCs/>
        </w:rPr>
        <w:t>dort, wo es Alternativen gibt</w:t>
      </w:r>
    </w:p>
    <w:p w14:paraId="7F9D7D6B" w14:textId="77777777" w:rsidR="004923E1" w:rsidRDefault="004923E1" w:rsidP="00FF5A60"/>
    <w:p w14:paraId="57E1803C" w14:textId="77777777" w:rsidR="00AF2774" w:rsidRDefault="00DF01CC" w:rsidP="00FF5A60">
      <w:r w:rsidRPr="00836874">
        <w:t xml:space="preserve">Grundsätzlich haben Preise die volkswirtschaftliche Funktion, (knappe) Ressourcen zu ihrer effizientesten Verwendung zu führen. Ein Preis für das Emittieren von CO2 verändert die Preisrelation zwischen CO2-armen und CO2-intensiven Produktionsprozessen bzw. Produkten, ohne spezielle Technologieentscheidungen im Einzelnen politisch herbeiführen zu müssen. Voraussetzung für diese substitutionsunterstützende Wirkung eines Preissignals ist folglich, dass solche technologischen Alternativen überhaupt bestehen. </w:t>
      </w:r>
    </w:p>
    <w:p w14:paraId="01015C23" w14:textId="77777777" w:rsidR="00AF2774" w:rsidRDefault="00AF2774" w:rsidP="00FF5A60"/>
    <w:p w14:paraId="2C385221" w14:textId="77777777" w:rsidR="00AF2774" w:rsidRDefault="0020187F" w:rsidP="00FF5A60">
      <w:r>
        <w:t>Heute besteht e</w:t>
      </w:r>
      <w:r w:rsidR="00C440DD">
        <w:t xml:space="preserve">ine Alternative zum Einsatz fossiler Brennstoffe </w:t>
      </w:r>
      <w:r w:rsidR="00EC1B61">
        <w:t xml:space="preserve">bei den </w:t>
      </w:r>
      <w:r w:rsidR="000E33F5">
        <w:t xml:space="preserve">kleinen und mittleren Industrieanlagen </w:t>
      </w:r>
      <w:r w:rsidR="00C440DD">
        <w:t xml:space="preserve">in der Regel </w:t>
      </w:r>
      <w:r w:rsidR="004C1E04">
        <w:t xml:space="preserve">noch </w:t>
      </w:r>
      <w:r w:rsidR="00C440DD">
        <w:t xml:space="preserve">nicht: </w:t>
      </w:r>
      <w:r w:rsidR="00FF5A60" w:rsidRPr="00941865">
        <w:t xml:space="preserve">Zum einen </w:t>
      </w:r>
      <w:r w:rsidR="00FF5A60">
        <w:t>ist eine</w:t>
      </w:r>
      <w:r w:rsidR="00FF5A60" w:rsidRPr="00941865">
        <w:t xml:space="preserve"> Elektrifizierung nicht </w:t>
      </w:r>
      <w:r w:rsidR="00FF5A60">
        <w:t>bei</w:t>
      </w:r>
      <w:r w:rsidR="00FF5A60" w:rsidRPr="00941865">
        <w:t xml:space="preserve"> jede</w:t>
      </w:r>
      <w:r w:rsidR="00FF5A60">
        <w:t>m</w:t>
      </w:r>
      <w:r w:rsidR="00FF5A60" w:rsidRPr="00941865">
        <w:t xml:space="preserve"> Prozess </w:t>
      </w:r>
      <w:r w:rsidR="00FF5A60">
        <w:t>technisch machbar</w:t>
      </w:r>
      <w:r w:rsidR="00FF5A60" w:rsidRPr="00941865">
        <w:t>. Dort, wo sie</w:t>
      </w:r>
      <w:r w:rsidR="00FF5A60">
        <w:t xml:space="preserve"> theoretisch vorstellbar</w:t>
      </w:r>
      <w:r w:rsidR="00FF5A60" w:rsidRPr="00941865">
        <w:t xml:space="preserve"> wäre, fehlt es </w:t>
      </w:r>
      <w:r w:rsidR="00E61BCA">
        <w:t>aktuell</w:t>
      </w:r>
      <w:r w:rsidR="00FF5A60" w:rsidRPr="00941865">
        <w:t xml:space="preserve"> </w:t>
      </w:r>
      <w:r w:rsidR="00FF5A60">
        <w:t xml:space="preserve">beispielsweise vielfach </w:t>
      </w:r>
      <w:r w:rsidR="00FF5A60" w:rsidRPr="00941865">
        <w:t>an der notwendigen Leistung der Stromnetze</w:t>
      </w:r>
      <w:r w:rsidR="00AC1FEE">
        <w:t xml:space="preserve"> oder die</w:t>
      </w:r>
      <w:r w:rsidR="00E73577">
        <w:t xml:space="preserve"> hohen</w:t>
      </w:r>
      <w:r w:rsidR="00AC1FEE">
        <w:t xml:space="preserve"> Stromkosten</w:t>
      </w:r>
      <w:r w:rsidR="00BE6AAD">
        <w:rPr>
          <w:rStyle w:val="Funotenzeichen"/>
        </w:rPr>
        <w:footnoteReference w:id="2"/>
      </w:r>
      <w:r w:rsidR="00AC1FEE">
        <w:t xml:space="preserve"> </w:t>
      </w:r>
      <w:r w:rsidR="00F9693A">
        <w:t xml:space="preserve">machen </w:t>
      </w:r>
      <w:r w:rsidR="00E73577">
        <w:t>eine Elektrifizierung unwirtschaftlich</w:t>
      </w:r>
      <w:r w:rsidR="00F9693A">
        <w:t>.</w:t>
      </w:r>
      <w:r w:rsidR="00FF5A60" w:rsidRPr="00941865">
        <w:t xml:space="preserve"> </w:t>
      </w:r>
      <w:r w:rsidR="006B2712">
        <w:t xml:space="preserve">Beim heute geltenden Strommix ist zudem ein Umstieg von bspw. Gas auf Strom </w:t>
      </w:r>
      <w:r w:rsidR="00B34A57">
        <w:t xml:space="preserve">bei gleicher Energiemenge </w:t>
      </w:r>
      <w:r w:rsidR="006717DA">
        <w:t xml:space="preserve">mit negativen Auswirkungen auf die </w:t>
      </w:r>
      <w:r w:rsidR="00023079">
        <w:t xml:space="preserve">CO2-Bilanz verbunden. Während Gas einen spezifischen Emissionswert von </w:t>
      </w:r>
      <w:r w:rsidR="009B4FD4">
        <w:t>20</w:t>
      </w:r>
      <w:r w:rsidR="00AC44D2">
        <w:t>2</w:t>
      </w:r>
      <w:r w:rsidR="00AF2774">
        <w:t xml:space="preserve"> g/</w:t>
      </w:r>
      <w:r w:rsidR="009B4FD4">
        <w:t>kWh</w:t>
      </w:r>
      <w:r w:rsidR="00AC44D2">
        <w:rPr>
          <w:rStyle w:val="Funotenzeichen"/>
        </w:rPr>
        <w:footnoteReference w:id="3"/>
      </w:r>
      <w:r w:rsidR="00AF2774">
        <w:t xml:space="preserve"> </w:t>
      </w:r>
      <w:r w:rsidR="00141525">
        <w:t>(in 20</w:t>
      </w:r>
      <w:r w:rsidR="00D27756">
        <w:t xml:space="preserve">15) </w:t>
      </w:r>
      <w:r w:rsidR="00AF2774">
        <w:t xml:space="preserve">aufweist sind es beim deutschen Strommix </w:t>
      </w:r>
      <w:r w:rsidR="009210C4">
        <w:t>486</w:t>
      </w:r>
      <w:r w:rsidR="00AF2774">
        <w:t xml:space="preserve"> g/</w:t>
      </w:r>
      <w:r w:rsidR="009B4FD4">
        <w:t>kWh</w:t>
      </w:r>
      <w:r w:rsidR="009210C4">
        <w:rPr>
          <w:rStyle w:val="Funotenzeichen"/>
        </w:rPr>
        <w:footnoteReference w:id="4"/>
      </w:r>
      <w:r w:rsidR="00D27756">
        <w:t xml:space="preserve"> (in 2017)</w:t>
      </w:r>
      <w:r w:rsidR="00AF2774">
        <w:t xml:space="preserve">. </w:t>
      </w:r>
    </w:p>
    <w:p w14:paraId="07B3844D" w14:textId="77777777" w:rsidR="00AF2774" w:rsidRDefault="00AF2774" w:rsidP="00FF5A60"/>
    <w:p w14:paraId="0CE72174" w14:textId="77777777" w:rsidR="00C65A57" w:rsidRDefault="00FE0E26" w:rsidP="00FF5A60">
      <w:r>
        <w:t>Auch ein</w:t>
      </w:r>
      <w:r w:rsidR="00FF5A60" w:rsidRPr="00941865">
        <w:t xml:space="preserve"> Umstieg auf verhältnismäßig teure Biomasse</w:t>
      </w:r>
      <w:r w:rsidR="0076663C">
        <w:t xml:space="preserve"> kann häufig nicht</w:t>
      </w:r>
      <w:r w:rsidR="00FF5A60" w:rsidRPr="00941865">
        <w:t xml:space="preserve"> realisiert werden, da mit dieser kaum Temperaturen größer 500 Grad erzeugt werden können. Alternativ ist nicht absehbar, dass Wasserstoff bis in die 2020er Jahre </w:t>
      </w:r>
      <w:r w:rsidR="00FF5A60">
        <w:t xml:space="preserve">auch nur annähernd </w:t>
      </w:r>
      <w:r w:rsidR="00FF5A60" w:rsidRPr="00941865">
        <w:t>in ausreichendem Umfang und zu wettbewerbsfähigen Preisen verfügbar sein wird.</w:t>
      </w:r>
      <w:r w:rsidR="00FF5A60">
        <w:t xml:space="preserve"> </w:t>
      </w:r>
      <w:r w:rsidR="00C12D64" w:rsidRPr="00941865">
        <w:t>Das BEHG stellt faktisch eine reine Verteuerung der Produktion da</w:t>
      </w:r>
      <w:r w:rsidR="00C12D64">
        <w:t>r</w:t>
      </w:r>
      <w:r w:rsidR="00C12D64" w:rsidRPr="00941865">
        <w:t>, ohne dass mittelständische Unternehmen in den nächsten Jahren realistische Alternativen hätten</w:t>
      </w:r>
      <w:r w:rsidR="00651C6F">
        <w:t>.</w:t>
      </w:r>
      <w:r w:rsidR="00C65A57">
        <w:t xml:space="preserve"> </w:t>
      </w:r>
    </w:p>
    <w:p w14:paraId="19FB2610" w14:textId="77777777" w:rsidR="00C65A57" w:rsidRDefault="00C65A57" w:rsidP="00FF5A60"/>
    <w:p w14:paraId="52EFF782" w14:textId="17411BDB" w:rsidR="00C65A57" w:rsidRPr="00836874" w:rsidRDefault="00B01FBE" w:rsidP="00FF5A60">
      <w:pPr>
        <w:rPr>
          <w:b/>
          <w:bCs/>
        </w:rPr>
      </w:pPr>
      <w:r w:rsidRPr="00836874">
        <w:rPr>
          <w:b/>
          <w:bCs/>
        </w:rPr>
        <w:t xml:space="preserve">Teils </w:t>
      </w:r>
      <w:r w:rsidR="00784CF5" w:rsidRPr="00836874">
        <w:rPr>
          <w:b/>
          <w:bCs/>
        </w:rPr>
        <w:t xml:space="preserve">50 % weniger </w:t>
      </w:r>
      <w:r w:rsidR="00D22C25" w:rsidRPr="00836874">
        <w:rPr>
          <w:b/>
          <w:bCs/>
        </w:rPr>
        <w:t xml:space="preserve">Rendite durch </w:t>
      </w:r>
      <w:r w:rsidR="006C6212" w:rsidRPr="00836874">
        <w:rPr>
          <w:b/>
          <w:bCs/>
        </w:rPr>
        <w:t>Brennstoffemissionshandel</w:t>
      </w:r>
      <w:r w:rsidRPr="00836874">
        <w:rPr>
          <w:b/>
          <w:bCs/>
        </w:rPr>
        <w:t xml:space="preserve"> i</w:t>
      </w:r>
      <w:r w:rsidR="000B3703">
        <w:rPr>
          <w:b/>
          <w:bCs/>
        </w:rPr>
        <w:t xml:space="preserve">m Jahr </w:t>
      </w:r>
      <w:r w:rsidRPr="00836874">
        <w:rPr>
          <w:b/>
          <w:bCs/>
        </w:rPr>
        <w:t>202</w:t>
      </w:r>
      <w:r w:rsidR="000B3703">
        <w:rPr>
          <w:b/>
          <w:bCs/>
        </w:rPr>
        <w:t>3</w:t>
      </w:r>
    </w:p>
    <w:p w14:paraId="5AF7278E" w14:textId="77777777" w:rsidR="00C65A57" w:rsidRDefault="00C65A57" w:rsidP="00FF5A60"/>
    <w:p w14:paraId="56B55557" w14:textId="77777777" w:rsidR="00FF5A60" w:rsidRDefault="00FF5A60" w:rsidP="00FF5A60">
      <w:r w:rsidRPr="00941865">
        <w:t xml:space="preserve">Bei einem mittelständischen Ringwalzwerk aus Nordrhein-Westfalen mit insgesamt knapp 600 Mitarbeitern fallen </w:t>
      </w:r>
      <w:r>
        <w:t xml:space="preserve">bereits </w:t>
      </w:r>
      <w:r w:rsidRPr="00941865">
        <w:t xml:space="preserve">bei </w:t>
      </w:r>
      <w:r>
        <w:t>einem CO</w:t>
      </w:r>
      <w:r w:rsidRPr="001A2A14">
        <w:rPr>
          <w:vertAlign w:val="subscript"/>
        </w:rPr>
        <w:t>2</w:t>
      </w:r>
      <w:r>
        <w:t xml:space="preserve">-Preis von </w:t>
      </w:r>
      <w:r w:rsidRPr="00941865">
        <w:t>35 € rund 50 % der Rendite weg. Investitionen sind so nicht möglich. Dieses Werk produziert die Grundlage für Windkraftanlagen, die Basis unseres erneuerbaren Energiesystems.</w:t>
      </w:r>
    </w:p>
    <w:p w14:paraId="0597D3E2" w14:textId="77777777" w:rsidR="00FF5A60" w:rsidRDefault="00FF5A60" w:rsidP="00717DFA"/>
    <w:p w14:paraId="2CA84072" w14:textId="77777777" w:rsidR="00717DFA" w:rsidRDefault="005A2CC7" w:rsidP="00717DFA">
      <w:r>
        <w:t>Große Industrieanlagen im EU ETS sind</w:t>
      </w:r>
      <w:r w:rsidRPr="00941865" w:rsidDel="005A2CC7">
        <w:t xml:space="preserve"> </w:t>
      </w:r>
      <w:r w:rsidR="00717DFA" w:rsidRPr="00941865">
        <w:t>richtiger</w:t>
      </w:r>
      <w:r w:rsidR="00D3543E">
        <w:t>w</w:t>
      </w:r>
      <w:r w:rsidR="00717DFA" w:rsidRPr="00941865">
        <w:t xml:space="preserve">eise vor Wettbewerbsverzerrungen </w:t>
      </w:r>
      <w:r w:rsidR="00E75046">
        <w:t>in Folge des europäischen CO</w:t>
      </w:r>
      <w:r w:rsidR="00E75046" w:rsidRPr="00A41681">
        <w:rPr>
          <w:vertAlign w:val="subscript"/>
        </w:rPr>
        <w:t>2</w:t>
      </w:r>
      <w:r w:rsidR="00E75046">
        <w:t xml:space="preserve">-Preises </w:t>
      </w:r>
      <w:r w:rsidR="00717DFA" w:rsidRPr="00941865">
        <w:t xml:space="preserve">geschützt. </w:t>
      </w:r>
      <w:r w:rsidR="009773E1">
        <w:t>Analog müssen nun auch kleinere Industrieanlagen im nationalen Emissionshandel vor Wettbewerbsverzerrungen durch den nationalen CO</w:t>
      </w:r>
      <w:r w:rsidR="009773E1" w:rsidRPr="00A41681">
        <w:rPr>
          <w:vertAlign w:val="subscript"/>
        </w:rPr>
        <w:t>2</w:t>
      </w:r>
      <w:r w:rsidR="009773E1">
        <w:t>-Preis geschützt werden. Keinesfalls darf eine Abwanderung von Industrieunternehmen ins europäische Ausland in Kauf genommen werden, um nationale Klimaschutzziele zu erreichen.</w:t>
      </w:r>
      <w:r w:rsidR="00A950BE">
        <w:t xml:space="preserve"> Bestehende und lange gewachsene Wertschöpfungsketten sollen nicht auseinandergerissen werden. </w:t>
      </w:r>
      <w:r w:rsidR="00656EF6">
        <w:t xml:space="preserve">Fällt ein Glied </w:t>
      </w:r>
      <w:r w:rsidR="001031BF">
        <w:t>heraus</w:t>
      </w:r>
      <w:r w:rsidR="00656EF6">
        <w:t>, kann es die</w:t>
      </w:r>
      <w:r w:rsidR="001031BF">
        <w:t xml:space="preserve"> gesamte Wertschöpfungskette </w:t>
      </w:r>
      <w:r w:rsidR="00540C13">
        <w:t>schädigen.</w:t>
      </w:r>
      <w:r w:rsidR="00656EF6">
        <w:t xml:space="preserve"> </w:t>
      </w:r>
    </w:p>
    <w:p w14:paraId="4DBD29DC" w14:textId="77777777" w:rsidR="001D3B57" w:rsidRPr="00941865" w:rsidRDefault="001D3B57" w:rsidP="00717DFA"/>
    <w:p w14:paraId="6CFBAB98" w14:textId="2AE0AED4" w:rsidR="0020728D" w:rsidRDefault="00717DFA" w:rsidP="00717DFA">
      <w:pPr>
        <w:rPr>
          <w:color w:val="000000"/>
        </w:rPr>
      </w:pPr>
      <w:r w:rsidRPr="00941865">
        <w:rPr>
          <w:color w:val="000000"/>
        </w:rPr>
        <w:t>Sollte die Bundesregierung keinen effektiven Carbon Leakage-Schutz für die vom BEHG betroffenen</w:t>
      </w:r>
      <w:r w:rsidR="00AD796A">
        <w:rPr>
          <w:color w:val="000000"/>
        </w:rPr>
        <w:t xml:space="preserve"> Unternehmen </w:t>
      </w:r>
      <w:r w:rsidRPr="00941865">
        <w:rPr>
          <w:color w:val="000000"/>
        </w:rPr>
        <w:t xml:space="preserve"> vorsehen, wäre </w:t>
      </w:r>
      <w:r w:rsidR="00D3543E" w:rsidRPr="00941865">
        <w:rPr>
          <w:color w:val="000000"/>
        </w:rPr>
        <w:t>das</w:t>
      </w:r>
      <w:r w:rsidRPr="00941865">
        <w:rPr>
          <w:color w:val="000000"/>
        </w:rPr>
        <w:t xml:space="preserve"> das Aus </w:t>
      </w:r>
      <w:r w:rsidR="00AD796A">
        <w:rPr>
          <w:color w:val="000000"/>
        </w:rPr>
        <w:t xml:space="preserve">für viele </w:t>
      </w:r>
      <w:r w:rsidRPr="00941865">
        <w:rPr>
          <w:color w:val="000000"/>
        </w:rPr>
        <w:t xml:space="preserve">(Gießereien, Härtereien, </w:t>
      </w:r>
      <w:r>
        <w:rPr>
          <w:color w:val="000000"/>
        </w:rPr>
        <w:t>B</w:t>
      </w:r>
      <w:r w:rsidRPr="00941865">
        <w:t>austoffindustrie, Chemie</w:t>
      </w:r>
      <w:r>
        <w:t>,</w:t>
      </w:r>
      <w:r w:rsidR="00626BE6">
        <w:t xml:space="preserve"> Glasveredelung,</w:t>
      </w:r>
      <w:r>
        <w:t xml:space="preserve"> bis </w:t>
      </w:r>
      <w:r w:rsidRPr="00941865">
        <w:t xml:space="preserve">hin zu Keramik und </w:t>
      </w:r>
      <w:r w:rsidR="00D517CF">
        <w:t>Metallverarbeitung</w:t>
      </w:r>
      <w:r w:rsidRPr="00941865">
        <w:rPr>
          <w:color w:val="000000"/>
        </w:rPr>
        <w:t xml:space="preserve">), die zudem z. T. in strukturschwachen Regionen produzieren. </w:t>
      </w:r>
    </w:p>
    <w:p w14:paraId="0DF2DBC9" w14:textId="77777777" w:rsidR="00E3039C" w:rsidRDefault="0020728D" w:rsidP="00717DFA">
      <w:pPr>
        <w:rPr>
          <w:color w:val="000000"/>
        </w:rPr>
      </w:pPr>
      <w:r>
        <w:rPr>
          <w:color w:val="000000"/>
        </w:rPr>
        <w:lastRenderedPageBreak/>
        <w:t>Aus diesen Gründen schlä</w:t>
      </w:r>
      <w:r w:rsidR="00E3039C">
        <w:rPr>
          <w:color w:val="000000"/>
        </w:rPr>
        <w:t xml:space="preserve">gt die deutsche Industrie </w:t>
      </w:r>
      <w:r w:rsidR="00B42CBB">
        <w:rPr>
          <w:color w:val="000000"/>
        </w:rPr>
        <w:t>im Folgenden eine</w:t>
      </w:r>
      <w:r w:rsidR="00E3039C">
        <w:rPr>
          <w:color w:val="000000"/>
        </w:rPr>
        <w:t xml:space="preserve"> Regelung für einen effektiven und europarechtskonformen Carbon Leakage und Investment Schutz vor</w:t>
      </w:r>
      <w:r w:rsidR="00B42CBB">
        <w:rPr>
          <w:color w:val="000000"/>
        </w:rPr>
        <w:t>.</w:t>
      </w:r>
    </w:p>
    <w:p w14:paraId="38E66159" w14:textId="77777777" w:rsidR="004552D3" w:rsidRDefault="003E31D9" w:rsidP="003B0717">
      <w:pPr>
        <w:pStyle w:val="berschrift1"/>
      </w:pPr>
      <w:r>
        <w:t>Belastungsausgleich</w:t>
      </w:r>
    </w:p>
    <w:p w14:paraId="79315710" w14:textId="77777777" w:rsidR="004552D3" w:rsidRDefault="004552D3" w:rsidP="00717DFA">
      <w:pPr>
        <w:rPr>
          <w:color w:val="000000"/>
        </w:rPr>
      </w:pPr>
    </w:p>
    <w:p w14:paraId="74E608CE" w14:textId="6AF18194" w:rsidR="006D132F" w:rsidRDefault="00902BD3" w:rsidP="00717DFA">
      <w:pPr>
        <w:rPr>
          <w:color w:val="000000"/>
        </w:rPr>
      </w:pPr>
      <w:r>
        <w:rPr>
          <w:color w:val="000000"/>
        </w:rPr>
        <w:t xml:space="preserve">Aus der </w:t>
      </w:r>
      <w:r w:rsidR="00191CCE">
        <w:rPr>
          <w:color w:val="000000"/>
        </w:rPr>
        <w:t>Konstruktion des Brennstoffemissionshandelsgesetz</w:t>
      </w:r>
      <w:r w:rsidR="00D3543E">
        <w:rPr>
          <w:color w:val="000000"/>
        </w:rPr>
        <w:t>es</w:t>
      </w:r>
      <w:r w:rsidR="00191CCE">
        <w:rPr>
          <w:color w:val="000000"/>
        </w:rPr>
        <w:t xml:space="preserve"> </w:t>
      </w:r>
      <w:r>
        <w:rPr>
          <w:color w:val="000000"/>
        </w:rPr>
        <w:t xml:space="preserve">ergeben sich </w:t>
      </w:r>
      <w:r w:rsidR="005018F7">
        <w:rPr>
          <w:color w:val="000000"/>
        </w:rPr>
        <w:t xml:space="preserve">bei der effektiven Umsetzung der </w:t>
      </w:r>
      <w:r w:rsidR="00446593">
        <w:rPr>
          <w:color w:val="000000"/>
        </w:rPr>
        <w:t xml:space="preserve">Rechtsverordnung </w:t>
      </w:r>
      <w:r w:rsidR="000E3ABC">
        <w:rPr>
          <w:color w:val="000000"/>
        </w:rPr>
        <w:t>zu</w:t>
      </w:r>
      <w:r w:rsidR="00A17A43">
        <w:rPr>
          <w:color w:val="000000"/>
        </w:rPr>
        <w:t>m</w:t>
      </w:r>
      <w:r w:rsidR="003E0795">
        <w:rPr>
          <w:color w:val="000000"/>
        </w:rPr>
        <w:t xml:space="preserve"> </w:t>
      </w:r>
      <w:r w:rsidR="00A17A43">
        <w:rPr>
          <w:color w:val="000000"/>
        </w:rPr>
        <w:t>Belastungsausgleich</w:t>
      </w:r>
      <w:r w:rsidR="003E0795">
        <w:rPr>
          <w:color w:val="000000"/>
        </w:rPr>
        <w:t xml:space="preserve"> (s. § 11 (3) Brennstoffemissionshandelsgesetz) einige Herausforderungen. Im Gegensatz zum europäischen Emissionshandel sind</w:t>
      </w:r>
      <w:r w:rsidR="00AD796A">
        <w:rPr>
          <w:color w:val="000000"/>
        </w:rPr>
        <w:t xml:space="preserve"> in der Regel</w:t>
      </w:r>
      <w:r w:rsidR="003E0795">
        <w:rPr>
          <w:color w:val="000000"/>
        </w:rPr>
        <w:t xml:space="preserve"> nicht</w:t>
      </w:r>
      <w:r w:rsidR="003504C0">
        <w:rPr>
          <w:color w:val="000000"/>
        </w:rPr>
        <w:t xml:space="preserve"> </w:t>
      </w:r>
      <w:r w:rsidR="003E0795">
        <w:rPr>
          <w:color w:val="000000"/>
        </w:rPr>
        <w:t xml:space="preserve">die </w:t>
      </w:r>
      <w:r w:rsidR="003504C0">
        <w:rPr>
          <w:color w:val="000000"/>
        </w:rPr>
        <w:t>Endenergieverbraucher</w:t>
      </w:r>
      <w:r w:rsidR="007B2C04">
        <w:rPr>
          <w:color w:val="000000"/>
        </w:rPr>
        <w:t xml:space="preserve"> die Verantwortlichen </w:t>
      </w:r>
      <w:r w:rsidR="00435D16">
        <w:rPr>
          <w:color w:val="000000"/>
        </w:rPr>
        <w:t xml:space="preserve">i. S. d. § </w:t>
      </w:r>
      <w:r w:rsidR="00D3057D">
        <w:rPr>
          <w:color w:val="000000"/>
        </w:rPr>
        <w:t>3 Nr. 3 Brennstoffemissionshandelsgesetz</w:t>
      </w:r>
      <w:r w:rsidR="0094269E">
        <w:rPr>
          <w:color w:val="000000"/>
        </w:rPr>
        <w:t xml:space="preserve"> und damit Teilnehmer des Handelssystems, so</w:t>
      </w:r>
      <w:r w:rsidR="000D4DBE">
        <w:rPr>
          <w:color w:val="000000"/>
        </w:rPr>
        <w:t xml:space="preserve">ndern die Erstenergielieferanten. Zwischen </w:t>
      </w:r>
      <w:r w:rsidR="000727D8">
        <w:rPr>
          <w:color w:val="000000"/>
        </w:rPr>
        <w:t xml:space="preserve">Erstlieferant und Endenergieverbraucher </w:t>
      </w:r>
      <w:r w:rsidR="004C6967">
        <w:rPr>
          <w:color w:val="000000"/>
        </w:rPr>
        <w:t xml:space="preserve">liegen häufig zahlreiche Zwischenhändler. </w:t>
      </w:r>
      <w:r w:rsidR="00EA12C2">
        <w:rPr>
          <w:color w:val="000000"/>
        </w:rPr>
        <w:t>Grundsätzlich sind verschiedene Varianten zur Ausgestaltung eine</w:t>
      </w:r>
      <w:r w:rsidR="00A17A43">
        <w:rPr>
          <w:color w:val="000000"/>
        </w:rPr>
        <w:t>s</w:t>
      </w:r>
      <w:r w:rsidR="00EA12C2">
        <w:rPr>
          <w:color w:val="000000"/>
        </w:rPr>
        <w:t xml:space="preserve"> </w:t>
      </w:r>
      <w:r w:rsidR="00A17A43">
        <w:rPr>
          <w:color w:val="000000"/>
        </w:rPr>
        <w:t>Belastungsausgleichs</w:t>
      </w:r>
      <w:r w:rsidR="00EA12C2">
        <w:rPr>
          <w:color w:val="000000"/>
        </w:rPr>
        <w:t xml:space="preserve"> denkbar. </w:t>
      </w:r>
    </w:p>
    <w:p w14:paraId="37ECBAC0" w14:textId="77777777" w:rsidR="0000104E" w:rsidRDefault="0000104E" w:rsidP="00717DFA">
      <w:pPr>
        <w:rPr>
          <w:color w:val="000000"/>
        </w:rPr>
      </w:pPr>
    </w:p>
    <w:p w14:paraId="0FC53198" w14:textId="77777777" w:rsidR="006D590B" w:rsidRPr="00836874" w:rsidRDefault="0012264A" w:rsidP="00717DFA">
      <w:pPr>
        <w:rPr>
          <w:b/>
          <w:bCs/>
          <w:color w:val="000000"/>
        </w:rPr>
      </w:pPr>
      <w:r>
        <w:rPr>
          <w:b/>
          <w:bCs/>
          <w:color w:val="000000"/>
        </w:rPr>
        <w:t>Zuständige Behörde</w:t>
      </w:r>
      <w:r w:rsidR="002F604F" w:rsidRPr="00836874">
        <w:rPr>
          <w:b/>
          <w:bCs/>
          <w:color w:val="000000"/>
        </w:rPr>
        <w:t xml:space="preserve"> </w:t>
      </w:r>
      <w:r w:rsidR="009B2FDD">
        <w:rPr>
          <w:b/>
          <w:bCs/>
          <w:color w:val="000000"/>
        </w:rPr>
        <w:t>sollte</w:t>
      </w:r>
      <w:r w:rsidR="002F604F" w:rsidRPr="00836874">
        <w:rPr>
          <w:b/>
          <w:bCs/>
          <w:color w:val="000000"/>
        </w:rPr>
        <w:t xml:space="preserve"> Belastungsausgleich </w:t>
      </w:r>
      <w:r w:rsidR="0069373B" w:rsidRPr="00836874">
        <w:rPr>
          <w:b/>
          <w:bCs/>
          <w:color w:val="000000"/>
        </w:rPr>
        <w:t xml:space="preserve">administrieren </w:t>
      </w:r>
      <w:r w:rsidR="00DA7E3D" w:rsidRPr="00836874">
        <w:rPr>
          <w:b/>
          <w:bCs/>
          <w:color w:val="000000"/>
        </w:rPr>
        <w:t>–</w:t>
      </w:r>
      <w:r w:rsidR="0069373B" w:rsidRPr="00836874">
        <w:rPr>
          <w:b/>
          <w:bCs/>
          <w:color w:val="000000"/>
        </w:rPr>
        <w:t xml:space="preserve"> indiv</w:t>
      </w:r>
      <w:r w:rsidR="00DA7E3D" w:rsidRPr="00836874">
        <w:rPr>
          <w:b/>
          <w:bCs/>
          <w:color w:val="000000"/>
        </w:rPr>
        <w:t xml:space="preserve">iduelle Vertragsverhandlungen </w:t>
      </w:r>
      <w:r w:rsidR="00501E2D" w:rsidRPr="00836874">
        <w:rPr>
          <w:b/>
          <w:bCs/>
          <w:color w:val="000000"/>
        </w:rPr>
        <w:t>sind keine Option</w:t>
      </w:r>
    </w:p>
    <w:p w14:paraId="1B0C3F88" w14:textId="77777777" w:rsidR="006D590B" w:rsidRDefault="006D590B" w:rsidP="00717DFA">
      <w:pPr>
        <w:rPr>
          <w:color w:val="000000"/>
        </w:rPr>
      </w:pPr>
    </w:p>
    <w:p w14:paraId="3FEDF76F" w14:textId="6A39F52D" w:rsidR="00E13169" w:rsidRDefault="00342B97" w:rsidP="00717DFA">
      <w:pPr>
        <w:rPr>
          <w:color w:val="000000"/>
        </w:rPr>
      </w:pPr>
      <w:r>
        <w:rPr>
          <w:color w:val="000000"/>
        </w:rPr>
        <w:t xml:space="preserve">Naheliegend ist </w:t>
      </w:r>
      <w:r w:rsidR="00A17A43">
        <w:rPr>
          <w:color w:val="000000"/>
        </w:rPr>
        <w:t>ein Belastungsausgleich</w:t>
      </w:r>
      <w:r>
        <w:rPr>
          <w:color w:val="000000"/>
        </w:rPr>
        <w:t>, d</w:t>
      </w:r>
      <w:r w:rsidR="00A17A43">
        <w:rPr>
          <w:color w:val="000000"/>
        </w:rPr>
        <w:t>er</w:t>
      </w:r>
      <w:r>
        <w:rPr>
          <w:color w:val="000000"/>
        </w:rPr>
        <w:t xml:space="preserve"> </w:t>
      </w:r>
      <w:r w:rsidR="006B4B48">
        <w:rPr>
          <w:color w:val="000000"/>
        </w:rPr>
        <w:t xml:space="preserve">von der verantwortlichen </w:t>
      </w:r>
      <w:r w:rsidR="00203ED0">
        <w:rPr>
          <w:color w:val="000000"/>
        </w:rPr>
        <w:t>Behörde gemäß § 13 (1) Brennstoffemissionshandelsgesetz</w:t>
      </w:r>
      <w:r w:rsidR="00581134">
        <w:rPr>
          <w:color w:val="000000"/>
        </w:rPr>
        <w:t xml:space="preserve"> direkt mit den </w:t>
      </w:r>
      <w:r w:rsidR="005C32B4">
        <w:rPr>
          <w:color w:val="000000"/>
        </w:rPr>
        <w:t xml:space="preserve">Berechtigten </w:t>
      </w:r>
      <w:r w:rsidR="00473D3C">
        <w:rPr>
          <w:color w:val="000000"/>
        </w:rPr>
        <w:t xml:space="preserve">umgesetzt wird. </w:t>
      </w:r>
      <w:r w:rsidR="00EF48F0">
        <w:rPr>
          <w:color w:val="000000"/>
        </w:rPr>
        <w:t xml:space="preserve">Eine </w:t>
      </w:r>
      <w:r w:rsidR="009B2FDD">
        <w:rPr>
          <w:color w:val="000000"/>
        </w:rPr>
        <w:t>Alternative,</w:t>
      </w:r>
      <w:r w:rsidR="00EF48F0">
        <w:rPr>
          <w:color w:val="000000"/>
        </w:rPr>
        <w:t xml:space="preserve"> bei </w:t>
      </w:r>
      <w:r w:rsidR="00187DAC">
        <w:rPr>
          <w:color w:val="000000"/>
        </w:rPr>
        <w:t>welcher</w:t>
      </w:r>
      <w:r w:rsidR="00EF48F0">
        <w:rPr>
          <w:color w:val="000000"/>
        </w:rPr>
        <w:t xml:space="preserve"> </w:t>
      </w:r>
      <w:r w:rsidR="00002D7F">
        <w:rPr>
          <w:color w:val="000000"/>
        </w:rPr>
        <w:t xml:space="preserve">der </w:t>
      </w:r>
      <w:r w:rsidR="00584CCD">
        <w:rPr>
          <w:color w:val="000000"/>
        </w:rPr>
        <w:t xml:space="preserve">Endverbraucher </w:t>
      </w:r>
      <w:r w:rsidR="00187DAC">
        <w:rPr>
          <w:color w:val="000000"/>
        </w:rPr>
        <w:t xml:space="preserve">direkt </w:t>
      </w:r>
      <w:r w:rsidR="00584CCD">
        <w:rPr>
          <w:color w:val="000000"/>
        </w:rPr>
        <w:t xml:space="preserve">mit seinem Lieferanten </w:t>
      </w:r>
      <w:r w:rsidR="00D820B4">
        <w:rPr>
          <w:color w:val="000000"/>
        </w:rPr>
        <w:t>abrechnet,</w:t>
      </w:r>
      <w:r w:rsidR="00073519">
        <w:rPr>
          <w:color w:val="000000"/>
        </w:rPr>
        <w:t xml:space="preserve"> ist </w:t>
      </w:r>
      <w:r w:rsidR="00F20A85">
        <w:rPr>
          <w:color w:val="000000"/>
        </w:rPr>
        <w:t>im bestehenden System mit teils vielen Zwischenhändlern nicht denkbar</w:t>
      </w:r>
      <w:r w:rsidR="00902BD3">
        <w:rPr>
          <w:color w:val="000000"/>
        </w:rPr>
        <w:t>:</w:t>
      </w:r>
      <w:r w:rsidR="005A6EA6">
        <w:rPr>
          <w:color w:val="000000"/>
        </w:rPr>
        <w:t xml:space="preserve"> </w:t>
      </w:r>
      <w:r w:rsidR="00902BD3">
        <w:rPr>
          <w:color w:val="000000"/>
        </w:rPr>
        <w:t xml:space="preserve">Selbst </w:t>
      </w:r>
      <w:r w:rsidR="005A6EA6">
        <w:rPr>
          <w:color w:val="000000"/>
        </w:rPr>
        <w:t>bei Direktlieferungen</w:t>
      </w:r>
      <w:r w:rsidR="00EF48F0">
        <w:rPr>
          <w:color w:val="000000"/>
        </w:rPr>
        <w:t xml:space="preserve"> </w:t>
      </w:r>
      <w:r w:rsidR="00902BD3">
        <w:rPr>
          <w:color w:val="000000"/>
        </w:rPr>
        <w:t xml:space="preserve">wäre </w:t>
      </w:r>
      <w:r w:rsidR="00EF48F0">
        <w:rPr>
          <w:color w:val="000000"/>
        </w:rPr>
        <w:t>ein</w:t>
      </w:r>
      <w:r w:rsidR="00D17589">
        <w:rPr>
          <w:color w:val="000000"/>
        </w:rPr>
        <w:t xml:space="preserve">e </w:t>
      </w:r>
      <w:r w:rsidR="00902BD3">
        <w:rPr>
          <w:color w:val="000000"/>
        </w:rPr>
        <w:t xml:space="preserve">individuelle </w:t>
      </w:r>
      <w:r w:rsidR="00D17589">
        <w:rPr>
          <w:color w:val="000000"/>
        </w:rPr>
        <w:t xml:space="preserve">Einigung zwischen den </w:t>
      </w:r>
      <w:r w:rsidR="00002D7F">
        <w:rPr>
          <w:color w:val="000000"/>
        </w:rPr>
        <w:t xml:space="preserve">beteiligten Unternehmen </w:t>
      </w:r>
      <w:r w:rsidR="00902BD3">
        <w:rPr>
          <w:color w:val="000000"/>
        </w:rPr>
        <w:t>in der Praxis mit vielen Unsicherheiten behaftet</w:t>
      </w:r>
      <w:r w:rsidR="00AA221B">
        <w:rPr>
          <w:color w:val="000000"/>
        </w:rPr>
        <w:t xml:space="preserve">. </w:t>
      </w:r>
      <w:r w:rsidR="005363C0">
        <w:rPr>
          <w:color w:val="000000"/>
        </w:rPr>
        <w:t xml:space="preserve">In </w:t>
      </w:r>
      <w:r w:rsidR="002A1CD9">
        <w:rPr>
          <w:color w:val="000000"/>
        </w:rPr>
        <w:t>allen anderen Fällen</w:t>
      </w:r>
      <w:r w:rsidR="007B4184">
        <w:rPr>
          <w:color w:val="000000"/>
        </w:rPr>
        <w:t xml:space="preserve"> </w:t>
      </w:r>
      <w:r w:rsidR="009213DE">
        <w:rPr>
          <w:color w:val="000000"/>
        </w:rPr>
        <w:t xml:space="preserve">müsste jeder Zwischenhändler seinem Lieferanten nachweisen, in welchem Umfang er </w:t>
      </w:r>
      <w:r w:rsidR="008A7E79">
        <w:rPr>
          <w:color w:val="000000"/>
        </w:rPr>
        <w:t xml:space="preserve">keinen CO2-Preis erhoben hat und sich das Geld zurückholen, da </w:t>
      </w:r>
      <w:r w:rsidR="00427382">
        <w:rPr>
          <w:color w:val="000000"/>
        </w:rPr>
        <w:t xml:space="preserve">die verkauften </w:t>
      </w:r>
      <w:r w:rsidR="00421D17">
        <w:rPr>
          <w:color w:val="000000"/>
        </w:rPr>
        <w:t>Mengen</w:t>
      </w:r>
      <w:r w:rsidR="00427382">
        <w:rPr>
          <w:color w:val="000000"/>
        </w:rPr>
        <w:t xml:space="preserve"> bereits im Vorfeld</w:t>
      </w:r>
      <w:r w:rsidR="00A26083">
        <w:rPr>
          <w:color w:val="000000"/>
        </w:rPr>
        <w:t xml:space="preserve"> </w:t>
      </w:r>
      <w:r w:rsidR="00B90276">
        <w:rPr>
          <w:color w:val="000000"/>
        </w:rPr>
        <w:t>inklusive CO2-Preises</w:t>
      </w:r>
      <w:r w:rsidR="00427382">
        <w:rPr>
          <w:color w:val="000000"/>
        </w:rPr>
        <w:t xml:space="preserve"> eingekauft </w:t>
      </w:r>
      <w:r w:rsidR="00A26083">
        <w:rPr>
          <w:color w:val="000000"/>
        </w:rPr>
        <w:t xml:space="preserve">wurden. </w:t>
      </w:r>
      <w:r w:rsidR="001B1064">
        <w:rPr>
          <w:color w:val="000000"/>
        </w:rPr>
        <w:t>Im Falle von kom</w:t>
      </w:r>
      <w:r w:rsidR="00367322">
        <w:rPr>
          <w:color w:val="000000"/>
        </w:rPr>
        <w:t xml:space="preserve">plexen Lieferbeziehungen </w:t>
      </w:r>
      <w:r w:rsidR="004554E4">
        <w:rPr>
          <w:color w:val="000000"/>
        </w:rPr>
        <w:t>wäre dies</w:t>
      </w:r>
      <w:r w:rsidR="0038352E">
        <w:rPr>
          <w:color w:val="000000"/>
        </w:rPr>
        <w:t xml:space="preserve"> allein mit komplizierten und bürokratischen Nachweisen und Prüfungsverfahren denkbar und sollte daher von der Politik nicht weiterverfolgt werden. </w:t>
      </w:r>
      <w:r w:rsidR="00B90276">
        <w:rPr>
          <w:color w:val="000000"/>
        </w:rPr>
        <w:t xml:space="preserve">Bei </w:t>
      </w:r>
      <w:r w:rsidR="001C77B7">
        <w:rPr>
          <w:color w:val="000000"/>
        </w:rPr>
        <w:t>Abnahmem</w:t>
      </w:r>
      <w:r w:rsidR="00502AD0">
        <w:rPr>
          <w:color w:val="000000"/>
        </w:rPr>
        <w:t xml:space="preserve">engen </w:t>
      </w:r>
      <w:r w:rsidR="002A1CD9">
        <w:rPr>
          <w:color w:val="000000"/>
        </w:rPr>
        <w:t xml:space="preserve">im </w:t>
      </w:r>
      <w:r w:rsidR="003E502A">
        <w:rPr>
          <w:color w:val="000000"/>
        </w:rPr>
        <w:t xml:space="preserve">zwei bis dreistelligen TWh-Bereich ist </w:t>
      </w:r>
      <w:r w:rsidR="001F081B">
        <w:rPr>
          <w:color w:val="000000"/>
        </w:rPr>
        <w:t xml:space="preserve">es </w:t>
      </w:r>
      <w:r w:rsidR="00327E19">
        <w:rPr>
          <w:color w:val="000000"/>
        </w:rPr>
        <w:t xml:space="preserve">zudem </w:t>
      </w:r>
      <w:r w:rsidR="001F081B">
        <w:rPr>
          <w:color w:val="000000"/>
        </w:rPr>
        <w:t xml:space="preserve">sehr unwahrscheinlich, dass die </w:t>
      </w:r>
      <w:r w:rsidR="008F3D16">
        <w:rPr>
          <w:color w:val="000000"/>
        </w:rPr>
        <w:t xml:space="preserve">Lieferanten in Vorkasse gehen. Insbesondere nicht sobald </w:t>
      </w:r>
      <w:r w:rsidR="0038352E">
        <w:rPr>
          <w:color w:val="000000"/>
        </w:rPr>
        <w:t>sich der Preis ab 2026 am Markt bildet.</w:t>
      </w:r>
      <w:r w:rsidR="00502AD0">
        <w:rPr>
          <w:color w:val="000000"/>
        </w:rPr>
        <w:t xml:space="preserve"> </w:t>
      </w:r>
    </w:p>
    <w:p w14:paraId="273A2B8D" w14:textId="77777777" w:rsidR="00E13169" w:rsidRDefault="00E13169" w:rsidP="00717DFA">
      <w:pPr>
        <w:rPr>
          <w:color w:val="000000"/>
        </w:rPr>
      </w:pPr>
    </w:p>
    <w:p w14:paraId="7DA58BF9" w14:textId="77777777" w:rsidR="00D820B4" w:rsidRDefault="009B2FDD" w:rsidP="00717DFA">
      <w:pPr>
        <w:rPr>
          <w:color w:val="000000"/>
        </w:rPr>
      </w:pPr>
      <w:r w:rsidRPr="00836874">
        <w:rPr>
          <w:b/>
          <w:bCs/>
          <w:color w:val="000000"/>
        </w:rPr>
        <w:t xml:space="preserve">Datennachweise </w:t>
      </w:r>
      <w:r w:rsidR="00D820B4" w:rsidRPr="00836874">
        <w:rPr>
          <w:b/>
          <w:bCs/>
          <w:color w:val="000000"/>
        </w:rPr>
        <w:t>gehen zentral an die</w:t>
      </w:r>
      <w:r w:rsidR="0012264A" w:rsidRPr="00836874">
        <w:rPr>
          <w:b/>
          <w:bCs/>
          <w:color w:val="000000"/>
        </w:rPr>
        <w:t xml:space="preserve"> zuständige Behörde</w:t>
      </w:r>
    </w:p>
    <w:p w14:paraId="52F7C1CC" w14:textId="77777777" w:rsidR="00D820B4" w:rsidRDefault="00D820B4" w:rsidP="00717DFA">
      <w:pPr>
        <w:rPr>
          <w:color w:val="000000"/>
        </w:rPr>
      </w:pPr>
    </w:p>
    <w:p w14:paraId="05D29025" w14:textId="135B02B1" w:rsidR="00342B97" w:rsidRDefault="00766C58" w:rsidP="00717DFA">
      <w:pPr>
        <w:rPr>
          <w:color w:val="000000"/>
        </w:rPr>
      </w:pPr>
      <w:r>
        <w:rPr>
          <w:color w:val="000000"/>
        </w:rPr>
        <w:t>Bei der verantwortlichen Behörde laufen gemäß Abschnitt 5 des Brennstoffemissionshandelsgesetz</w:t>
      </w:r>
      <w:r w:rsidR="00A21FA2">
        <w:rPr>
          <w:color w:val="000000"/>
        </w:rPr>
        <w:t>es</w:t>
      </w:r>
      <w:r>
        <w:rPr>
          <w:color w:val="000000"/>
        </w:rPr>
        <w:t xml:space="preserve"> alle</w:t>
      </w:r>
      <w:r w:rsidR="002F53F0">
        <w:rPr>
          <w:color w:val="000000"/>
        </w:rPr>
        <w:t xml:space="preserve"> erforderlichen</w:t>
      </w:r>
      <w:r>
        <w:rPr>
          <w:color w:val="000000"/>
        </w:rPr>
        <w:t xml:space="preserve"> Daten zusammen</w:t>
      </w:r>
      <w:r w:rsidR="002F53F0">
        <w:rPr>
          <w:color w:val="000000"/>
        </w:rPr>
        <w:t xml:space="preserve">. </w:t>
      </w:r>
      <w:r w:rsidR="009D5A3F">
        <w:rPr>
          <w:color w:val="000000"/>
        </w:rPr>
        <w:t>Ein solche</w:t>
      </w:r>
      <w:r w:rsidR="00A17A43">
        <w:rPr>
          <w:color w:val="000000"/>
        </w:rPr>
        <w:t>r</w:t>
      </w:r>
      <w:r w:rsidR="009D5A3F">
        <w:rPr>
          <w:color w:val="000000"/>
        </w:rPr>
        <w:t xml:space="preserve"> </w:t>
      </w:r>
      <w:r w:rsidR="00A17A43">
        <w:rPr>
          <w:color w:val="000000"/>
        </w:rPr>
        <w:t>Belastungsausgleich</w:t>
      </w:r>
      <w:r w:rsidR="009D5A3F">
        <w:rPr>
          <w:color w:val="000000"/>
        </w:rPr>
        <w:t xml:space="preserve"> könnte</w:t>
      </w:r>
      <w:r w:rsidR="00A751FD">
        <w:rPr>
          <w:color w:val="000000"/>
        </w:rPr>
        <w:t xml:space="preserve"> ex </w:t>
      </w:r>
      <w:proofErr w:type="spellStart"/>
      <w:r w:rsidR="00A751FD">
        <w:rPr>
          <w:color w:val="000000"/>
        </w:rPr>
        <w:t>post</w:t>
      </w:r>
      <w:proofErr w:type="spellEnd"/>
      <w:r w:rsidR="00A751FD">
        <w:rPr>
          <w:color w:val="000000"/>
        </w:rPr>
        <w:t xml:space="preserve"> </w:t>
      </w:r>
      <w:r w:rsidR="009D0388">
        <w:rPr>
          <w:color w:val="000000"/>
        </w:rPr>
        <w:t xml:space="preserve">zeitnah und unbürokratisch </w:t>
      </w:r>
      <w:r w:rsidR="00CA1604">
        <w:rPr>
          <w:color w:val="000000"/>
        </w:rPr>
        <w:t xml:space="preserve">umgesetzt werden. Dafür sind lediglich </w:t>
      </w:r>
      <w:r w:rsidR="00EC6F87">
        <w:rPr>
          <w:color w:val="000000"/>
        </w:rPr>
        <w:t xml:space="preserve">folgende </w:t>
      </w:r>
      <w:r w:rsidR="00D820B4">
        <w:rPr>
          <w:color w:val="000000"/>
        </w:rPr>
        <w:t>„</w:t>
      </w:r>
      <w:r w:rsidR="00EC6F87">
        <w:rPr>
          <w:color w:val="000000"/>
        </w:rPr>
        <w:t>zusätzliche</w:t>
      </w:r>
      <w:r w:rsidR="00D820B4">
        <w:rPr>
          <w:color w:val="000000"/>
        </w:rPr>
        <w:t>“</w:t>
      </w:r>
      <w:r w:rsidR="00EC6F87">
        <w:rPr>
          <w:color w:val="000000"/>
        </w:rPr>
        <w:t xml:space="preserve"> Daten erforderlich:</w:t>
      </w:r>
    </w:p>
    <w:p w14:paraId="79F09788" w14:textId="77777777" w:rsidR="00EC6F87" w:rsidRDefault="00EC6F87" w:rsidP="00717DFA">
      <w:pPr>
        <w:rPr>
          <w:color w:val="000000"/>
        </w:rPr>
      </w:pPr>
    </w:p>
    <w:p w14:paraId="1DF2302C" w14:textId="77777777" w:rsidR="009446F6" w:rsidRDefault="009446F6" w:rsidP="00EC6F87">
      <w:pPr>
        <w:pStyle w:val="Listenabsatz"/>
        <w:numPr>
          <w:ilvl w:val="0"/>
          <w:numId w:val="2"/>
        </w:numPr>
        <w:rPr>
          <w:color w:val="000000"/>
        </w:rPr>
      </w:pPr>
      <w:r>
        <w:rPr>
          <w:color w:val="000000"/>
        </w:rPr>
        <w:t xml:space="preserve">Nachweis, dass </w:t>
      </w:r>
      <w:r w:rsidR="00D50940">
        <w:rPr>
          <w:color w:val="000000"/>
        </w:rPr>
        <w:t xml:space="preserve">das </w:t>
      </w:r>
      <w:r w:rsidR="0031035F">
        <w:rPr>
          <w:color w:val="000000"/>
        </w:rPr>
        <w:t xml:space="preserve">antragsstellende Unternehmen zum </w:t>
      </w:r>
      <w:proofErr w:type="spellStart"/>
      <w:r w:rsidR="0031035F">
        <w:rPr>
          <w:color w:val="000000"/>
        </w:rPr>
        <w:t>Berechtigtenkreis</w:t>
      </w:r>
      <w:proofErr w:type="spellEnd"/>
      <w:r w:rsidR="0031035F">
        <w:rPr>
          <w:color w:val="000000"/>
        </w:rPr>
        <w:t xml:space="preserve"> gehört</w:t>
      </w:r>
      <w:r w:rsidR="00D820B4">
        <w:rPr>
          <w:rStyle w:val="Funotenzeichen"/>
          <w:color w:val="000000"/>
        </w:rPr>
        <w:footnoteReference w:id="5"/>
      </w:r>
    </w:p>
    <w:p w14:paraId="6F2ED3E2" w14:textId="108824D9" w:rsidR="00EC6F87" w:rsidRDefault="00A21FA2" w:rsidP="00EC6F87">
      <w:pPr>
        <w:pStyle w:val="Listenabsatz"/>
        <w:numPr>
          <w:ilvl w:val="0"/>
          <w:numId w:val="2"/>
        </w:numPr>
        <w:rPr>
          <w:color w:val="000000"/>
        </w:rPr>
      </w:pPr>
      <w:r>
        <w:rPr>
          <w:color w:val="000000"/>
        </w:rPr>
        <w:t>I</w:t>
      </w:r>
      <w:r w:rsidR="00114D51">
        <w:rPr>
          <w:color w:val="000000"/>
        </w:rPr>
        <w:t xml:space="preserve">n </w:t>
      </w:r>
      <w:r w:rsidR="00A96E29">
        <w:rPr>
          <w:color w:val="000000"/>
        </w:rPr>
        <w:t>Non-E</w:t>
      </w:r>
      <w:r w:rsidR="00CF0967">
        <w:rPr>
          <w:color w:val="000000"/>
        </w:rPr>
        <w:t>TS-Anlagen</w:t>
      </w:r>
      <w:r w:rsidR="00114D51">
        <w:rPr>
          <w:color w:val="000000"/>
        </w:rPr>
        <w:t xml:space="preserve"> </w:t>
      </w:r>
      <w:r w:rsidR="001028CB">
        <w:rPr>
          <w:color w:val="000000"/>
        </w:rPr>
        <w:t>genutzt</w:t>
      </w:r>
      <w:r>
        <w:rPr>
          <w:color w:val="000000"/>
        </w:rPr>
        <w:t>e Brennstoffmengen des Berechtigten</w:t>
      </w:r>
      <w:r w:rsidR="001C77B7">
        <w:rPr>
          <w:rStyle w:val="Funotenzeichen"/>
          <w:color w:val="000000"/>
        </w:rPr>
        <w:footnoteReference w:id="6"/>
      </w:r>
    </w:p>
    <w:p w14:paraId="72838560" w14:textId="77777777" w:rsidR="0040311C" w:rsidRDefault="001028CB" w:rsidP="009446F6">
      <w:pPr>
        <w:pStyle w:val="Listenabsatz"/>
        <w:numPr>
          <w:ilvl w:val="0"/>
          <w:numId w:val="2"/>
        </w:numPr>
        <w:rPr>
          <w:color w:val="000000"/>
        </w:rPr>
      </w:pPr>
      <w:r>
        <w:rPr>
          <w:color w:val="000000"/>
        </w:rPr>
        <w:t xml:space="preserve">Durchschnittlicher CO2-Preis des </w:t>
      </w:r>
      <w:r w:rsidR="00514792">
        <w:rPr>
          <w:color w:val="000000"/>
        </w:rPr>
        <w:t>Bezugsjahres</w:t>
      </w:r>
      <w:r w:rsidR="00786266">
        <w:rPr>
          <w:rStyle w:val="Funotenzeichen"/>
          <w:color w:val="000000"/>
        </w:rPr>
        <w:footnoteReference w:id="7"/>
      </w:r>
    </w:p>
    <w:p w14:paraId="3AA0B2E1" w14:textId="77777777" w:rsidR="0031035F" w:rsidRDefault="0031035F" w:rsidP="0031035F">
      <w:pPr>
        <w:rPr>
          <w:color w:val="000000"/>
        </w:rPr>
      </w:pPr>
    </w:p>
    <w:p w14:paraId="41FB3715" w14:textId="0A82020C" w:rsidR="00F83CB8" w:rsidRDefault="000000AD" w:rsidP="0031035F">
      <w:pPr>
        <w:rPr>
          <w:color w:val="000000"/>
        </w:rPr>
      </w:pPr>
      <w:r>
        <w:rPr>
          <w:color w:val="000000"/>
        </w:rPr>
        <w:lastRenderedPageBreak/>
        <w:t xml:space="preserve">Liegen diese Daten vor, so </w:t>
      </w:r>
      <w:r w:rsidR="00424819">
        <w:rPr>
          <w:color w:val="000000"/>
        </w:rPr>
        <w:t xml:space="preserve">wird anhand einer Formel </w:t>
      </w:r>
      <w:r w:rsidR="00D2033F">
        <w:rPr>
          <w:color w:val="000000"/>
        </w:rPr>
        <w:t xml:space="preserve">(s. </w:t>
      </w:r>
      <w:r w:rsidR="00D2033F" w:rsidRPr="00D2033F">
        <w:rPr>
          <w:color w:val="000000"/>
        </w:rPr>
        <w:t>Berechnungsmechanismus</w:t>
      </w:r>
      <w:r w:rsidR="00D2033F">
        <w:rPr>
          <w:color w:val="000000"/>
        </w:rPr>
        <w:t xml:space="preserve">) </w:t>
      </w:r>
      <w:r w:rsidR="00424819">
        <w:rPr>
          <w:color w:val="000000"/>
        </w:rPr>
        <w:t>d</w:t>
      </w:r>
      <w:r w:rsidR="0010377C">
        <w:rPr>
          <w:color w:val="000000"/>
        </w:rPr>
        <w:t xml:space="preserve">ie Höhe des </w:t>
      </w:r>
      <w:r w:rsidR="00C43FAF">
        <w:rPr>
          <w:color w:val="000000"/>
        </w:rPr>
        <w:t xml:space="preserve">Belastungsausgleichs </w:t>
      </w:r>
      <w:r w:rsidR="0010377C">
        <w:rPr>
          <w:color w:val="000000"/>
        </w:rPr>
        <w:t xml:space="preserve">berechnet und </w:t>
      </w:r>
      <w:r w:rsidR="00C43FAF">
        <w:rPr>
          <w:color w:val="000000"/>
        </w:rPr>
        <w:t xml:space="preserve">von der zuständigen </w:t>
      </w:r>
      <w:r w:rsidR="00085FF7">
        <w:rPr>
          <w:color w:val="000000"/>
        </w:rPr>
        <w:t xml:space="preserve">Behörde </w:t>
      </w:r>
      <w:r w:rsidR="0010377C">
        <w:rPr>
          <w:color w:val="000000"/>
        </w:rPr>
        <w:t>ausgezahlt</w:t>
      </w:r>
      <w:r w:rsidR="000D0B9A">
        <w:rPr>
          <w:color w:val="000000"/>
        </w:rPr>
        <w:t xml:space="preserve">. </w:t>
      </w:r>
      <w:r w:rsidR="00C5723E">
        <w:rPr>
          <w:color w:val="000000"/>
        </w:rPr>
        <w:t xml:space="preserve">Diese Methode ist </w:t>
      </w:r>
      <w:r w:rsidR="003F19FD">
        <w:rPr>
          <w:color w:val="000000"/>
        </w:rPr>
        <w:t>jederzeit umsetzbar</w:t>
      </w:r>
      <w:r w:rsidR="00640F21">
        <w:rPr>
          <w:color w:val="000000"/>
        </w:rPr>
        <w:t>.</w:t>
      </w:r>
      <w:r w:rsidR="00B76616">
        <w:rPr>
          <w:color w:val="000000"/>
        </w:rPr>
        <w:t xml:space="preserve"> </w:t>
      </w:r>
      <w:r w:rsidR="00976FCD">
        <w:rPr>
          <w:color w:val="000000"/>
        </w:rPr>
        <w:t xml:space="preserve">Beispielhaft zeigt die Grafik </w:t>
      </w:r>
      <w:r w:rsidR="0036195A">
        <w:rPr>
          <w:color w:val="000000"/>
        </w:rPr>
        <w:t>das Schema der Methodik eine</w:t>
      </w:r>
      <w:r w:rsidR="00A21FA2">
        <w:rPr>
          <w:color w:val="000000"/>
        </w:rPr>
        <w:t>s</w:t>
      </w:r>
      <w:r w:rsidR="0036195A">
        <w:rPr>
          <w:color w:val="000000"/>
        </w:rPr>
        <w:t xml:space="preserve"> effektiven und bürokratiearmen </w:t>
      </w:r>
      <w:r w:rsidR="00A17A43">
        <w:rPr>
          <w:color w:val="000000"/>
        </w:rPr>
        <w:t>Belastungsausgleich</w:t>
      </w:r>
      <w:r w:rsidR="00A21FA2">
        <w:rPr>
          <w:color w:val="000000"/>
        </w:rPr>
        <w:t>s</w:t>
      </w:r>
      <w:r w:rsidR="0036195A">
        <w:rPr>
          <w:color w:val="000000"/>
        </w:rPr>
        <w:t xml:space="preserve"> für die Jahre </w:t>
      </w:r>
      <w:r w:rsidR="009F05AA">
        <w:rPr>
          <w:color w:val="000000"/>
        </w:rPr>
        <w:t>2021 und 2022</w:t>
      </w:r>
      <w:r w:rsidR="00A17A43">
        <w:rPr>
          <w:color w:val="000000"/>
        </w:rPr>
        <w:t>:</w:t>
      </w:r>
    </w:p>
    <w:p w14:paraId="5D7CF632" w14:textId="77777777" w:rsidR="009F05AA" w:rsidRDefault="00A17A43" w:rsidP="0031035F">
      <w:pPr>
        <w:rPr>
          <w:color w:val="000000"/>
        </w:rPr>
      </w:pPr>
      <w:r>
        <w:rPr>
          <w:noProof/>
          <w:color w:val="000000"/>
        </w:rPr>
        <mc:AlternateContent>
          <mc:Choice Requires="wps">
            <w:drawing>
              <wp:anchor distT="0" distB="0" distL="114300" distR="114300" simplePos="0" relativeHeight="251615232" behindDoc="0" locked="0" layoutInCell="1" allowOverlap="1" wp14:anchorId="7C96851E" wp14:editId="357DBBA5">
                <wp:simplePos x="0" y="0"/>
                <wp:positionH relativeFrom="margin">
                  <wp:posOffset>3379470</wp:posOffset>
                </wp:positionH>
                <wp:positionV relativeFrom="paragraph">
                  <wp:posOffset>283210</wp:posOffset>
                </wp:positionV>
                <wp:extent cx="2353310" cy="1362075"/>
                <wp:effectExtent l="0" t="0" r="27940" b="28575"/>
                <wp:wrapSquare wrapText="bothSides"/>
                <wp:docPr id="4" name="Rechteck 4"/>
                <wp:cNvGraphicFramePr/>
                <a:graphic xmlns:a="http://schemas.openxmlformats.org/drawingml/2006/main">
                  <a:graphicData uri="http://schemas.microsoft.com/office/word/2010/wordprocessingShape">
                    <wps:wsp>
                      <wps:cNvSpPr/>
                      <wps:spPr>
                        <a:xfrm>
                          <a:off x="0" y="0"/>
                          <a:ext cx="2353310" cy="1362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C9C6D8" w14:textId="77777777" w:rsidR="00FC5F17" w:rsidRPr="00836874" w:rsidRDefault="00382B8B" w:rsidP="00FC5F17">
                            <w:pPr>
                              <w:jc w:val="center"/>
                              <w:rPr>
                                <w:b/>
                                <w:bCs/>
                                <w:sz w:val="20"/>
                                <w:szCs w:val="20"/>
                              </w:rPr>
                            </w:pPr>
                            <w:r w:rsidRPr="00836874">
                              <w:rPr>
                                <w:b/>
                                <w:bCs/>
                                <w:sz w:val="20"/>
                                <w:szCs w:val="20"/>
                              </w:rPr>
                              <w:t>Q</w:t>
                            </w:r>
                            <w:r w:rsidR="003B3EB8">
                              <w:rPr>
                                <w:b/>
                                <w:bCs/>
                                <w:sz w:val="20"/>
                                <w:szCs w:val="20"/>
                              </w:rPr>
                              <w:t>2</w:t>
                            </w:r>
                            <w:r w:rsidR="00FC5F17" w:rsidRPr="00836874">
                              <w:rPr>
                                <w:b/>
                                <w:bCs/>
                                <w:sz w:val="20"/>
                                <w:szCs w:val="20"/>
                              </w:rPr>
                              <w:t>/202</w:t>
                            </w:r>
                            <w:r w:rsidR="00ED4276" w:rsidRPr="00836874">
                              <w:rPr>
                                <w:b/>
                                <w:bCs/>
                                <w:sz w:val="20"/>
                                <w:szCs w:val="20"/>
                              </w:rPr>
                              <w:t>2</w:t>
                            </w:r>
                          </w:p>
                          <w:p w14:paraId="47DE09FC" w14:textId="77777777" w:rsidR="00D91EDE" w:rsidRPr="00836874" w:rsidRDefault="00D91EDE" w:rsidP="00FC5F17">
                            <w:pPr>
                              <w:jc w:val="center"/>
                              <w:rPr>
                                <w:b/>
                                <w:bCs/>
                                <w:sz w:val="20"/>
                                <w:szCs w:val="20"/>
                              </w:rPr>
                            </w:pPr>
                          </w:p>
                          <w:p w14:paraId="2C31E742" w14:textId="6BACC8C7" w:rsidR="00D91EDE" w:rsidRPr="00836874" w:rsidRDefault="00CC1AE3" w:rsidP="000B4C04">
                            <w:pPr>
                              <w:jc w:val="center"/>
                              <w:rPr>
                                <w:sz w:val="20"/>
                                <w:szCs w:val="20"/>
                              </w:rPr>
                            </w:pPr>
                            <w:r w:rsidRPr="00836874">
                              <w:rPr>
                                <w:sz w:val="20"/>
                                <w:szCs w:val="20"/>
                              </w:rPr>
                              <w:t>Ermittlung des Belastungsausgleichs</w:t>
                            </w:r>
                            <w:r w:rsidR="00895A6A" w:rsidRPr="00836874">
                              <w:rPr>
                                <w:sz w:val="20"/>
                                <w:szCs w:val="20"/>
                              </w:rPr>
                              <w:t xml:space="preserve"> durch die zuständige Behörde</w:t>
                            </w:r>
                            <w:r w:rsidR="00C13E66">
                              <w:rPr>
                                <w:sz w:val="20"/>
                                <w:szCs w:val="20"/>
                              </w:rPr>
                              <w:t xml:space="preserve"> </w:t>
                            </w:r>
                          </w:p>
                          <w:p w14:paraId="1181993C" w14:textId="77777777" w:rsidR="00380616" w:rsidRPr="00836874" w:rsidRDefault="00380616" w:rsidP="00FC5F17">
                            <w:pPr>
                              <w:jc w:val="center"/>
                              <w:rPr>
                                <w:sz w:val="20"/>
                                <w:szCs w:val="20"/>
                              </w:rPr>
                            </w:pPr>
                          </w:p>
                          <w:p w14:paraId="33E04680" w14:textId="77777777" w:rsidR="00380616" w:rsidRPr="00836874" w:rsidRDefault="00380616" w:rsidP="000B4C04">
                            <w:pPr>
                              <w:jc w:val="center"/>
                              <w:rPr>
                                <w:sz w:val="20"/>
                                <w:szCs w:val="20"/>
                              </w:rPr>
                            </w:pPr>
                            <w:r w:rsidRPr="00836874">
                              <w:rPr>
                                <w:sz w:val="20"/>
                                <w:szCs w:val="20"/>
                              </w:rPr>
                              <w:t>Auszahlung</w:t>
                            </w:r>
                          </w:p>
                          <w:p w14:paraId="3DFD5CB7" w14:textId="77777777" w:rsidR="00424964" w:rsidRPr="00130E79" w:rsidRDefault="00424964" w:rsidP="00FC5F1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6851E" id="Rechteck 4" o:spid="_x0000_s1026" style="position:absolute;margin-left:266.1pt;margin-top:22.3pt;width:185.3pt;height:107.2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" fillcolor="#4f81bd [3204]" strokecolor="#243f60 [1604]" strokeweight="2pt">
                <v:textbox>
                  <w:txbxContent>
                    <w:p w14:paraId="30C9C6D8" w14:textId="77777777" w:rsidR="00FC5F17" w:rsidRPr="00836874" w:rsidRDefault="00382B8B" w:rsidP="00FC5F17">
                      <w:pPr>
                        <w:jc w:val="center"/>
                        <w:rPr>
                          <w:b/>
                          <w:bCs/>
                          <w:sz w:val="20"/>
                          <w:szCs w:val="20"/>
                        </w:rPr>
                      </w:pPr>
                      <w:r w:rsidRPr="00836874">
                        <w:rPr>
                          <w:b/>
                          <w:bCs/>
                          <w:sz w:val="20"/>
                          <w:szCs w:val="20"/>
                        </w:rPr>
                        <w:t>Q</w:t>
                      </w:r>
                      <w:r w:rsidR="003B3EB8">
                        <w:rPr>
                          <w:b/>
                          <w:bCs/>
                          <w:sz w:val="20"/>
                          <w:szCs w:val="20"/>
                        </w:rPr>
                        <w:t>2</w:t>
                      </w:r>
                      <w:r w:rsidR="00FC5F17" w:rsidRPr="00836874">
                        <w:rPr>
                          <w:b/>
                          <w:bCs/>
                          <w:sz w:val="20"/>
                          <w:szCs w:val="20"/>
                        </w:rPr>
                        <w:t>/202</w:t>
                      </w:r>
                      <w:r w:rsidR="00ED4276" w:rsidRPr="00836874">
                        <w:rPr>
                          <w:b/>
                          <w:bCs/>
                          <w:sz w:val="20"/>
                          <w:szCs w:val="20"/>
                        </w:rPr>
                        <w:t>2</w:t>
                      </w:r>
                    </w:p>
                    <w:p w14:paraId="47DE09FC" w14:textId="77777777" w:rsidR="00D91EDE" w:rsidRPr="00836874" w:rsidRDefault="00D91EDE" w:rsidP="00FC5F17">
                      <w:pPr>
                        <w:jc w:val="center"/>
                        <w:rPr>
                          <w:b/>
                          <w:bCs/>
                          <w:sz w:val="20"/>
                          <w:szCs w:val="20"/>
                        </w:rPr>
                      </w:pPr>
                    </w:p>
                    <w:p w14:paraId="2C31E742" w14:textId="6BACC8C7" w:rsidR="00D91EDE" w:rsidRPr="00836874" w:rsidRDefault="00CC1AE3" w:rsidP="000B4C04">
                      <w:pPr>
                        <w:jc w:val="center"/>
                        <w:rPr>
                          <w:sz w:val="20"/>
                          <w:szCs w:val="20"/>
                        </w:rPr>
                      </w:pPr>
                      <w:r w:rsidRPr="00836874">
                        <w:rPr>
                          <w:sz w:val="20"/>
                          <w:szCs w:val="20"/>
                        </w:rPr>
                        <w:t>Ermittlung des Belastungsausgleichs</w:t>
                      </w:r>
                      <w:r w:rsidR="00895A6A" w:rsidRPr="00836874">
                        <w:rPr>
                          <w:sz w:val="20"/>
                          <w:szCs w:val="20"/>
                        </w:rPr>
                        <w:t xml:space="preserve"> durch die zuständige Behörde</w:t>
                      </w:r>
                      <w:r w:rsidR="00C13E66">
                        <w:rPr>
                          <w:sz w:val="20"/>
                          <w:szCs w:val="20"/>
                        </w:rPr>
                        <w:t xml:space="preserve"> </w:t>
                      </w:r>
                    </w:p>
                    <w:p w14:paraId="1181993C" w14:textId="77777777" w:rsidR="00380616" w:rsidRPr="00836874" w:rsidRDefault="00380616" w:rsidP="00FC5F17">
                      <w:pPr>
                        <w:jc w:val="center"/>
                        <w:rPr>
                          <w:sz w:val="20"/>
                          <w:szCs w:val="20"/>
                        </w:rPr>
                      </w:pPr>
                    </w:p>
                    <w:p w14:paraId="33E04680" w14:textId="77777777" w:rsidR="00380616" w:rsidRPr="00836874" w:rsidRDefault="00380616" w:rsidP="000B4C04">
                      <w:pPr>
                        <w:jc w:val="center"/>
                        <w:rPr>
                          <w:sz w:val="20"/>
                          <w:szCs w:val="20"/>
                        </w:rPr>
                      </w:pPr>
                      <w:r w:rsidRPr="00836874">
                        <w:rPr>
                          <w:sz w:val="20"/>
                          <w:szCs w:val="20"/>
                        </w:rPr>
                        <w:t>Auszahlung</w:t>
                      </w:r>
                    </w:p>
                    <w:p w14:paraId="3DFD5CB7" w14:textId="77777777" w:rsidR="00424964" w:rsidRPr="00130E79" w:rsidRDefault="00424964" w:rsidP="00FC5F17">
                      <w:pPr>
                        <w:jc w:val="center"/>
                        <w:rPr>
                          <w:sz w:val="16"/>
                          <w:szCs w:val="16"/>
                        </w:rPr>
                      </w:pPr>
                    </w:p>
                  </w:txbxContent>
                </v:textbox>
                <w10:wrap type="square" anchorx="margin"/>
              </v:rect>
            </w:pict>
          </mc:Fallback>
        </mc:AlternateContent>
      </w:r>
      <w:r>
        <w:rPr>
          <w:noProof/>
          <w:color w:val="000000"/>
        </w:rPr>
        <mc:AlternateContent>
          <mc:Choice Requires="wps">
            <w:drawing>
              <wp:anchor distT="0" distB="0" distL="114300" distR="114300" simplePos="0" relativeHeight="251728896" behindDoc="0" locked="0" layoutInCell="1" allowOverlap="1" wp14:anchorId="33948A93" wp14:editId="6494F6E0">
                <wp:simplePos x="0" y="0"/>
                <wp:positionH relativeFrom="margin">
                  <wp:posOffset>0</wp:posOffset>
                </wp:positionH>
                <wp:positionV relativeFrom="paragraph">
                  <wp:posOffset>283210</wp:posOffset>
                </wp:positionV>
                <wp:extent cx="1466215" cy="1362075"/>
                <wp:effectExtent l="0" t="0" r="19685" b="28575"/>
                <wp:wrapSquare wrapText="bothSides"/>
                <wp:docPr id="38" name="Rechteck 38"/>
                <wp:cNvGraphicFramePr/>
                <a:graphic xmlns:a="http://schemas.openxmlformats.org/drawingml/2006/main">
                  <a:graphicData uri="http://schemas.microsoft.com/office/word/2010/wordprocessingShape">
                    <wps:wsp>
                      <wps:cNvSpPr/>
                      <wps:spPr>
                        <a:xfrm>
                          <a:off x="0" y="0"/>
                          <a:ext cx="1466215" cy="1362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0C3B93" w14:textId="77777777" w:rsidR="00E029F4" w:rsidRPr="00836874" w:rsidRDefault="00E029F4" w:rsidP="00E029F4">
                            <w:pPr>
                              <w:jc w:val="center"/>
                              <w:rPr>
                                <w:b/>
                                <w:bCs/>
                                <w:sz w:val="20"/>
                                <w:szCs w:val="20"/>
                              </w:rPr>
                            </w:pPr>
                            <w:r w:rsidRPr="00836874">
                              <w:rPr>
                                <w:b/>
                                <w:bCs/>
                                <w:sz w:val="20"/>
                                <w:szCs w:val="20"/>
                              </w:rPr>
                              <w:t>202</w:t>
                            </w:r>
                            <w:r>
                              <w:rPr>
                                <w:b/>
                                <w:bCs/>
                                <w:sz w:val="20"/>
                                <w:szCs w:val="20"/>
                              </w:rPr>
                              <w:t>1</w:t>
                            </w:r>
                          </w:p>
                          <w:p w14:paraId="46565DF4" w14:textId="77777777" w:rsidR="00B60743" w:rsidRPr="00836874" w:rsidRDefault="00B60743" w:rsidP="00E029F4">
                            <w:pPr>
                              <w:jc w:val="center"/>
                              <w:rPr>
                                <w:b/>
                                <w:bCs/>
                                <w:sz w:val="20"/>
                                <w:szCs w:val="20"/>
                              </w:rPr>
                            </w:pPr>
                          </w:p>
                          <w:p w14:paraId="7A5F3487" w14:textId="77777777" w:rsidR="00E029F4" w:rsidRDefault="00127F4B" w:rsidP="00E029F4">
                            <w:pPr>
                              <w:jc w:val="center"/>
                              <w:rPr>
                                <w:sz w:val="20"/>
                                <w:szCs w:val="20"/>
                              </w:rPr>
                            </w:pPr>
                            <w:r>
                              <w:rPr>
                                <w:sz w:val="20"/>
                                <w:szCs w:val="20"/>
                              </w:rPr>
                              <w:t xml:space="preserve">Unternehmen </w:t>
                            </w:r>
                            <w:r w:rsidR="00B60743">
                              <w:rPr>
                                <w:sz w:val="20"/>
                                <w:szCs w:val="20"/>
                              </w:rPr>
                              <w:t>registrieren in Non-ETS-Anlagen genutzte Brennstoffmengen</w:t>
                            </w:r>
                          </w:p>
                          <w:p w14:paraId="316F058C" w14:textId="77777777" w:rsidR="00B60743" w:rsidRPr="00836874" w:rsidRDefault="00B60743" w:rsidP="00E029F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48A93" id="Rechteck 38" o:spid="_x0000_s1027" style="position:absolute;margin-left:0;margin-top:22.3pt;width:115.45pt;height:107.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" fillcolor="#4f81bd [3204]" strokecolor="#243f60 [1604]" strokeweight="2pt">
                <v:textbox>
                  <w:txbxContent>
                    <w:p w14:paraId="4E0C3B93" w14:textId="77777777" w:rsidR="00E029F4" w:rsidRPr="00836874" w:rsidRDefault="00E029F4" w:rsidP="00E029F4">
                      <w:pPr>
                        <w:jc w:val="center"/>
                        <w:rPr>
                          <w:b/>
                          <w:bCs/>
                          <w:sz w:val="20"/>
                          <w:szCs w:val="20"/>
                        </w:rPr>
                      </w:pPr>
                      <w:r w:rsidRPr="00836874">
                        <w:rPr>
                          <w:b/>
                          <w:bCs/>
                          <w:sz w:val="20"/>
                          <w:szCs w:val="20"/>
                        </w:rPr>
                        <w:t>202</w:t>
                      </w:r>
                      <w:r>
                        <w:rPr>
                          <w:b/>
                          <w:bCs/>
                          <w:sz w:val="20"/>
                          <w:szCs w:val="20"/>
                        </w:rPr>
                        <w:t>1</w:t>
                      </w:r>
                    </w:p>
                    <w:p w14:paraId="46565DF4" w14:textId="77777777" w:rsidR="00B60743" w:rsidRPr="00836874" w:rsidRDefault="00B60743" w:rsidP="00E029F4">
                      <w:pPr>
                        <w:jc w:val="center"/>
                        <w:rPr>
                          <w:b/>
                          <w:bCs/>
                          <w:sz w:val="20"/>
                          <w:szCs w:val="20"/>
                        </w:rPr>
                      </w:pPr>
                    </w:p>
                    <w:p w14:paraId="7A5F3487" w14:textId="77777777" w:rsidR="00E029F4" w:rsidRDefault="00127F4B" w:rsidP="00E029F4">
                      <w:pPr>
                        <w:jc w:val="center"/>
                        <w:rPr>
                          <w:sz w:val="20"/>
                          <w:szCs w:val="20"/>
                        </w:rPr>
                      </w:pPr>
                      <w:r>
                        <w:rPr>
                          <w:sz w:val="20"/>
                          <w:szCs w:val="20"/>
                        </w:rPr>
                        <w:t xml:space="preserve">Unternehmen </w:t>
                      </w:r>
                      <w:r w:rsidR="00B60743">
                        <w:rPr>
                          <w:sz w:val="20"/>
                          <w:szCs w:val="20"/>
                        </w:rPr>
                        <w:t>registrieren in Non-ETS-Anlagen genutzte Brennstoffmengen</w:t>
                      </w:r>
                    </w:p>
                    <w:p w14:paraId="316F058C" w14:textId="77777777" w:rsidR="00B60743" w:rsidRPr="00836874" w:rsidRDefault="00B60743" w:rsidP="00E029F4">
                      <w:pPr>
                        <w:jc w:val="center"/>
                        <w:rPr>
                          <w:sz w:val="20"/>
                          <w:szCs w:val="20"/>
                        </w:rPr>
                      </w:pPr>
                    </w:p>
                  </w:txbxContent>
                </v:textbox>
                <w10:wrap type="square" anchorx="margin"/>
              </v:rect>
            </w:pict>
          </mc:Fallback>
        </mc:AlternateContent>
      </w:r>
      <w:r>
        <w:rPr>
          <w:noProof/>
          <w:color w:val="000000"/>
        </w:rPr>
        <mc:AlternateContent>
          <mc:Choice Requires="wps">
            <w:drawing>
              <wp:anchor distT="0" distB="0" distL="114300" distR="114300" simplePos="0" relativeHeight="251648000" behindDoc="0" locked="0" layoutInCell="1" allowOverlap="1" wp14:anchorId="41CFE889" wp14:editId="60189E98">
                <wp:simplePos x="0" y="0"/>
                <wp:positionH relativeFrom="margin">
                  <wp:posOffset>1671320</wp:posOffset>
                </wp:positionH>
                <wp:positionV relativeFrom="paragraph">
                  <wp:posOffset>285115</wp:posOffset>
                </wp:positionV>
                <wp:extent cx="1466215" cy="1362075"/>
                <wp:effectExtent l="0" t="0" r="19685" b="28575"/>
                <wp:wrapSquare wrapText="bothSides"/>
                <wp:docPr id="1" name="Rechteck 1"/>
                <wp:cNvGraphicFramePr/>
                <a:graphic xmlns:a="http://schemas.openxmlformats.org/drawingml/2006/main">
                  <a:graphicData uri="http://schemas.microsoft.com/office/word/2010/wordprocessingShape">
                    <wps:wsp>
                      <wps:cNvSpPr/>
                      <wps:spPr>
                        <a:xfrm>
                          <a:off x="0" y="0"/>
                          <a:ext cx="1466215" cy="1362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CEB7D7" w14:textId="77777777" w:rsidR="00681783" w:rsidRPr="00836874" w:rsidRDefault="003B3EB8" w:rsidP="00681783">
                            <w:pPr>
                              <w:jc w:val="center"/>
                              <w:rPr>
                                <w:b/>
                                <w:bCs/>
                                <w:sz w:val="20"/>
                                <w:szCs w:val="20"/>
                              </w:rPr>
                            </w:pPr>
                            <w:r>
                              <w:rPr>
                                <w:b/>
                                <w:bCs/>
                                <w:sz w:val="20"/>
                                <w:szCs w:val="20"/>
                              </w:rPr>
                              <w:t>Q1</w:t>
                            </w:r>
                            <w:r w:rsidR="00F959A5" w:rsidRPr="00836874">
                              <w:rPr>
                                <w:b/>
                                <w:bCs/>
                                <w:sz w:val="20"/>
                                <w:szCs w:val="20"/>
                              </w:rPr>
                              <w:t>/202</w:t>
                            </w:r>
                            <w:r w:rsidR="004604DF" w:rsidRPr="00836874">
                              <w:rPr>
                                <w:b/>
                                <w:bCs/>
                                <w:sz w:val="20"/>
                                <w:szCs w:val="20"/>
                              </w:rPr>
                              <w:t>2</w:t>
                            </w:r>
                          </w:p>
                          <w:p w14:paraId="676F9A48" w14:textId="77777777" w:rsidR="00D91EDE" w:rsidRPr="00836874" w:rsidRDefault="00D91EDE" w:rsidP="00681783">
                            <w:pPr>
                              <w:jc w:val="center"/>
                              <w:rPr>
                                <w:b/>
                                <w:bCs/>
                                <w:sz w:val="20"/>
                                <w:szCs w:val="20"/>
                              </w:rPr>
                            </w:pPr>
                          </w:p>
                          <w:p w14:paraId="3F7E9AA4" w14:textId="77777777" w:rsidR="00F959A5" w:rsidRPr="00836874" w:rsidRDefault="00E029F4" w:rsidP="00681783">
                            <w:pPr>
                              <w:jc w:val="center"/>
                              <w:rPr>
                                <w:sz w:val="20"/>
                                <w:szCs w:val="20"/>
                              </w:rPr>
                            </w:pPr>
                            <w:r w:rsidRPr="0053000F">
                              <w:rPr>
                                <w:sz w:val="20"/>
                                <w:szCs w:val="20"/>
                              </w:rPr>
                              <w:t xml:space="preserve">Meldung der </w:t>
                            </w:r>
                            <w:r w:rsidR="0041005F" w:rsidRPr="00836874">
                              <w:rPr>
                                <w:sz w:val="20"/>
                                <w:szCs w:val="20"/>
                              </w:rPr>
                              <w:t xml:space="preserve">verbrauchten </w:t>
                            </w:r>
                            <w:r w:rsidR="00EC28A9" w:rsidRPr="00836874">
                              <w:rPr>
                                <w:sz w:val="20"/>
                                <w:szCs w:val="20"/>
                              </w:rPr>
                              <w:t>Brennstoffmengen aus 202</w:t>
                            </w:r>
                            <w:r w:rsidR="004604DF" w:rsidRPr="00836874">
                              <w:rPr>
                                <w:sz w:val="20"/>
                                <w:szCs w:val="20"/>
                              </w:rPr>
                              <w:t>1</w:t>
                            </w:r>
                            <w:r w:rsidR="00885DE9" w:rsidRPr="00836874">
                              <w:rPr>
                                <w:sz w:val="20"/>
                                <w:szCs w:val="20"/>
                              </w:rPr>
                              <w:t xml:space="preserve"> an die zuständige Behörde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FE889" id="Rechteck 1" o:spid="_x0000_s1028" style="position:absolute;margin-left:131.6pt;margin-top:22.45pt;width:115.45pt;height:107.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" fillcolor="#4f81bd [3204]" strokecolor="#243f60 [1604]" strokeweight="2pt">
                <v:textbox>
                  <w:txbxContent>
                    <w:p w14:paraId="7ACEB7D7" w14:textId="77777777" w:rsidR="00681783" w:rsidRPr="00836874" w:rsidRDefault="003B3EB8" w:rsidP="00681783">
                      <w:pPr>
                        <w:jc w:val="center"/>
                        <w:rPr>
                          <w:b/>
                          <w:bCs/>
                          <w:sz w:val="20"/>
                          <w:szCs w:val="20"/>
                        </w:rPr>
                      </w:pPr>
                      <w:r>
                        <w:rPr>
                          <w:b/>
                          <w:bCs/>
                          <w:sz w:val="20"/>
                          <w:szCs w:val="20"/>
                        </w:rPr>
                        <w:t>Q1</w:t>
                      </w:r>
                      <w:r w:rsidR="00F959A5" w:rsidRPr="00836874">
                        <w:rPr>
                          <w:b/>
                          <w:bCs/>
                          <w:sz w:val="20"/>
                          <w:szCs w:val="20"/>
                        </w:rPr>
                        <w:t>/202</w:t>
                      </w:r>
                      <w:r w:rsidR="004604DF" w:rsidRPr="00836874">
                        <w:rPr>
                          <w:b/>
                          <w:bCs/>
                          <w:sz w:val="20"/>
                          <w:szCs w:val="20"/>
                        </w:rPr>
                        <w:t>2</w:t>
                      </w:r>
                    </w:p>
                    <w:p w14:paraId="676F9A48" w14:textId="77777777" w:rsidR="00D91EDE" w:rsidRPr="00836874" w:rsidRDefault="00D91EDE" w:rsidP="00681783">
                      <w:pPr>
                        <w:jc w:val="center"/>
                        <w:rPr>
                          <w:b/>
                          <w:bCs/>
                          <w:sz w:val="20"/>
                          <w:szCs w:val="20"/>
                        </w:rPr>
                      </w:pPr>
                    </w:p>
                    <w:p w14:paraId="3F7E9AA4" w14:textId="77777777" w:rsidR="00F959A5" w:rsidRPr="00836874" w:rsidRDefault="00E029F4" w:rsidP="00681783">
                      <w:pPr>
                        <w:jc w:val="center"/>
                        <w:rPr>
                          <w:sz w:val="20"/>
                          <w:szCs w:val="20"/>
                        </w:rPr>
                      </w:pPr>
                      <w:r w:rsidRPr="0053000F">
                        <w:rPr>
                          <w:sz w:val="20"/>
                          <w:szCs w:val="20"/>
                        </w:rPr>
                        <w:t xml:space="preserve">Meldung der </w:t>
                      </w:r>
                      <w:r w:rsidR="0041005F" w:rsidRPr="00836874">
                        <w:rPr>
                          <w:sz w:val="20"/>
                          <w:szCs w:val="20"/>
                        </w:rPr>
                        <w:t xml:space="preserve">verbrauchten </w:t>
                      </w:r>
                      <w:r w:rsidR="00EC28A9" w:rsidRPr="00836874">
                        <w:rPr>
                          <w:sz w:val="20"/>
                          <w:szCs w:val="20"/>
                        </w:rPr>
                        <w:t>Brennstoffmengen aus 202</w:t>
                      </w:r>
                      <w:r w:rsidR="004604DF" w:rsidRPr="00836874">
                        <w:rPr>
                          <w:sz w:val="20"/>
                          <w:szCs w:val="20"/>
                        </w:rPr>
                        <w:t>1</w:t>
                      </w:r>
                      <w:r w:rsidR="00885DE9" w:rsidRPr="00836874">
                        <w:rPr>
                          <w:sz w:val="20"/>
                          <w:szCs w:val="20"/>
                        </w:rPr>
                        <w:t xml:space="preserve"> an die zuständige Behörde</w:t>
                      </w:r>
                    </w:p>
                  </w:txbxContent>
                </v:textbox>
                <w10:wrap type="square" anchorx="margin"/>
              </v:rect>
            </w:pict>
          </mc:Fallback>
        </mc:AlternateContent>
      </w:r>
      <w:r>
        <w:rPr>
          <w:noProof/>
          <w:color w:val="000000"/>
        </w:rPr>
        <mc:AlternateContent>
          <mc:Choice Requires="wps">
            <w:drawing>
              <wp:anchor distT="0" distB="0" distL="114300" distR="114300" simplePos="0" relativeHeight="251695104" behindDoc="0" locked="0" layoutInCell="1" allowOverlap="1" wp14:anchorId="2B890A5B" wp14:editId="435F166E">
                <wp:simplePos x="0" y="0"/>
                <wp:positionH relativeFrom="margin">
                  <wp:posOffset>3052445</wp:posOffset>
                </wp:positionH>
                <wp:positionV relativeFrom="paragraph">
                  <wp:posOffset>760095</wp:posOffset>
                </wp:positionV>
                <wp:extent cx="490855" cy="375285"/>
                <wp:effectExtent l="0" t="19050" r="42545" b="43815"/>
                <wp:wrapNone/>
                <wp:docPr id="18" name="Pfeil: nach rechts 18"/>
                <wp:cNvGraphicFramePr/>
                <a:graphic xmlns:a="http://schemas.openxmlformats.org/drawingml/2006/main">
                  <a:graphicData uri="http://schemas.microsoft.com/office/word/2010/wordprocessingShape">
                    <wps:wsp>
                      <wps:cNvSpPr/>
                      <wps:spPr>
                        <a:xfrm>
                          <a:off x="0" y="0"/>
                          <a:ext cx="490855" cy="375285"/>
                        </a:xfrm>
                        <a:prstGeom prst="rightArrow">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43A4F" w14:textId="77777777" w:rsidR="000B4C04" w:rsidRDefault="000B4C04" w:rsidP="000B4C04">
                            <w:pPr>
                              <w:jc w:val="center"/>
                            </w:pPr>
                            <w:r>
                              <w:t>x</w:t>
                            </w:r>
                            <w:r w:rsidRPr="000B4C04">
                              <w:rPr>
                                <w:noProof/>
                              </w:rPr>
                              <w:drawing>
                                <wp:inline distT="0" distB="0" distL="0" distR="0" wp14:anchorId="3A823FD1" wp14:editId="31D718BB">
                                  <wp:extent cx="0" cy="0"/>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90A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8" o:spid="_x0000_s1029" type="#_x0000_t13" style="position:absolute;margin-left:240.35pt;margin-top:59.85pt;width:38.65pt;height:29.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" adj="13343" fillcolor="white [3212]" strokecolor="#1f497d [3215]" strokeweight="2pt">
                <v:textbox>
                  <w:txbxContent>
                    <w:p w14:paraId="3E443A4F" w14:textId="77777777" w:rsidR="000B4C04" w:rsidRDefault="000B4C04" w:rsidP="000B4C04">
                      <w:pPr>
                        <w:jc w:val="center"/>
                      </w:pPr>
                      <w:r>
                        <w:t>x</w:t>
                      </w:r>
                      <w:r w:rsidRPr="000B4C04">
                        <w:rPr>
                          <w:noProof/>
                        </w:rPr>
                        <w:drawing>
                          <wp:inline distT="0" distB="0" distL="0" distR="0" wp14:anchorId="3A823FD1" wp14:editId="31D718BB">
                            <wp:extent cx="0" cy="0"/>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noProof/>
          <w:color w:val="000000"/>
        </w:rPr>
        <mc:AlternateContent>
          <mc:Choice Requires="wps">
            <w:drawing>
              <wp:anchor distT="0" distB="0" distL="114300" distR="114300" simplePos="0" relativeHeight="251744256" behindDoc="0" locked="0" layoutInCell="1" allowOverlap="1" wp14:anchorId="31EC5DD7" wp14:editId="53D8DFD0">
                <wp:simplePos x="0" y="0"/>
                <wp:positionH relativeFrom="margin">
                  <wp:posOffset>1296035</wp:posOffset>
                </wp:positionH>
                <wp:positionV relativeFrom="paragraph">
                  <wp:posOffset>782955</wp:posOffset>
                </wp:positionV>
                <wp:extent cx="490855" cy="375641"/>
                <wp:effectExtent l="0" t="19050" r="42545" b="43815"/>
                <wp:wrapNone/>
                <wp:docPr id="39" name="Pfeil: nach rechts 39"/>
                <wp:cNvGraphicFramePr/>
                <a:graphic xmlns:a="http://schemas.openxmlformats.org/drawingml/2006/main">
                  <a:graphicData uri="http://schemas.microsoft.com/office/word/2010/wordprocessingShape">
                    <wps:wsp>
                      <wps:cNvSpPr/>
                      <wps:spPr>
                        <a:xfrm>
                          <a:off x="0" y="0"/>
                          <a:ext cx="490855" cy="375641"/>
                        </a:xfrm>
                        <a:prstGeom prst="rightArrow">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D65A2" w14:textId="77777777" w:rsidR="00B60743" w:rsidRDefault="00B60743" w:rsidP="00B60743">
                            <w:pPr>
                              <w:jc w:val="center"/>
                            </w:pPr>
                            <w:r>
                              <w:t>x</w:t>
                            </w:r>
                            <w:r w:rsidRPr="000B4C04">
                              <w:rPr>
                                <w:noProof/>
                              </w:rPr>
                              <w:drawing>
                                <wp:inline distT="0" distB="0" distL="0" distR="0" wp14:anchorId="23DC95AD" wp14:editId="6066DC39">
                                  <wp:extent cx="0" cy="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C5DD7" id="Pfeil: nach rechts 39" o:spid="_x0000_s1030" type="#_x0000_t13" style="position:absolute;margin-left:102.05pt;margin-top:61.65pt;width:38.65pt;height:29.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" adj="13335" fillcolor="white [3212]" strokecolor="#1f497d [3215]" strokeweight="2pt">
                <v:textbox>
                  <w:txbxContent>
                    <w:p w14:paraId="275D65A2" w14:textId="77777777" w:rsidR="00B60743" w:rsidRDefault="00B60743" w:rsidP="00B60743">
                      <w:pPr>
                        <w:jc w:val="center"/>
                      </w:pPr>
                      <w:r>
                        <w:t>x</w:t>
                      </w:r>
                      <w:r w:rsidRPr="000B4C04">
                        <w:rPr>
                          <w:noProof/>
                        </w:rPr>
                        <w:drawing>
                          <wp:inline distT="0" distB="0" distL="0" distR="0" wp14:anchorId="23DC95AD" wp14:editId="6066DC39">
                            <wp:extent cx="0" cy="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sidR="000B4C04">
        <w:rPr>
          <w:noProof/>
          <w:color w:val="000000"/>
        </w:rPr>
        <mc:AlternateContent>
          <mc:Choice Requires="wps">
            <w:drawing>
              <wp:anchor distT="0" distB="0" distL="114300" distR="114300" simplePos="0" relativeHeight="251664384" behindDoc="0" locked="0" layoutInCell="1" allowOverlap="1" wp14:anchorId="420F1F2E" wp14:editId="592C01C6">
                <wp:simplePos x="0" y="0"/>
                <wp:positionH relativeFrom="column">
                  <wp:posOffset>-2621915</wp:posOffset>
                </wp:positionH>
                <wp:positionV relativeFrom="paragraph">
                  <wp:posOffset>518795</wp:posOffset>
                </wp:positionV>
                <wp:extent cx="255905" cy="197485"/>
                <wp:effectExtent l="0" t="19050" r="29845" b="31115"/>
                <wp:wrapNone/>
                <wp:docPr id="9" name="Pfeil: nach rechts 9"/>
                <wp:cNvGraphicFramePr/>
                <a:graphic xmlns:a="http://schemas.openxmlformats.org/drawingml/2006/main">
                  <a:graphicData uri="http://schemas.microsoft.com/office/word/2010/wordprocessingShape">
                    <wps:wsp>
                      <wps:cNvSpPr/>
                      <wps:spPr>
                        <a:xfrm>
                          <a:off x="0" y="0"/>
                          <a:ext cx="255905" cy="197485"/>
                        </a:xfrm>
                        <a:prstGeom prst="rightArrow">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CB7EE" w14:textId="77777777" w:rsidR="000B4C04" w:rsidRDefault="000B4C04" w:rsidP="000B4C04">
                            <w:pPr>
                              <w:jc w:val="center"/>
                            </w:pPr>
                            <w:r>
                              <w:t>x</w:t>
                            </w:r>
                            <w:r w:rsidRPr="000B4C04">
                              <w:rPr>
                                <w:noProof/>
                              </w:rPr>
                              <w:drawing>
                                <wp:inline distT="0" distB="0" distL="0" distR="0" wp14:anchorId="651B5065" wp14:editId="63E81CCA">
                                  <wp:extent cx="0" cy="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F1F2E" id="Pfeil: nach rechts 9" o:spid="_x0000_s1031" type="#_x0000_t13" style="position:absolute;margin-left:-206.45pt;margin-top:40.85pt;width:20.15pt;height: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" adj="13266" fillcolor="white [3212]" strokecolor="#1f497d [3215]" strokeweight="2pt">
                <v:textbox>
                  <w:txbxContent>
                    <w:p w14:paraId="2CDCB7EE" w14:textId="77777777" w:rsidR="000B4C04" w:rsidRDefault="000B4C04" w:rsidP="000B4C04">
                      <w:pPr>
                        <w:jc w:val="center"/>
                      </w:pPr>
                      <w:r>
                        <w:t>x</w:t>
                      </w:r>
                      <w:r w:rsidRPr="000B4C04">
                        <w:rPr>
                          <w:noProof/>
                        </w:rPr>
                        <w:drawing>
                          <wp:inline distT="0" distB="0" distL="0" distR="0" wp14:anchorId="651B5065" wp14:editId="63E81CCA">
                            <wp:extent cx="0" cy="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0B4C04">
        <w:rPr>
          <w:noProof/>
          <w:color w:val="000000"/>
        </w:rPr>
        <mc:AlternateContent>
          <mc:Choice Requires="wps">
            <w:drawing>
              <wp:anchor distT="0" distB="0" distL="114300" distR="114300" simplePos="0" relativeHeight="251656192" behindDoc="0" locked="0" layoutInCell="1" allowOverlap="1" wp14:anchorId="084CEF83" wp14:editId="0A8D1B42">
                <wp:simplePos x="0" y="0"/>
                <wp:positionH relativeFrom="column">
                  <wp:posOffset>-3799840</wp:posOffset>
                </wp:positionH>
                <wp:positionV relativeFrom="paragraph">
                  <wp:posOffset>518795</wp:posOffset>
                </wp:positionV>
                <wp:extent cx="255905" cy="197485"/>
                <wp:effectExtent l="0" t="19050" r="29845" b="31115"/>
                <wp:wrapNone/>
                <wp:docPr id="7" name="Pfeil: nach rechts 7"/>
                <wp:cNvGraphicFramePr/>
                <a:graphic xmlns:a="http://schemas.openxmlformats.org/drawingml/2006/main">
                  <a:graphicData uri="http://schemas.microsoft.com/office/word/2010/wordprocessingShape">
                    <wps:wsp>
                      <wps:cNvSpPr/>
                      <wps:spPr>
                        <a:xfrm>
                          <a:off x="0" y="0"/>
                          <a:ext cx="255905" cy="197485"/>
                        </a:xfrm>
                        <a:prstGeom prst="rightArrow">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266656" id="Pfeil: nach rechts 7" o:spid="_x0000_s1026" type="#_x0000_t13" style="position:absolute;margin-left:-299.2pt;margin-top:40.85pt;width:20.15pt;height:15.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" adj="13266" fillcolor="white [3212]" strokecolor="#1f497d [3215]" strokeweight="2pt"/>
            </w:pict>
          </mc:Fallback>
        </mc:AlternateContent>
      </w:r>
      <w:r w:rsidR="000B4C04">
        <w:rPr>
          <w:noProof/>
          <w:color w:val="000000"/>
        </w:rPr>
        <mc:AlternateContent>
          <mc:Choice Requires="wps">
            <w:drawing>
              <wp:anchor distT="0" distB="0" distL="114300" distR="114300" simplePos="0" relativeHeight="251670528" behindDoc="0" locked="0" layoutInCell="1" allowOverlap="1" wp14:anchorId="625B5BF6" wp14:editId="65E3D3EB">
                <wp:simplePos x="0" y="0"/>
                <wp:positionH relativeFrom="column">
                  <wp:posOffset>-5108423</wp:posOffset>
                </wp:positionH>
                <wp:positionV relativeFrom="paragraph">
                  <wp:posOffset>505409</wp:posOffset>
                </wp:positionV>
                <wp:extent cx="256032" cy="197510"/>
                <wp:effectExtent l="0" t="19050" r="29845" b="31115"/>
                <wp:wrapNone/>
                <wp:docPr id="10" name="Pfeil: nach rechts 10"/>
                <wp:cNvGraphicFramePr/>
                <a:graphic xmlns:a="http://schemas.openxmlformats.org/drawingml/2006/main">
                  <a:graphicData uri="http://schemas.microsoft.com/office/word/2010/wordprocessingShape">
                    <wps:wsp>
                      <wps:cNvSpPr/>
                      <wps:spPr>
                        <a:xfrm>
                          <a:off x="0" y="0"/>
                          <a:ext cx="256032" cy="197510"/>
                        </a:xfrm>
                        <a:prstGeom prst="rightArrow">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B0DE10" id="Pfeil: nach rechts 10" o:spid="_x0000_s1026" type="#_x0000_t13" style="position:absolute;margin-left:-402.25pt;margin-top:39.8pt;width:20.15pt;height:15.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" adj="13269" fillcolor="white [3212]" strokecolor="#1f497d [3215]" strokeweight="2pt"/>
            </w:pict>
          </mc:Fallback>
        </mc:AlternateContent>
      </w:r>
    </w:p>
    <w:p w14:paraId="1DFDC6A4" w14:textId="77777777" w:rsidR="004552D3" w:rsidRDefault="004552D3" w:rsidP="00717DFA">
      <w:pPr>
        <w:rPr>
          <w:color w:val="000000"/>
        </w:rPr>
      </w:pPr>
    </w:p>
    <w:p w14:paraId="2BBA3954" w14:textId="77777777" w:rsidR="00E3039C" w:rsidRDefault="00E3039C" w:rsidP="00F67B49">
      <w:pPr>
        <w:pStyle w:val="berschrift1"/>
      </w:pPr>
      <w:proofErr w:type="spellStart"/>
      <w:r w:rsidRPr="00EE3652">
        <w:t>Be</w:t>
      </w:r>
      <w:r w:rsidR="0031035F">
        <w:t>rechtigten</w:t>
      </w:r>
      <w:r w:rsidRPr="00EE3652">
        <w:t>kreis</w:t>
      </w:r>
      <w:proofErr w:type="spellEnd"/>
    </w:p>
    <w:p w14:paraId="22360463" w14:textId="77777777" w:rsidR="00AB3BAB" w:rsidRDefault="00AB3BAB" w:rsidP="00717DFA">
      <w:pPr>
        <w:rPr>
          <w:color w:val="000000"/>
        </w:rPr>
      </w:pPr>
      <w:r>
        <w:rPr>
          <w:color w:val="000000"/>
        </w:rPr>
        <w:t xml:space="preserve">Für die Ermittlung des Kreises der Unternehmen, die einen solchen Belastungsausgleich erhalten sollten, sind zwei Möglichkeiten denk- und umsetzbar: Zum einen kann der </w:t>
      </w:r>
    </w:p>
    <w:p w14:paraId="0D531EA3" w14:textId="16015276" w:rsidR="00AB3BAB" w:rsidRDefault="00E75098" w:rsidP="00717DFA">
      <w:pPr>
        <w:rPr>
          <w:color w:val="000000"/>
        </w:rPr>
      </w:pPr>
      <w:r>
        <w:rPr>
          <w:color w:val="000000"/>
        </w:rPr>
        <w:t xml:space="preserve">Kreis der </w:t>
      </w:r>
      <w:r w:rsidR="00A82AE1">
        <w:rPr>
          <w:color w:val="000000"/>
        </w:rPr>
        <w:t>Unternehmen, die auf ein</w:t>
      </w:r>
      <w:r w:rsidR="002144C2">
        <w:rPr>
          <w:color w:val="000000"/>
        </w:rPr>
        <w:t>en</w:t>
      </w:r>
      <w:r w:rsidR="00A82AE1">
        <w:rPr>
          <w:color w:val="000000"/>
        </w:rPr>
        <w:t xml:space="preserve"> </w:t>
      </w:r>
      <w:r w:rsidR="00A17A43">
        <w:rPr>
          <w:color w:val="000000"/>
        </w:rPr>
        <w:t>Belastungsausgleich</w:t>
      </w:r>
      <w:r w:rsidR="00192B4C">
        <w:rPr>
          <w:color w:val="000000"/>
        </w:rPr>
        <w:t xml:space="preserve"> </w:t>
      </w:r>
      <w:r w:rsidR="00A82AE1">
        <w:rPr>
          <w:color w:val="000000"/>
        </w:rPr>
        <w:t>angewiesen sind</w:t>
      </w:r>
      <w:r w:rsidR="00CE4E38">
        <w:rPr>
          <w:color w:val="000000"/>
        </w:rPr>
        <w:t>,</w:t>
      </w:r>
      <w:r w:rsidR="00C147CD">
        <w:rPr>
          <w:color w:val="000000"/>
        </w:rPr>
        <w:t xml:space="preserve"> </w:t>
      </w:r>
      <w:r w:rsidR="00034C4F">
        <w:rPr>
          <w:color w:val="000000"/>
        </w:rPr>
        <w:t xml:space="preserve">grundsätzlich das produzierende Gewerbe </w:t>
      </w:r>
      <w:r w:rsidR="00354D90">
        <w:rPr>
          <w:color w:val="000000"/>
        </w:rPr>
        <w:t xml:space="preserve">umfassen. </w:t>
      </w:r>
      <w:r w:rsidR="00AB3BAB">
        <w:rPr>
          <w:color w:val="000000"/>
        </w:rPr>
        <w:t>Eine weitere Möglichkeit ist</w:t>
      </w:r>
      <w:r w:rsidR="00FC430A">
        <w:rPr>
          <w:color w:val="000000"/>
        </w:rPr>
        <w:t>,</w:t>
      </w:r>
      <w:r w:rsidR="00AB3BAB">
        <w:rPr>
          <w:color w:val="000000"/>
        </w:rPr>
        <w:t xml:space="preserve"> eine L</w:t>
      </w:r>
      <w:r w:rsidR="00C147CD">
        <w:rPr>
          <w:color w:val="000000"/>
        </w:rPr>
        <w:t xml:space="preserve">iste </w:t>
      </w:r>
      <w:r w:rsidR="00AD796A">
        <w:rPr>
          <w:color w:val="000000"/>
        </w:rPr>
        <w:t xml:space="preserve">aller Sektoren </w:t>
      </w:r>
      <w:r w:rsidR="00C147CD">
        <w:rPr>
          <w:color w:val="000000"/>
        </w:rPr>
        <w:t xml:space="preserve">zu erstellen, </w:t>
      </w:r>
      <w:r w:rsidR="00133AED">
        <w:rPr>
          <w:color w:val="000000"/>
        </w:rPr>
        <w:t>deren</w:t>
      </w:r>
      <w:r w:rsidR="00AD796A">
        <w:rPr>
          <w:color w:val="000000"/>
        </w:rPr>
        <w:t xml:space="preserve"> außer- und innereuropäische</w:t>
      </w:r>
      <w:r w:rsidR="00133AED">
        <w:rPr>
          <w:color w:val="000000"/>
        </w:rPr>
        <w:t xml:space="preserve"> Wettbewerbsfähigkeit </w:t>
      </w:r>
      <w:r w:rsidR="00FC430A">
        <w:rPr>
          <w:color w:val="000000"/>
        </w:rPr>
        <w:t xml:space="preserve">durch den BEHG CO2-Preis </w:t>
      </w:r>
      <w:r w:rsidR="00133AED">
        <w:rPr>
          <w:color w:val="000000"/>
        </w:rPr>
        <w:t>gefährdet ist</w:t>
      </w:r>
    </w:p>
    <w:p w14:paraId="48CB106E" w14:textId="77777777" w:rsidR="00BA5FC2" w:rsidRDefault="00BA5FC2" w:rsidP="00717DFA">
      <w:pPr>
        <w:rPr>
          <w:color w:val="000000"/>
        </w:rPr>
      </w:pPr>
    </w:p>
    <w:p w14:paraId="16B6DF1E" w14:textId="77777777" w:rsidR="00612116" w:rsidRDefault="00AD796A" w:rsidP="00717DFA">
      <w:pPr>
        <w:rPr>
          <w:color w:val="000000"/>
        </w:rPr>
      </w:pPr>
      <w:r>
        <w:rPr>
          <w:color w:val="000000"/>
        </w:rPr>
        <w:t xml:space="preserve">Das </w:t>
      </w:r>
      <w:r w:rsidR="00C147CD">
        <w:rPr>
          <w:color w:val="000000"/>
        </w:rPr>
        <w:t xml:space="preserve">produzierende </w:t>
      </w:r>
      <w:r w:rsidR="00BA5FC2">
        <w:rPr>
          <w:color w:val="000000"/>
        </w:rPr>
        <w:t xml:space="preserve">Gewerbe als Kreis der Berechtigten für einen Belastungsausgleich zu definieren, ist gleichzeitig eine in der Umsetzung leicht zu handhabende Lösung: Das produzierende Gewerbe ist über die Klassifizierung der Wirtschaftszweige (WZ) eindeutig und einfach identifizierbar. Die Zugehörigkeit zu einem spezifischen WZ wird bereits heute von den Statistischen Landesämtern als staatlich unabhängige Stellen nachgehalten. Daher </w:t>
      </w:r>
      <w:r w:rsidR="00133AED">
        <w:rPr>
          <w:color w:val="000000"/>
        </w:rPr>
        <w:t>ist es auch direkt zum Start des</w:t>
      </w:r>
      <w:r w:rsidR="00BA5FC2">
        <w:rPr>
          <w:color w:val="000000"/>
        </w:rPr>
        <w:t xml:space="preserve"> BEHG umsetzbar und bietet Planungssicherheit für die Unternehmen. Da die Definition für das produzierende Gewerbe in der Stromsteuer geregelt ist</w:t>
      </w:r>
      <w:r w:rsidR="00D324FA">
        <w:rPr>
          <w:rStyle w:val="Funotenzeichen"/>
          <w:color w:val="000000"/>
        </w:rPr>
        <w:footnoteReference w:id="8"/>
      </w:r>
      <w:r w:rsidR="00BA5FC2">
        <w:rPr>
          <w:color w:val="000000"/>
        </w:rPr>
        <w:t>, ist eine deutsche gesetzliche Grundlage vorhanden, die die beihilferechtliche Umsetzung ggf. vereinfacht.</w:t>
      </w:r>
      <w:r w:rsidR="00DD4615">
        <w:rPr>
          <w:color w:val="000000"/>
        </w:rPr>
        <w:t xml:space="preserve"> Eine Belastungsausgleich für das produzierende Gewerbe würde zudem gesamte Wertschöpfungsketten adressieren und in Deutschland erhalten. So existieren beispielsweise eng verzahnte Zulieferketten, innerhalb derer sich die </w:t>
      </w:r>
      <w:r w:rsidR="00DD4615" w:rsidRPr="00DD4615">
        <w:rPr>
          <w:color w:val="000000"/>
        </w:rPr>
        <w:t>CO</w:t>
      </w:r>
      <w:r w:rsidR="00DD4615" w:rsidRPr="00DD4615">
        <w:rPr>
          <w:color w:val="000000"/>
          <w:vertAlign w:val="subscript"/>
        </w:rPr>
        <w:t>2</w:t>
      </w:r>
      <w:r w:rsidR="00DD4615">
        <w:rPr>
          <w:color w:val="000000"/>
        </w:rPr>
        <w:t>-Kostenbelastung von Produktionsschritt zu Produktionsschritt addier</w:t>
      </w:r>
      <w:r w:rsidR="00902BD3">
        <w:rPr>
          <w:color w:val="000000"/>
        </w:rPr>
        <w:t xml:space="preserve">t, und bei denen erst das Endprodukt im internationalen Wettbewerb steht. </w:t>
      </w:r>
    </w:p>
    <w:p w14:paraId="39CFF516" w14:textId="13FFD0F1" w:rsidR="00612116" w:rsidRDefault="00612116" w:rsidP="00717DFA">
      <w:pPr>
        <w:rPr>
          <w:color w:val="000000"/>
        </w:rPr>
      </w:pPr>
    </w:p>
    <w:p w14:paraId="57FF6D8A" w14:textId="01A8DA03" w:rsidR="00093107" w:rsidRDefault="00465313" w:rsidP="00717DFA">
      <w:pPr>
        <w:rPr>
          <w:color w:val="000000"/>
        </w:rPr>
      </w:pPr>
      <w:bookmarkStart w:id="1" w:name="_Hlk32510945"/>
      <w:r>
        <w:rPr>
          <w:color w:val="000000"/>
        </w:rPr>
        <w:t>[Beispie</w:t>
      </w:r>
      <w:r w:rsidR="00184643">
        <w:rPr>
          <w:color w:val="000000"/>
        </w:rPr>
        <w:t>l</w:t>
      </w:r>
      <w:r>
        <w:rPr>
          <w:color w:val="000000"/>
        </w:rPr>
        <w:t>-</w:t>
      </w:r>
      <w:r w:rsidR="00093107">
        <w:rPr>
          <w:color w:val="000000"/>
        </w:rPr>
        <w:t>BOX</w:t>
      </w:r>
      <w:r>
        <w:rPr>
          <w:color w:val="000000"/>
        </w:rPr>
        <w:t>]</w:t>
      </w:r>
    </w:p>
    <w:p w14:paraId="6F21FA1C" w14:textId="77777777" w:rsidR="00093107" w:rsidRDefault="00093107" w:rsidP="00717DFA">
      <w:pPr>
        <w:rPr>
          <w:color w:val="000000"/>
        </w:rPr>
      </w:pPr>
    </w:p>
    <w:p w14:paraId="2CCB6944" w14:textId="77777777" w:rsidR="0096262D" w:rsidRDefault="00612116" w:rsidP="00093107">
      <w:pPr>
        <w:ind w:left="708"/>
        <w:rPr>
          <w:color w:val="000000"/>
        </w:rPr>
      </w:pPr>
      <w:r w:rsidRPr="009127BE">
        <w:rPr>
          <w:color w:val="000000"/>
        </w:rPr>
        <w:t xml:space="preserve">Ein Beispiel hierfür ist die Wertschöpfungskette Quarzsand </w:t>
      </w:r>
      <w:r w:rsidRPr="009127BE">
        <w:rPr>
          <w:color w:val="000000"/>
        </w:rPr>
        <w:sym w:font="Wingdings" w:char="F0E0"/>
      </w:r>
      <w:r w:rsidRPr="009127BE">
        <w:rPr>
          <w:color w:val="000000"/>
        </w:rPr>
        <w:t xml:space="preserve"> Gießerei </w:t>
      </w:r>
      <w:r w:rsidRPr="009127BE">
        <w:rPr>
          <w:color w:val="000000"/>
        </w:rPr>
        <w:sym w:font="Wingdings" w:char="F0E0"/>
      </w:r>
      <w:r w:rsidRPr="009127BE">
        <w:rPr>
          <w:color w:val="000000"/>
        </w:rPr>
        <w:t xml:space="preserve"> Hersteller von Windkraftanlagen, bei der aus Quarzsand Formen zum Gießen von Windkraftturbinen hergestellt werden. Sollte die Trocknung von Quarzsand nicht vom nationalen CO</w:t>
      </w:r>
      <w:r w:rsidRPr="009127BE">
        <w:rPr>
          <w:color w:val="000000"/>
          <w:vertAlign w:val="subscript"/>
        </w:rPr>
        <w:t>2</w:t>
      </w:r>
      <w:r w:rsidRPr="009127BE">
        <w:rPr>
          <w:color w:val="000000"/>
        </w:rPr>
        <w:t>-Preis entlastet werden, müssten diese Mehrkosten entsprechend an die Kunden – in diesem Falle Gießereien – weitergereicht werden. In Summe liefe dort somit eine CO</w:t>
      </w:r>
      <w:r w:rsidRPr="009127BE">
        <w:rPr>
          <w:color w:val="000000"/>
          <w:vertAlign w:val="subscript"/>
        </w:rPr>
        <w:t>2</w:t>
      </w:r>
      <w:r w:rsidRPr="009127BE">
        <w:rPr>
          <w:color w:val="000000"/>
        </w:rPr>
        <w:t xml:space="preserve">-Kostenbelastung aus dem Einkauf der Vorprodukte an, die ausländische Gießereien nicht zu tragen haben. Allein das Beispiel Quarzsand ist daneben übertragbar auf viele weitere Branchen, von der Glasindustrie (Quarzsand als Rohstoff) bis zur Automobilindustrie (gegossene Motorblöcke). Auch in Bezug auf andere Vorprodukte werden sich in diversen Wertschöpfungsketten und Branchen die </w:t>
      </w:r>
      <w:r w:rsidRPr="009127BE">
        <w:rPr>
          <w:color w:val="000000"/>
        </w:rPr>
        <w:lastRenderedPageBreak/>
        <w:t>Kosten für den Einkauf von Vorprodukten in Folge des nationalen CO</w:t>
      </w:r>
      <w:r w:rsidRPr="009127BE">
        <w:rPr>
          <w:color w:val="000000"/>
          <w:vertAlign w:val="subscript"/>
        </w:rPr>
        <w:t>2</w:t>
      </w:r>
      <w:r w:rsidRPr="009127BE">
        <w:rPr>
          <w:color w:val="000000"/>
        </w:rPr>
        <w:t>-Preises erhöhen. Die auf diese Weise in Deutschland hergestellten Produkte tragen somit einen nationalen CO</w:t>
      </w:r>
      <w:r w:rsidRPr="009127BE">
        <w:rPr>
          <w:color w:val="000000"/>
          <w:vertAlign w:val="subscript"/>
        </w:rPr>
        <w:t>2</w:t>
      </w:r>
      <w:r w:rsidRPr="009127BE">
        <w:rPr>
          <w:color w:val="000000"/>
        </w:rPr>
        <w:t xml:space="preserve">-Preisrucksack aus der </w:t>
      </w:r>
      <w:proofErr w:type="spellStart"/>
      <w:r w:rsidRPr="009127BE">
        <w:rPr>
          <w:color w:val="000000"/>
        </w:rPr>
        <w:t>Vorkette</w:t>
      </w:r>
      <w:proofErr w:type="spellEnd"/>
      <w:r w:rsidRPr="009127BE">
        <w:rPr>
          <w:color w:val="000000"/>
        </w:rPr>
        <w:t xml:space="preserve">, der in Summe einen erheblichen Wettbewerbsnachteil darstellen kann. </w:t>
      </w:r>
    </w:p>
    <w:p w14:paraId="09B021C8" w14:textId="77777777" w:rsidR="0096262D" w:rsidRDefault="0096262D" w:rsidP="0096262D">
      <w:pPr>
        <w:rPr>
          <w:color w:val="000000"/>
        </w:rPr>
      </w:pPr>
    </w:p>
    <w:p w14:paraId="31423529" w14:textId="12921805" w:rsidR="00BA5FC2" w:rsidRDefault="00612116" w:rsidP="0096262D">
      <w:pPr>
        <w:rPr>
          <w:color w:val="000000"/>
        </w:rPr>
      </w:pPr>
      <w:r w:rsidRPr="009127BE">
        <w:rPr>
          <w:color w:val="000000"/>
        </w:rPr>
        <w:t xml:space="preserve">In Bezug auf Strom wird dieser Vorketten-Effekt im EU-Emissionshandel durch die Strompreiskompensation adressiert. Ein ähnliches System für den Einkauf von Vorprodukten erscheint jedoch im nationalen Emissionshandel kaum umsetzbar. </w:t>
      </w:r>
      <w:r w:rsidR="003E6CAB">
        <w:rPr>
          <w:color w:val="000000"/>
        </w:rPr>
        <w:t xml:space="preserve">Mit der </w:t>
      </w:r>
      <w:r w:rsidRPr="009127BE">
        <w:rPr>
          <w:color w:val="000000"/>
        </w:rPr>
        <w:t xml:space="preserve">Wahl des produzierenden Gewerbes als </w:t>
      </w:r>
      <w:proofErr w:type="spellStart"/>
      <w:r w:rsidRPr="009127BE">
        <w:rPr>
          <w:color w:val="000000"/>
        </w:rPr>
        <w:t>Begünstigtenkreis</w:t>
      </w:r>
      <w:proofErr w:type="spellEnd"/>
      <w:r w:rsidRPr="009127BE">
        <w:rPr>
          <w:color w:val="000000"/>
        </w:rPr>
        <w:t xml:space="preserve"> für den Belastungsausgleich wär</w:t>
      </w:r>
      <w:r w:rsidR="00AD6B7F">
        <w:rPr>
          <w:color w:val="000000"/>
        </w:rPr>
        <w:t>en die gesamten Wertschöpfungsketten abgebildet</w:t>
      </w:r>
      <w:r w:rsidRPr="009127BE">
        <w:rPr>
          <w:color w:val="000000"/>
        </w:rPr>
        <w:t>.</w:t>
      </w:r>
    </w:p>
    <w:bookmarkEnd w:id="1"/>
    <w:p w14:paraId="53FE40A2" w14:textId="77777777" w:rsidR="00BA5FC2" w:rsidRDefault="00BA5FC2" w:rsidP="00717DFA">
      <w:pPr>
        <w:rPr>
          <w:color w:val="000000"/>
        </w:rPr>
      </w:pPr>
    </w:p>
    <w:p w14:paraId="5C025F6A" w14:textId="71BDDFCE" w:rsidR="00054891" w:rsidRDefault="00BA5FC2" w:rsidP="00133AED">
      <w:pPr>
        <w:rPr>
          <w:color w:val="000000"/>
        </w:rPr>
      </w:pPr>
      <w:r>
        <w:rPr>
          <w:color w:val="000000"/>
        </w:rPr>
        <w:t>Die Erstellung einer Liste</w:t>
      </w:r>
      <w:r w:rsidR="00AD796A">
        <w:rPr>
          <w:color w:val="000000"/>
        </w:rPr>
        <w:t xml:space="preserve"> aller Sektoren</w:t>
      </w:r>
      <w:r>
        <w:rPr>
          <w:color w:val="000000"/>
        </w:rPr>
        <w:t xml:space="preserve">, </w:t>
      </w:r>
      <w:r w:rsidR="0044751C">
        <w:rPr>
          <w:color w:val="000000"/>
        </w:rPr>
        <w:t xml:space="preserve">deren Wettbewerbsfähigkeit </w:t>
      </w:r>
      <w:r w:rsidR="00FC430A">
        <w:rPr>
          <w:color w:val="000000"/>
        </w:rPr>
        <w:t xml:space="preserve">durch den nationalen CO2-Preis </w:t>
      </w:r>
      <w:r w:rsidR="0044751C">
        <w:rPr>
          <w:color w:val="000000"/>
        </w:rPr>
        <w:t>gefährdet ist</w:t>
      </w:r>
      <w:r>
        <w:rPr>
          <w:color w:val="000000"/>
        </w:rPr>
        <w:t xml:space="preserve"> und </w:t>
      </w:r>
      <w:r w:rsidR="0044751C">
        <w:rPr>
          <w:color w:val="000000"/>
        </w:rPr>
        <w:t xml:space="preserve">die </w:t>
      </w:r>
      <w:r>
        <w:rPr>
          <w:color w:val="000000"/>
        </w:rPr>
        <w:t>somit berechtigt sind, den Belastungsausgleich zu erhalten, ist ebenfalls eine Möglichkeit. Die Voraussetzungen für die Aufnahme auf die Liste</w:t>
      </w:r>
      <w:r w:rsidR="00FC430A">
        <w:rPr>
          <w:color w:val="000000"/>
        </w:rPr>
        <w:t xml:space="preserve"> können hierzu</w:t>
      </w:r>
      <w:r>
        <w:rPr>
          <w:color w:val="000000"/>
        </w:rPr>
        <w:t xml:space="preserve"> an die europäische Rechtsetzung zur Carbon-Leakage-Liste im EU ETS </w:t>
      </w:r>
      <w:r w:rsidR="00133AED">
        <w:rPr>
          <w:color w:val="000000"/>
        </w:rPr>
        <w:t>angelehnt</w:t>
      </w:r>
      <w:r w:rsidR="00FC430A">
        <w:rPr>
          <w:color w:val="000000"/>
        </w:rPr>
        <w:t xml:space="preserve"> werden</w:t>
      </w:r>
      <w:r w:rsidR="00133AED">
        <w:rPr>
          <w:color w:val="000000"/>
        </w:rPr>
        <w:t xml:space="preserve">, die sich aus der innereuropäischen Handelsintensität und der Emissionsintensität berechnet. Da beim BEHG ein nationaler CO2-Preis entsteht, der neben der internationalen Wettbewerbsfähigkeit vor allem auch die innereuropäische Wettbewerbsfähigkeit der betroffenen Unternehmen gefährdet, </w:t>
      </w:r>
      <w:r w:rsidR="004E6D99">
        <w:rPr>
          <w:color w:val="000000"/>
        </w:rPr>
        <w:t xml:space="preserve">muss der Faktor Handelsintensität </w:t>
      </w:r>
      <w:r w:rsidR="00FC430A">
        <w:rPr>
          <w:color w:val="000000"/>
        </w:rPr>
        <w:t xml:space="preserve">der EU ETS Carbon Leakage Liste </w:t>
      </w:r>
      <w:r w:rsidR="004E6D99">
        <w:rPr>
          <w:color w:val="000000"/>
        </w:rPr>
        <w:t xml:space="preserve">um die innereuropäische Handelsintensität erweitert werden. </w:t>
      </w:r>
    </w:p>
    <w:p w14:paraId="0CAA2344" w14:textId="77777777" w:rsidR="00A0433E" w:rsidRDefault="00A0433E" w:rsidP="00133AED">
      <w:pPr>
        <w:rPr>
          <w:color w:val="000000"/>
        </w:rPr>
      </w:pPr>
    </w:p>
    <w:p w14:paraId="62135A2B" w14:textId="1C3FD65A" w:rsidR="00054891" w:rsidRDefault="00054891" w:rsidP="00054891">
      <w:pPr>
        <w:rPr>
          <w:color w:val="000000"/>
        </w:rPr>
      </w:pPr>
      <w:r>
        <w:rPr>
          <w:color w:val="000000"/>
        </w:rPr>
        <w:t>Handelsintensität</w:t>
      </w:r>
      <w:r w:rsidR="00E52CA6">
        <w:rPr>
          <w:color w:val="000000"/>
        </w:rPr>
        <w:t xml:space="preserve"> </w:t>
      </w:r>
      <w:r w:rsidR="00E52CA6">
        <w:rPr>
          <w:color w:val="000000"/>
          <w:vertAlign w:val="subscript"/>
        </w:rPr>
        <w:t>EU ETS</w:t>
      </w:r>
      <w:r w:rsidRPr="000648F5">
        <w:rPr>
          <w:color w:val="000000"/>
          <w:vertAlign w:val="subscript"/>
        </w:rPr>
        <w:t xml:space="preserve"> </w:t>
      </w:r>
      <w:r>
        <w:rPr>
          <w:color w:val="000000"/>
        </w:rPr>
        <w:t xml:space="preserve">= </w:t>
      </w:r>
      <m:oMath>
        <m:f>
          <m:fPr>
            <m:ctrlPr>
              <w:rPr>
                <w:rFonts w:ascii="Cambria Math" w:hAnsi="Cambria Math"/>
                <w:i/>
                <w:color w:val="000000"/>
              </w:rPr>
            </m:ctrlPr>
          </m:fPr>
          <m:num>
            <m:r>
              <w:rPr>
                <w:rFonts w:ascii="Cambria Math" w:hAnsi="Cambria Math"/>
                <w:color w:val="000000"/>
              </w:rPr>
              <m:t>außereuropäische Importe+außereuropäische Exporte</m:t>
            </m:r>
          </m:num>
          <m:den>
            <m:r>
              <w:rPr>
                <w:rFonts w:ascii="Cambria Math" w:hAnsi="Cambria Math"/>
                <w:color w:val="000000"/>
              </w:rPr>
              <m:t>außereuropäische Importe+europäischer Umsatz</m:t>
            </m:r>
          </m:den>
        </m:f>
      </m:oMath>
    </w:p>
    <w:p w14:paraId="1B771CB5" w14:textId="77777777" w:rsidR="00054891" w:rsidRDefault="00054891" w:rsidP="00133AED">
      <w:pPr>
        <w:rPr>
          <w:color w:val="000000"/>
        </w:rPr>
      </w:pPr>
    </w:p>
    <w:p w14:paraId="4395139C" w14:textId="59E774A7" w:rsidR="000648F5" w:rsidRDefault="00496454" w:rsidP="00133AED">
      <w:pPr>
        <w:rPr>
          <w:color w:val="000000"/>
        </w:rPr>
      </w:pPr>
      <w:r>
        <w:rPr>
          <w:color w:val="000000"/>
        </w:rPr>
        <w:t xml:space="preserve">Für das BEHG als nationales System </w:t>
      </w:r>
      <w:r w:rsidR="00AD796A">
        <w:rPr>
          <w:color w:val="000000"/>
        </w:rPr>
        <w:t xml:space="preserve">ist dabei sowohl der Handel mit Ländern außerhalb als auch innerhalb der EU von und nach Deutschland relevant, </w:t>
      </w:r>
    </w:p>
    <w:p w14:paraId="491E28EE" w14:textId="77777777" w:rsidR="000648F5" w:rsidRDefault="000648F5" w:rsidP="00133AED">
      <w:pPr>
        <w:rPr>
          <w:color w:val="000000"/>
        </w:rPr>
      </w:pPr>
    </w:p>
    <w:p w14:paraId="25150376" w14:textId="489BE848" w:rsidR="000648F5" w:rsidRDefault="000648F5" w:rsidP="00133AED">
      <w:pPr>
        <w:rPr>
          <w:color w:val="000000"/>
        </w:rPr>
      </w:pPr>
      <w:r w:rsidRPr="001650DF">
        <w:rPr>
          <w:color w:val="000000"/>
        </w:rPr>
        <w:t>Handelsintensität</w:t>
      </w:r>
      <w:r w:rsidR="00E52CA6">
        <w:rPr>
          <w:color w:val="000000"/>
        </w:rPr>
        <w:t xml:space="preserve"> </w:t>
      </w:r>
      <w:r w:rsidR="00E52CA6" w:rsidRPr="00E52CA6">
        <w:rPr>
          <w:color w:val="000000"/>
          <w:vertAlign w:val="subscript"/>
        </w:rPr>
        <w:t>BEHG</w:t>
      </w:r>
      <w:r w:rsidRPr="001650DF">
        <w:rPr>
          <w:color w:val="000000"/>
          <w:vertAlign w:val="subscript"/>
        </w:rPr>
        <w:t xml:space="preserve"> </w:t>
      </w:r>
      <w:r>
        <w:rPr>
          <w:color w:val="000000"/>
        </w:rPr>
        <w:t xml:space="preserve">= </w:t>
      </w:r>
      <m:oMath>
        <m:f>
          <m:fPr>
            <m:ctrlPr>
              <w:rPr>
                <w:rFonts w:ascii="Cambria Math" w:hAnsi="Cambria Math"/>
                <w:i/>
                <w:color w:val="000000"/>
              </w:rPr>
            </m:ctrlPr>
          </m:fPr>
          <m:num>
            <m:r>
              <w:rPr>
                <w:rFonts w:ascii="Cambria Math" w:hAnsi="Cambria Math"/>
                <w:color w:val="000000"/>
              </w:rPr>
              <m:t>Importe+Exporte</m:t>
            </m:r>
          </m:num>
          <m:den>
            <m:r>
              <w:rPr>
                <w:rFonts w:ascii="Cambria Math" w:hAnsi="Cambria Math"/>
                <w:color w:val="000000"/>
              </w:rPr>
              <m:t>Importe+ Umsatz</m:t>
            </m:r>
          </m:den>
        </m:f>
      </m:oMath>
    </w:p>
    <w:p w14:paraId="323286E8" w14:textId="77777777" w:rsidR="000648F5" w:rsidRDefault="000648F5" w:rsidP="00133AED">
      <w:pPr>
        <w:rPr>
          <w:color w:val="000000"/>
        </w:rPr>
      </w:pPr>
    </w:p>
    <w:p w14:paraId="576E3F3B" w14:textId="202AEE3F" w:rsidR="00133AED" w:rsidRPr="009304AD" w:rsidRDefault="00133AED" w:rsidP="00133AED">
      <w:pPr>
        <w:rPr>
          <w:color w:val="000000"/>
        </w:rPr>
      </w:pPr>
      <w:r w:rsidRPr="00133AED">
        <w:rPr>
          <w:color w:val="000000"/>
        </w:rPr>
        <w:t>Handelsintensität und Emissionsintensität der</w:t>
      </w:r>
      <w:r>
        <w:rPr>
          <w:color w:val="000000"/>
        </w:rPr>
        <w:t xml:space="preserve"> Branche </w:t>
      </w:r>
      <w:r w:rsidR="0044751C">
        <w:rPr>
          <w:color w:val="000000"/>
        </w:rPr>
        <w:t>werden</w:t>
      </w:r>
      <w:r w:rsidR="00977000">
        <w:rPr>
          <w:color w:val="000000"/>
        </w:rPr>
        <w:t xml:space="preserve"> dann</w:t>
      </w:r>
      <w:r w:rsidR="0044751C">
        <w:rPr>
          <w:color w:val="000000"/>
        </w:rPr>
        <w:t xml:space="preserve"> multipliziert. Wenn das Produkt, in Anlehnung an die Carbon Leakage Liste des EU ETS,</w:t>
      </w:r>
      <w:r>
        <w:rPr>
          <w:color w:val="000000"/>
        </w:rPr>
        <w:t xml:space="preserve"> mindestens 0,2</w:t>
      </w:r>
      <w:r w:rsidR="0044751C">
        <w:rPr>
          <w:color w:val="000000"/>
        </w:rPr>
        <w:t xml:space="preserve"> beträgt, ist der Sektor berechtigt, einen Belastungsausgleich zu erhalten</w:t>
      </w:r>
      <w:r>
        <w:rPr>
          <w:color w:val="000000"/>
        </w:rPr>
        <w:t>. Mit dieser Liste ist somit garantiert, dass die Sektoren einen Belastungsausgleich erhalten, deren internationale und innereuropäische Wettbewerbsfähigkeit durch den BEHG CO2-Preis gefährdet ist. Die Grundlage hierfür liegt im EU ETS, daher ist auch hier eine gesetzliche Grundlage vorhanden, die die beihilferechtliche Umsetzung ggf. vereinfacht.</w:t>
      </w:r>
    </w:p>
    <w:p w14:paraId="3B7CA92E" w14:textId="77777777" w:rsidR="00BA5FC2" w:rsidRDefault="00BA5FC2" w:rsidP="00717DFA">
      <w:pPr>
        <w:rPr>
          <w:color w:val="000000"/>
        </w:rPr>
      </w:pPr>
    </w:p>
    <w:p w14:paraId="38730F05" w14:textId="77777777" w:rsidR="00E3039C" w:rsidRDefault="00930991" w:rsidP="00717DFA">
      <w:pPr>
        <w:rPr>
          <w:color w:val="000000"/>
        </w:rPr>
      </w:pPr>
      <w:r>
        <w:rPr>
          <w:color w:val="000000"/>
        </w:rPr>
        <w:t xml:space="preserve">Der </w:t>
      </w:r>
      <w:r w:rsidR="00FD202F">
        <w:rPr>
          <w:color w:val="000000"/>
        </w:rPr>
        <w:t>Belastungsausgleich</w:t>
      </w:r>
      <w:r>
        <w:rPr>
          <w:color w:val="000000"/>
        </w:rPr>
        <w:t xml:space="preserve"> gleicht</w:t>
      </w:r>
      <w:r w:rsidR="00FD202F">
        <w:rPr>
          <w:color w:val="000000"/>
        </w:rPr>
        <w:t xml:space="preserve">, unabhängig von der Definition des </w:t>
      </w:r>
      <w:proofErr w:type="spellStart"/>
      <w:r w:rsidR="00FD202F">
        <w:rPr>
          <w:color w:val="000000"/>
        </w:rPr>
        <w:t>Berechtigtenkreises</w:t>
      </w:r>
      <w:proofErr w:type="spellEnd"/>
      <w:r w:rsidR="00FD202F">
        <w:rPr>
          <w:color w:val="000000"/>
        </w:rPr>
        <w:t>,</w:t>
      </w:r>
      <w:r>
        <w:rPr>
          <w:color w:val="000000"/>
        </w:rPr>
        <w:t xml:space="preserve"> lediglich </w:t>
      </w:r>
      <w:r w:rsidR="008E5AC9">
        <w:rPr>
          <w:color w:val="000000"/>
        </w:rPr>
        <w:t xml:space="preserve">in Teilen </w:t>
      </w:r>
      <w:r>
        <w:rPr>
          <w:color w:val="000000"/>
        </w:rPr>
        <w:t xml:space="preserve">die zusätzlich entstehenden Kosten für die Wärmeerzeugung durch fossile </w:t>
      </w:r>
      <w:r w:rsidRPr="00836874">
        <w:rPr>
          <w:color w:val="000000"/>
        </w:rPr>
        <w:t>Energieträger entsprechend Anlage 1 zu § 2 Absatz 1 Brennstoffemissionshandelsgesetz</w:t>
      </w:r>
      <w:r>
        <w:rPr>
          <w:color w:val="000000"/>
        </w:rPr>
        <w:t xml:space="preserve"> aus, um Wettbewerbsverzerrungen und </w:t>
      </w:r>
      <w:proofErr w:type="spellStart"/>
      <w:r>
        <w:rPr>
          <w:color w:val="000000"/>
        </w:rPr>
        <w:t>Investmentleakage</w:t>
      </w:r>
      <w:proofErr w:type="spellEnd"/>
      <w:r>
        <w:rPr>
          <w:color w:val="000000"/>
        </w:rPr>
        <w:t xml:space="preserve"> zu vermeiden.</w:t>
      </w:r>
      <w:r w:rsidR="00F14CE6">
        <w:rPr>
          <w:color w:val="000000"/>
        </w:rPr>
        <w:t xml:space="preserve"> Dies gilt nicht für Brennstoffmengen, die </w:t>
      </w:r>
      <w:r w:rsidR="00383D5B">
        <w:rPr>
          <w:color w:val="000000"/>
        </w:rPr>
        <w:t>in Anlagen genutzt werden, die dem europäischen Emissionshandel unterliegen.</w:t>
      </w:r>
    </w:p>
    <w:p w14:paraId="31140D55" w14:textId="77777777" w:rsidR="00F67B49" w:rsidRDefault="00BF2D5C" w:rsidP="00BF2D5C">
      <w:pPr>
        <w:pStyle w:val="berschrift1"/>
      </w:pPr>
      <w:r>
        <w:t>Ermittlung</w:t>
      </w:r>
      <w:r w:rsidR="00B9649A">
        <w:t xml:space="preserve"> der </w:t>
      </w:r>
      <w:r>
        <w:t>Brennstoffmengen</w:t>
      </w:r>
    </w:p>
    <w:p w14:paraId="69503989" w14:textId="77777777" w:rsidR="00BF2D5C" w:rsidRDefault="00BF2D5C" w:rsidP="00717DFA">
      <w:pPr>
        <w:rPr>
          <w:color w:val="000000"/>
        </w:rPr>
      </w:pPr>
    </w:p>
    <w:p w14:paraId="45BC3DCC" w14:textId="598175AA" w:rsidR="005657E8" w:rsidRDefault="0014597F" w:rsidP="00717DFA">
      <w:pPr>
        <w:rPr>
          <w:color w:val="000000"/>
        </w:rPr>
      </w:pPr>
      <w:r>
        <w:rPr>
          <w:color w:val="000000"/>
        </w:rPr>
        <w:t>Der</w:t>
      </w:r>
      <w:r w:rsidR="00730CE5">
        <w:rPr>
          <w:color w:val="000000"/>
        </w:rPr>
        <w:t xml:space="preserve"> </w:t>
      </w:r>
      <w:r w:rsidR="00DD4615">
        <w:rPr>
          <w:color w:val="000000"/>
        </w:rPr>
        <w:t xml:space="preserve">Belastungsausgleich </w:t>
      </w:r>
      <w:r>
        <w:rPr>
          <w:color w:val="000000"/>
        </w:rPr>
        <w:t xml:space="preserve">basiert auf den </w:t>
      </w:r>
      <w:r w:rsidR="00730CE5">
        <w:rPr>
          <w:color w:val="000000"/>
        </w:rPr>
        <w:t>verbrauchten B</w:t>
      </w:r>
      <w:r w:rsidR="006C6557">
        <w:rPr>
          <w:color w:val="000000"/>
        </w:rPr>
        <w:t xml:space="preserve">rennstoffmengen </w:t>
      </w:r>
      <w:r w:rsidR="00B6787C">
        <w:rPr>
          <w:color w:val="000000"/>
        </w:rPr>
        <w:t xml:space="preserve">in </w:t>
      </w:r>
      <w:r w:rsidR="00DD4615">
        <w:rPr>
          <w:color w:val="000000"/>
        </w:rPr>
        <w:t>Non</w:t>
      </w:r>
      <w:r w:rsidR="00B6787C">
        <w:rPr>
          <w:color w:val="000000"/>
        </w:rPr>
        <w:t xml:space="preserve">-ETS </w:t>
      </w:r>
      <w:r w:rsidR="003A7686">
        <w:rPr>
          <w:color w:val="000000"/>
        </w:rPr>
        <w:t>Industriea</w:t>
      </w:r>
      <w:r w:rsidR="00B6787C">
        <w:rPr>
          <w:color w:val="000000"/>
        </w:rPr>
        <w:t>nlagen</w:t>
      </w:r>
      <w:r w:rsidR="006C6557">
        <w:rPr>
          <w:color w:val="000000"/>
        </w:rPr>
        <w:t xml:space="preserve">. </w:t>
      </w:r>
      <w:r>
        <w:rPr>
          <w:color w:val="000000"/>
        </w:rPr>
        <w:t>Sie müssen</w:t>
      </w:r>
      <w:r w:rsidR="00464700">
        <w:rPr>
          <w:color w:val="000000"/>
        </w:rPr>
        <w:t xml:space="preserve"> für den Bezugszeitraum </w:t>
      </w:r>
      <w:r w:rsidR="00506A48">
        <w:rPr>
          <w:color w:val="000000"/>
        </w:rPr>
        <w:t>ermittelt</w:t>
      </w:r>
      <w:r w:rsidR="00DD4615">
        <w:rPr>
          <w:color w:val="000000"/>
        </w:rPr>
        <w:t xml:space="preserve"> werden</w:t>
      </w:r>
      <w:r w:rsidR="00506A48">
        <w:rPr>
          <w:color w:val="000000"/>
        </w:rPr>
        <w:t>.</w:t>
      </w:r>
      <w:r w:rsidR="005B2CE8">
        <w:rPr>
          <w:color w:val="000000"/>
        </w:rPr>
        <w:t xml:space="preserve"> </w:t>
      </w:r>
      <w:r w:rsidR="00DD4615">
        <w:rPr>
          <w:color w:val="000000"/>
        </w:rPr>
        <w:t>Soweit möglich sollte hier auf bestehende Berichtssysteme aufgesetzt werden, um zusätzliche Bürokratie zu vermeiden.</w:t>
      </w:r>
    </w:p>
    <w:p w14:paraId="619B8CB4" w14:textId="77777777" w:rsidR="00E3039C" w:rsidRPr="00627126" w:rsidRDefault="00D2033F" w:rsidP="00F67B49">
      <w:pPr>
        <w:pStyle w:val="berschrift1"/>
      </w:pPr>
      <w:r>
        <w:lastRenderedPageBreak/>
        <w:t>Berechnungsmechanismus</w:t>
      </w:r>
    </w:p>
    <w:p w14:paraId="2771CE2D" w14:textId="77777777" w:rsidR="00E26968" w:rsidRDefault="00E26968" w:rsidP="00717DFA">
      <w:pPr>
        <w:rPr>
          <w:color w:val="000000"/>
        </w:rPr>
      </w:pPr>
    </w:p>
    <w:p w14:paraId="53FF66B1" w14:textId="77777777" w:rsidR="00E07174" w:rsidRDefault="00D720FF" w:rsidP="00717DFA">
      <w:pPr>
        <w:rPr>
          <w:color w:val="000000"/>
        </w:rPr>
      </w:pPr>
      <w:r>
        <w:rPr>
          <w:color w:val="000000"/>
        </w:rPr>
        <w:t>Zur transparenten und unkomplizierten Berechnung der Höhe eine</w:t>
      </w:r>
      <w:r w:rsidR="003E31D9">
        <w:rPr>
          <w:color w:val="000000"/>
        </w:rPr>
        <w:t>s</w:t>
      </w:r>
      <w:r>
        <w:rPr>
          <w:color w:val="000000"/>
        </w:rPr>
        <w:t xml:space="preserve"> </w:t>
      </w:r>
      <w:r w:rsidR="00A17A43">
        <w:rPr>
          <w:color w:val="000000"/>
        </w:rPr>
        <w:t>Belastungsausgleich</w:t>
      </w:r>
      <w:r w:rsidR="003E31D9">
        <w:rPr>
          <w:color w:val="000000"/>
        </w:rPr>
        <w:t>s</w:t>
      </w:r>
      <w:r w:rsidR="0059273D">
        <w:rPr>
          <w:color w:val="000000"/>
        </w:rPr>
        <w:t xml:space="preserve"> schlägt die deutsche Industrie folgende Formel vor:</w:t>
      </w:r>
    </w:p>
    <w:p w14:paraId="0813860C" w14:textId="77777777" w:rsidR="0059273D" w:rsidRDefault="0059273D" w:rsidP="00717DFA">
      <w:pPr>
        <w:rPr>
          <w:color w:val="000000"/>
        </w:rPr>
      </w:pPr>
    </w:p>
    <w:p w14:paraId="700A237E" w14:textId="77777777" w:rsidR="00FB651E" w:rsidRDefault="00FB651E" w:rsidP="00717DFA">
      <w:pPr>
        <w:rPr>
          <w:color w:val="000000"/>
        </w:rPr>
      </w:pPr>
    </w:p>
    <w:p w14:paraId="50008E43" w14:textId="77777777" w:rsidR="00FB651E" w:rsidRPr="00836874" w:rsidRDefault="00E817F0" w:rsidP="00717DFA">
      <w:pPr>
        <w:rPr>
          <w:color w:val="000000"/>
          <w:lang w:val="fr-FR"/>
        </w:rPr>
      </w:pPr>
      <w:r>
        <w:rPr>
          <w:color w:val="000000"/>
          <w:lang w:val="fr-FR"/>
        </w:rPr>
        <w:t>BA</w:t>
      </w:r>
      <w:r w:rsidRPr="00836874">
        <w:rPr>
          <w:color w:val="000000"/>
          <w:lang w:val="fr-FR"/>
        </w:rPr>
        <w:t xml:space="preserve"> </w:t>
      </w:r>
      <w:r w:rsidR="00FB651E" w:rsidRPr="00836874">
        <w:rPr>
          <w:color w:val="000000"/>
          <w:lang w:val="fr-FR"/>
        </w:rPr>
        <w:t xml:space="preserve">= </w:t>
      </w:r>
      <w:r w:rsidR="001412E0" w:rsidRPr="00836874">
        <w:rPr>
          <w:color w:val="000000"/>
          <w:lang w:val="fr-FR"/>
        </w:rPr>
        <w:t>P</w:t>
      </w:r>
      <w:r w:rsidR="001412E0" w:rsidRPr="00836874">
        <w:rPr>
          <w:color w:val="000000"/>
          <w:vertAlign w:val="subscript"/>
          <w:lang w:val="fr-FR"/>
        </w:rPr>
        <w:t>a</w:t>
      </w:r>
      <w:r w:rsidR="001412E0" w:rsidRPr="00836874">
        <w:rPr>
          <w:color w:val="000000"/>
          <w:lang w:val="fr-FR"/>
        </w:rPr>
        <w:t xml:space="preserve"> * </w:t>
      </w:r>
      <w:r w:rsidR="00886182" w:rsidRPr="00836874">
        <w:rPr>
          <w:color w:val="000000"/>
          <w:lang w:val="fr-FR"/>
        </w:rPr>
        <w:t>ETSF</w:t>
      </w:r>
      <w:r w:rsidR="0048042C" w:rsidRPr="00836874">
        <w:rPr>
          <w:color w:val="000000"/>
          <w:lang w:val="fr-FR"/>
        </w:rPr>
        <w:t xml:space="preserve"> * </w:t>
      </w:r>
      <w:r w:rsidR="001412E0" w:rsidRPr="00836874">
        <w:rPr>
          <w:color w:val="000000"/>
          <w:lang w:val="fr-FR"/>
        </w:rPr>
        <w:t xml:space="preserve">∑ </w:t>
      </w:r>
      <w:r w:rsidR="00790E97">
        <w:rPr>
          <w:color w:val="000000"/>
          <w:lang w:val="fr-FR"/>
        </w:rPr>
        <w:t>(</w:t>
      </w:r>
      <w:proofErr w:type="spellStart"/>
      <w:proofErr w:type="gramStart"/>
      <w:r w:rsidR="001412E0" w:rsidRPr="00836874">
        <w:rPr>
          <w:color w:val="000000"/>
          <w:lang w:val="fr-FR"/>
        </w:rPr>
        <w:t>C</w:t>
      </w:r>
      <w:r w:rsidR="001412E0" w:rsidRPr="00836874">
        <w:rPr>
          <w:color w:val="000000"/>
          <w:vertAlign w:val="subscript"/>
          <w:lang w:val="fr-FR"/>
        </w:rPr>
        <w:t>i,a</w:t>
      </w:r>
      <w:proofErr w:type="spellEnd"/>
      <w:proofErr w:type="gramEnd"/>
      <w:r w:rsidR="001412E0" w:rsidRPr="00836874">
        <w:rPr>
          <w:color w:val="000000"/>
          <w:lang w:val="fr-FR"/>
        </w:rPr>
        <w:t xml:space="preserve"> * </w:t>
      </w:r>
      <w:proofErr w:type="spellStart"/>
      <w:r w:rsidR="001412E0" w:rsidRPr="00836874">
        <w:rPr>
          <w:color w:val="000000"/>
          <w:lang w:val="fr-FR"/>
        </w:rPr>
        <w:t>MEV</w:t>
      </w:r>
      <w:r w:rsidR="001412E0" w:rsidRPr="00836874">
        <w:rPr>
          <w:color w:val="000000"/>
          <w:vertAlign w:val="subscript"/>
          <w:lang w:val="fr-FR"/>
        </w:rPr>
        <w:t>i,a</w:t>
      </w:r>
      <w:proofErr w:type="spellEnd"/>
      <w:r w:rsidR="00790E97" w:rsidRPr="00836874">
        <w:rPr>
          <w:color w:val="000000"/>
          <w:lang w:val="fr-FR"/>
        </w:rPr>
        <w:t>)</w:t>
      </w:r>
      <w:r w:rsidR="003F5AF2" w:rsidRPr="00836874">
        <w:rPr>
          <w:color w:val="000000"/>
          <w:lang w:val="fr-FR"/>
        </w:rPr>
        <w:t>]</w:t>
      </w:r>
    </w:p>
    <w:p w14:paraId="405E72FC" w14:textId="77777777" w:rsidR="00FC76C0" w:rsidRPr="00836874" w:rsidRDefault="00FC76C0" w:rsidP="00717DFA">
      <w:pPr>
        <w:rPr>
          <w:color w:val="000000"/>
          <w:lang w:val="fr-FR"/>
        </w:rPr>
      </w:pPr>
    </w:p>
    <w:p w14:paraId="026E14CD" w14:textId="77777777" w:rsidR="00385071" w:rsidRDefault="00E817F0" w:rsidP="00717DFA">
      <w:pPr>
        <w:rPr>
          <w:color w:val="000000"/>
        </w:rPr>
      </w:pPr>
      <w:r>
        <w:rPr>
          <w:color w:val="000000"/>
        </w:rPr>
        <w:t>BA</w:t>
      </w:r>
      <w:r w:rsidR="009461D7">
        <w:rPr>
          <w:color w:val="000000"/>
        </w:rPr>
        <w:tab/>
      </w:r>
      <w:r w:rsidR="00A326E4">
        <w:rPr>
          <w:color w:val="000000"/>
        </w:rPr>
        <w:t xml:space="preserve"> </w:t>
      </w:r>
      <w:r>
        <w:rPr>
          <w:color w:val="000000"/>
        </w:rPr>
        <w:t>Belastungsausgleich</w:t>
      </w:r>
    </w:p>
    <w:p w14:paraId="5420BB7D" w14:textId="77777777" w:rsidR="0083356B" w:rsidRPr="00CF5A3F" w:rsidRDefault="0083356B" w:rsidP="00717DFA">
      <w:pPr>
        <w:rPr>
          <w:color w:val="000000"/>
        </w:rPr>
      </w:pPr>
      <w:proofErr w:type="spellStart"/>
      <w:r>
        <w:rPr>
          <w:color w:val="000000"/>
        </w:rPr>
        <w:t>P</w:t>
      </w:r>
      <w:r w:rsidRPr="00FB651E">
        <w:rPr>
          <w:color w:val="000000"/>
          <w:vertAlign w:val="subscript"/>
        </w:rPr>
        <w:t>a</w:t>
      </w:r>
      <w:proofErr w:type="spellEnd"/>
      <w:r w:rsidR="009461D7">
        <w:rPr>
          <w:color w:val="000000"/>
          <w:vertAlign w:val="subscript"/>
        </w:rPr>
        <w:tab/>
      </w:r>
      <w:r w:rsidR="00A326E4">
        <w:rPr>
          <w:color w:val="000000"/>
          <w:vertAlign w:val="subscript"/>
        </w:rPr>
        <w:t xml:space="preserve"> </w:t>
      </w:r>
      <w:r w:rsidR="00BF44E5">
        <w:rPr>
          <w:color w:val="000000"/>
        </w:rPr>
        <w:t xml:space="preserve">BEHG-Zertifikats-Preis für das jeweilige Abrechnungsjahr </w:t>
      </w:r>
      <w:r w:rsidR="00DA73F0">
        <w:rPr>
          <w:color w:val="000000"/>
        </w:rPr>
        <w:t xml:space="preserve">a </w:t>
      </w:r>
      <w:r w:rsidR="00BF44E5">
        <w:rPr>
          <w:color w:val="000000"/>
        </w:rPr>
        <w:t>in €/tCO</w:t>
      </w:r>
      <w:r w:rsidR="00BF44E5" w:rsidRPr="004E0651">
        <w:rPr>
          <w:color w:val="000000"/>
          <w:vertAlign w:val="subscript"/>
        </w:rPr>
        <w:t>2</w:t>
      </w:r>
    </w:p>
    <w:p w14:paraId="06C57B0A" w14:textId="77777777" w:rsidR="0083356B" w:rsidRPr="004E0651" w:rsidRDefault="0083356B" w:rsidP="00717DFA">
      <w:pPr>
        <w:rPr>
          <w:color w:val="000000"/>
        </w:rPr>
      </w:pPr>
      <w:proofErr w:type="spellStart"/>
      <w:r>
        <w:rPr>
          <w:color w:val="000000"/>
        </w:rPr>
        <w:t>C</w:t>
      </w:r>
      <w:r w:rsidRPr="0015230D">
        <w:rPr>
          <w:color w:val="000000"/>
          <w:vertAlign w:val="subscript"/>
        </w:rPr>
        <w:t>i,</w:t>
      </w:r>
      <w:r w:rsidRPr="00FB651E">
        <w:rPr>
          <w:color w:val="000000"/>
          <w:vertAlign w:val="subscript"/>
        </w:rPr>
        <w:t>a</w:t>
      </w:r>
      <w:proofErr w:type="spellEnd"/>
      <w:r w:rsidR="009461D7">
        <w:rPr>
          <w:color w:val="000000"/>
          <w:vertAlign w:val="subscript"/>
        </w:rPr>
        <w:tab/>
      </w:r>
      <w:r w:rsidR="00A326E4">
        <w:rPr>
          <w:color w:val="000000"/>
          <w:vertAlign w:val="subscript"/>
        </w:rPr>
        <w:t xml:space="preserve"> </w:t>
      </w:r>
      <w:r w:rsidR="001040E9">
        <w:rPr>
          <w:color w:val="000000"/>
        </w:rPr>
        <w:t xml:space="preserve">Spezifische </w:t>
      </w:r>
      <w:r w:rsidR="001E79DF">
        <w:rPr>
          <w:color w:val="000000"/>
        </w:rPr>
        <w:t>CO</w:t>
      </w:r>
      <w:r w:rsidR="001E79DF" w:rsidRPr="00BC0946">
        <w:rPr>
          <w:color w:val="000000"/>
          <w:vertAlign w:val="subscript"/>
        </w:rPr>
        <w:t>2</w:t>
      </w:r>
      <w:r w:rsidR="001E79DF">
        <w:rPr>
          <w:color w:val="000000"/>
        </w:rPr>
        <w:t>-</w:t>
      </w:r>
      <w:r w:rsidR="001040E9">
        <w:rPr>
          <w:color w:val="000000"/>
        </w:rPr>
        <w:t>Emissionen</w:t>
      </w:r>
      <w:r w:rsidR="001E79DF">
        <w:rPr>
          <w:color w:val="000000"/>
        </w:rPr>
        <w:t xml:space="preserve"> des</w:t>
      </w:r>
      <w:r w:rsidR="00DA73F0">
        <w:rPr>
          <w:color w:val="000000"/>
        </w:rPr>
        <w:t xml:space="preserve"> Brennstoff</w:t>
      </w:r>
      <w:r w:rsidR="001E79DF">
        <w:rPr>
          <w:color w:val="000000"/>
        </w:rPr>
        <w:t>s</w:t>
      </w:r>
      <w:r w:rsidR="00DA73F0">
        <w:rPr>
          <w:color w:val="000000"/>
        </w:rPr>
        <w:t xml:space="preserve"> i</w:t>
      </w:r>
      <w:r w:rsidR="004E0651" w:rsidRPr="004E0651">
        <w:rPr>
          <w:color w:val="000000"/>
        </w:rPr>
        <w:t xml:space="preserve"> im Abrechnungsjahr a in t CO</w:t>
      </w:r>
      <w:r w:rsidR="004E0651" w:rsidRPr="004E0651">
        <w:rPr>
          <w:color w:val="000000"/>
          <w:vertAlign w:val="subscript"/>
        </w:rPr>
        <w:t>2</w:t>
      </w:r>
      <w:r w:rsidR="004E0651" w:rsidRPr="004E0651">
        <w:rPr>
          <w:color w:val="000000"/>
        </w:rPr>
        <w:t>/MWh</w:t>
      </w:r>
    </w:p>
    <w:p w14:paraId="610DE3D5" w14:textId="77777777" w:rsidR="0083356B" w:rsidRPr="0083356B" w:rsidRDefault="0083356B" w:rsidP="0083356B">
      <w:pPr>
        <w:rPr>
          <w:color w:val="000000"/>
        </w:rPr>
      </w:pPr>
      <w:proofErr w:type="spellStart"/>
      <w:r>
        <w:rPr>
          <w:color w:val="000000"/>
        </w:rPr>
        <w:t>MEV</w:t>
      </w:r>
      <w:r>
        <w:rPr>
          <w:color w:val="000000"/>
          <w:vertAlign w:val="subscript"/>
        </w:rPr>
        <w:t>i,a</w:t>
      </w:r>
      <w:proofErr w:type="spellEnd"/>
      <w:r w:rsidR="00A326E4">
        <w:rPr>
          <w:color w:val="000000"/>
        </w:rPr>
        <w:t xml:space="preserve"> </w:t>
      </w:r>
      <w:r w:rsidR="00DA73F0">
        <w:rPr>
          <w:color w:val="000000"/>
        </w:rPr>
        <w:t>Maßgeblicher Energieverbrauch für Brennstoff i im</w:t>
      </w:r>
      <w:r w:rsidR="00A326E4">
        <w:rPr>
          <w:color w:val="000000"/>
        </w:rPr>
        <w:t xml:space="preserve"> Abrechnungsjahr a in MWh</w:t>
      </w:r>
    </w:p>
    <w:p w14:paraId="6CEA3ADE" w14:textId="77777777" w:rsidR="00A828D5" w:rsidRPr="00862F90" w:rsidRDefault="003F5AF2" w:rsidP="009E24D9">
      <w:pPr>
        <w:rPr>
          <w:color w:val="000000"/>
        </w:rPr>
      </w:pPr>
      <w:r>
        <w:rPr>
          <w:color w:val="000000"/>
        </w:rPr>
        <w:t>[</w:t>
      </w:r>
      <w:r w:rsidR="00A326E4">
        <w:rPr>
          <w:color w:val="000000"/>
        </w:rPr>
        <w:t>ETSF</w:t>
      </w:r>
      <w:r w:rsidR="00A326E4">
        <w:rPr>
          <w:color w:val="000000"/>
        </w:rPr>
        <w:tab/>
      </w:r>
      <w:r>
        <w:rPr>
          <w:color w:val="000000"/>
        </w:rPr>
        <w:t xml:space="preserve"> </w:t>
      </w:r>
      <w:r w:rsidR="005168EA">
        <w:rPr>
          <w:color w:val="000000"/>
        </w:rPr>
        <w:t>Durchschnittliche</w:t>
      </w:r>
      <w:r>
        <w:rPr>
          <w:color w:val="000000"/>
        </w:rPr>
        <w:t>r</w:t>
      </w:r>
      <w:r w:rsidR="004E5D68">
        <w:rPr>
          <w:color w:val="000000"/>
        </w:rPr>
        <w:t xml:space="preserve"> Ausstattungsgrad </w:t>
      </w:r>
      <w:r>
        <w:rPr>
          <w:color w:val="000000"/>
        </w:rPr>
        <w:t xml:space="preserve">für </w:t>
      </w:r>
      <w:r w:rsidR="00D363CB">
        <w:rPr>
          <w:color w:val="000000"/>
        </w:rPr>
        <w:t xml:space="preserve">Carbon-Leakage eingestufte </w:t>
      </w:r>
      <w:r w:rsidR="00630F6D">
        <w:rPr>
          <w:color w:val="000000"/>
        </w:rPr>
        <w:t>Industriea</w:t>
      </w:r>
      <w:r>
        <w:rPr>
          <w:color w:val="000000"/>
        </w:rPr>
        <w:t>nlagen EU ETS]</w:t>
      </w:r>
    </w:p>
    <w:sectPr w:rsidR="00A828D5" w:rsidRPr="00862F90">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1C268" w14:textId="77777777" w:rsidR="00BF5805" w:rsidRDefault="00BF5805" w:rsidP="00726A42">
      <w:r>
        <w:separator/>
      </w:r>
    </w:p>
  </w:endnote>
  <w:endnote w:type="continuationSeparator" w:id="0">
    <w:p w14:paraId="7FE93294" w14:textId="77777777" w:rsidR="00BF5805" w:rsidRDefault="00BF5805" w:rsidP="0072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99034" w14:textId="77777777" w:rsidR="00BF5805" w:rsidRDefault="00BF5805" w:rsidP="00726A42">
      <w:r>
        <w:separator/>
      </w:r>
    </w:p>
  </w:footnote>
  <w:footnote w:type="continuationSeparator" w:id="0">
    <w:p w14:paraId="635E83C5" w14:textId="77777777" w:rsidR="00BF5805" w:rsidRDefault="00BF5805" w:rsidP="00726A42">
      <w:r>
        <w:continuationSeparator/>
      </w:r>
    </w:p>
  </w:footnote>
  <w:footnote w:id="1">
    <w:p w14:paraId="617287BF" w14:textId="27B245E2" w:rsidR="00456BF4" w:rsidRDefault="00456BF4" w:rsidP="00456BF4">
      <w:pPr>
        <w:pStyle w:val="Funotentext"/>
      </w:pPr>
      <w:r>
        <w:rPr>
          <w:rStyle w:val="Funotenzeichen"/>
        </w:rPr>
        <w:footnoteRef/>
      </w:r>
      <w:r>
        <w:t xml:space="preserve"> Anlagen, die bereits über den europäischen Emissionshandel einen Preis auf CO2 zahlen sollen möglichst nicht doppelt belastet werden, vgl. § </w:t>
      </w:r>
      <w:r w:rsidR="00AD796A">
        <w:t xml:space="preserve">7 (5) </w:t>
      </w:r>
      <w:r>
        <w:t>Brennstoffemissionshandelsgesetz.</w:t>
      </w:r>
    </w:p>
  </w:footnote>
  <w:footnote w:id="2">
    <w:p w14:paraId="01CE9B4F" w14:textId="77777777" w:rsidR="00BE6AAD" w:rsidRDefault="00BE6AAD">
      <w:pPr>
        <w:pStyle w:val="Funotentext"/>
      </w:pPr>
      <w:r>
        <w:rPr>
          <w:rStyle w:val="Funotenzeichen"/>
        </w:rPr>
        <w:footnoteRef/>
      </w:r>
      <w:r>
        <w:t xml:space="preserve"> </w:t>
      </w:r>
      <w:r w:rsidR="00DC1373">
        <w:t>I</w:t>
      </w:r>
      <w:r w:rsidR="0049270A">
        <w:t xml:space="preserve">m europäischen Vergleich </w:t>
      </w:r>
      <w:r w:rsidR="008627EB">
        <w:t>zahlen</w:t>
      </w:r>
      <w:r w:rsidR="00DC1373">
        <w:t xml:space="preserve"> </w:t>
      </w:r>
      <w:r w:rsidR="000D7293">
        <w:t xml:space="preserve">deutsche </w:t>
      </w:r>
      <w:r w:rsidR="008627EB">
        <w:t xml:space="preserve">KMUs </w:t>
      </w:r>
      <w:r w:rsidR="000D7293">
        <w:t xml:space="preserve">nach Zypern </w:t>
      </w:r>
      <w:r w:rsidR="008627EB">
        <w:t xml:space="preserve">die </w:t>
      </w:r>
      <w:r w:rsidR="00564245">
        <w:t>höchsten Strompreise</w:t>
      </w:r>
      <w:r w:rsidR="000D7293">
        <w:t xml:space="preserve">, vgl. </w:t>
      </w:r>
      <w:r w:rsidR="00077025">
        <w:t>„</w:t>
      </w:r>
      <w:r w:rsidR="00077025" w:rsidRPr="00836874">
        <w:t>Internationaler Strompreisvergleich (Industrie) 2018</w:t>
      </w:r>
      <w:r w:rsidR="00077025">
        <w:t xml:space="preserve">“ des </w:t>
      </w:r>
      <w:proofErr w:type="spellStart"/>
      <w:r w:rsidR="00077025">
        <w:t>BMWi</w:t>
      </w:r>
      <w:proofErr w:type="spellEnd"/>
      <w:r w:rsidR="00077025">
        <w:t>.</w:t>
      </w:r>
    </w:p>
  </w:footnote>
  <w:footnote w:id="3">
    <w:p w14:paraId="6E28CEE8" w14:textId="77777777" w:rsidR="00AC44D2" w:rsidRDefault="00AC44D2">
      <w:pPr>
        <w:pStyle w:val="Funotentext"/>
      </w:pPr>
      <w:r>
        <w:rPr>
          <w:rStyle w:val="Funotenzeichen"/>
        </w:rPr>
        <w:footnoteRef/>
      </w:r>
      <w:r>
        <w:t xml:space="preserve"> </w:t>
      </w:r>
      <w:r w:rsidR="00482887">
        <w:t xml:space="preserve">Umweltbundesamt </w:t>
      </w:r>
      <w:r w:rsidR="00A60CB2">
        <w:t>(2016): CO2-Emissionsfaktoren für fossile Brennstoffe</w:t>
      </w:r>
      <w:r w:rsidR="00E328A5">
        <w:t>.</w:t>
      </w:r>
    </w:p>
  </w:footnote>
  <w:footnote w:id="4">
    <w:p w14:paraId="2E9696BE" w14:textId="77777777" w:rsidR="009210C4" w:rsidRDefault="009210C4">
      <w:pPr>
        <w:pStyle w:val="Funotentext"/>
      </w:pPr>
      <w:r>
        <w:rPr>
          <w:rStyle w:val="Funotenzeichen"/>
        </w:rPr>
        <w:footnoteRef/>
      </w:r>
      <w:r>
        <w:t xml:space="preserve"> Umweltbundesamt (2019): </w:t>
      </w:r>
      <w:r w:rsidR="0087255A" w:rsidRPr="00836874">
        <w:t xml:space="preserve">Entwicklung der spezifischen Kohlendioxid- Emissionen des deutschen Strommix in den Jahren 1990 </w:t>
      </w:r>
      <w:r w:rsidR="0087255A">
        <w:t>–</w:t>
      </w:r>
      <w:r w:rsidR="0087255A" w:rsidRPr="00836874">
        <w:t xml:space="preserve"> 2018</w:t>
      </w:r>
      <w:r w:rsidR="0087255A">
        <w:t>.</w:t>
      </w:r>
    </w:p>
  </w:footnote>
  <w:footnote w:id="5">
    <w:p w14:paraId="6221B630" w14:textId="77777777" w:rsidR="00D820B4" w:rsidRDefault="00D820B4">
      <w:pPr>
        <w:pStyle w:val="Funotentext"/>
      </w:pPr>
      <w:r>
        <w:rPr>
          <w:rStyle w:val="Funotenzeichen"/>
        </w:rPr>
        <w:footnoteRef/>
      </w:r>
      <w:r>
        <w:t xml:space="preserve"> Die </w:t>
      </w:r>
      <w:r w:rsidR="00CB372C">
        <w:t xml:space="preserve">Zuordnung zu den Wirtschaftszweigen </w:t>
      </w:r>
      <w:r w:rsidR="005A7A75">
        <w:t>liegt den Statistischen Landesämtern ber</w:t>
      </w:r>
      <w:r w:rsidR="00356DC2">
        <w:t xml:space="preserve">eits vor. </w:t>
      </w:r>
    </w:p>
  </w:footnote>
  <w:footnote w:id="6">
    <w:p w14:paraId="42572DFF" w14:textId="77777777" w:rsidR="00842D14" w:rsidRPr="00836874" w:rsidRDefault="001C77B7" w:rsidP="00842D14">
      <w:pPr>
        <w:pStyle w:val="StandardWeb"/>
        <w:spacing w:before="0" w:beforeAutospacing="0" w:after="300" w:afterAutospacing="0"/>
        <w:rPr>
          <w:sz w:val="20"/>
          <w:szCs w:val="20"/>
        </w:rPr>
      </w:pPr>
      <w:r w:rsidRPr="00836874">
        <w:rPr>
          <w:rStyle w:val="Funotenzeichen"/>
          <w:sz w:val="20"/>
          <w:szCs w:val="20"/>
        </w:rPr>
        <w:footnoteRef/>
      </w:r>
      <w:r>
        <w:t xml:space="preserve"> </w:t>
      </w:r>
      <w:r w:rsidR="004C57D3" w:rsidRPr="00836874">
        <w:rPr>
          <w:sz w:val="20"/>
          <w:szCs w:val="20"/>
        </w:rPr>
        <w:t xml:space="preserve">Die Meldung kann analog zur </w:t>
      </w:r>
      <w:r w:rsidR="00D17D5C" w:rsidRPr="00836874">
        <w:rPr>
          <w:sz w:val="20"/>
          <w:szCs w:val="20"/>
        </w:rPr>
        <w:t xml:space="preserve">Entlastung der Nutzenergie erfolgen. </w:t>
      </w:r>
      <w:r w:rsidR="00770374" w:rsidRPr="00836874">
        <w:rPr>
          <w:sz w:val="20"/>
          <w:szCs w:val="20"/>
        </w:rPr>
        <w:t>In der zuständigen Bestimmung heißt es:</w:t>
      </w:r>
      <w:r w:rsidR="00A11431" w:rsidRPr="00836874">
        <w:rPr>
          <w:sz w:val="20"/>
          <w:szCs w:val="20"/>
        </w:rPr>
        <w:t xml:space="preserve"> </w:t>
      </w:r>
      <w:r w:rsidR="00770374" w:rsidRPr="00836874">
        <w:rPr>
          <w:sz w:val="20"/>
          <w:szCs w:val="20"/>
        </w:rPr>
        <w:t>„</w:t>
      </w:r>
      <w:r w:rsidR="00842D14" w:rsidRPr="00836874">
        <w:rPr>
          <w:sz w:val="20"/>
          <w:szCs w:val="20"/>
        </w:rPr>
        <w:t>Der Antragsteller muss</w:t>
      </w:r>
      <w:r w:rsidR="005A2779">
        <w:rPr>
          <w:sz w:val="20"/>
          <w:szCs w:val="20"/>
        </w:rPr>
        <w:t xml:space="preserve"> […]</w:t>
      </w:r>
      <w:r w:rsidR="00842D14" w:rsidRPr="00836874">
        <w:rPr>
          <w:sz w:val="20"/>
          <w:szCs w:val="20"/>
        </w:rPr>
        <w:t xml:space="preserve"> die entnommenen Strommengen eintragen und die Entlastung selbst berechnen (Entlastungsanmeldung).</w:t>
      </w:r>
      <w:r w:rsidR="00842D14">
        <w:rPr>
          <w:sz w:val="20"/>
          <w:szCs w:val="20"/>
        </w:rPr>
        <w:t xml:space="preserve"> </w:t>
      </w:r>
      <w:r w:rsidR="00842D14" w:rsidRPr="00836874">
        <w:rPr>
          <w:sz w:val="20"/>
          <w:szCs w:val="20"/>
        </w:rPr>
        <w:t xml:space="preserve">Die Anmeldung ist nach </w:t>
      </w:r>
      <w:r w:rsidR="00842D14" w:rsidRPr="00836874">
        <w:rPr>
          <w:rFonts w:hint="eastAsia"/>
          <w:sz w:val="20"/>
          <w:szCs w:val="20"/>
        </w:rPr>
        <w:t>§</w:t>
      </w:r>
      <w:r w:rsidR="00842D14" w:rsidRPr="00836874">
        <w:rPr>
          <w:sz w:val="20"/>
          <w:szCs w:val="20"/>
        </w:rPr>
        <w:t xml:space="preserve"> 17b Abs. 1 StromStV </w:t>
      </w:r>
      <w:r w:rsidR="00DD79B5">
        <w:rPr>
          <w:sz w:val="20"/>
          <w:szCs w:val="20"/>
        </w:rPr>
        <w:t>[…]</w:t>
      </w:r>
      <w:r w:rsidR="00842D14" w:rsidRPr="00836874">
        <w:rPr>
          <w:sz w:val="20"/>
          <w:szCs w:val="20"/>
        </w:rPr>
        <w:t xml:space="preserve"> beim zust</w:t>
      </w:r>
      <w:r w:rsidR="00842D14" w:rsidRPr="00836874">
        <w:rPr>
          <w:rFonts w:hint="eastAsia"/>
          <w:sz w:val="20"/>
          <w:szCs w:val="20"/>
        </w:rPr>
        <w:t>ä</w:t>
      </w:r>
      <w:r w:rsidR="00842D14" w:rsidRPr="00836874">
        <w:rPr>
          <w:sz w:val="20"/>
          <w:szCs w:val="20"/>
        </w:rPr>
        <w:t>ndigen Hauptzollamt einzureichen.</w:t>
      </w:r>
      <w:r w:rsidR="00770374">
        <w:rPr>
          <w:sz w:val="20"/>
          <w:szCs w:val="20"/>
        </w:rPr>
        <w:t>“</w:t>
      </w:r>
      <w:r w:rsidR="00974C2C">
        <w:rPr>
          <w:sz w:val="20"/>
          <w:szCs w:val="20"/>
        </w:rPr>
        <w:t xml:space="preserve"> (</w:t>
      </w:r>
      <w:r w:rsidR="00786266">
        <w:rPr>
          <w:sz w:val="20"/>
          <w:szCs w:val="20"/>
        </w:rPr>
        <w:t>vgl. zoll.de Steuerentlastung für Unternehmen nach § 9b StromStG).</w:t>
      </w:r>
    </w:p>
    <w:p w14:paraId="258C7252" w14:textId="77777777" w:rsidR="001C77B7" w:rsidRDefault="001C77B7">
      <w:pPr>
        <w:pStyle w:val="Funotentext"/>
      </w:pPr>
    </w:p>
  </w:footnote>
  <w:footnote w:id="7">
    <w:p w14:paraId="180A6FBC" w14:textId="77777777" w:rsidR="00786266" w:rsidRDefault="00786266">
      <w:pPr>
        <w:pStyle w:val="Funotentext"/>
      </w:pPr>
      <w:r>
        <w:rPr>
          <w:rStyle w:val="Funotenzeichen"/>
        </w:rPr>
        <w:footnoteRef/>
      </w:r>
      <w:r>
        <w:t xml:space="preserve"> Der durchschnittliche CO2-Preis </w:t>
      </w:r>
      <w:r w:rsidR="006D3B4A">
        <w:t>ist ab 2026 relevant. Vorher wird der festgelegte CO2-Preis des CO2-Preispfades zur Berechnung des Be</w:t>
      </w:r>
      <w:r w:rsidR="00CA47D0">
        <w:t>lastungsausgleichs herangezogen</w:t>
      </w:r>
      <w:r w:rsidR="00C43FAF">
        <w:t>.</w:t>
      </w:r>
    </w:p>
  </w:footnote>
  <w:footnote w:id="8">
    <w:p w14:paraId="636D3EC2" w14:textId="77777777" w:rsidR="00D324FA" w:rsidRDefault="00D324FA">
      <w:pPr>
        <w:pStyle w:val="Funotentext"/>
      </w:pPr>
      <w:r>
        <w:rPr>
          <w:rStyle w:val="Funotenzeichen"/>
        </w:rPr>
        <w:footnoteRef/>
      </w:r>
      <w:r>
        <w:t xml:space="preserve"> Vgl. § 2 Nr. 3 StromStG.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68FA" w14:textId="16AC838E" w:rsidR="00474CD4" w:rsidRPr="00405DE3" w:rsidRDefault="00CC1178" w:rsidP="00405DE3">
    <w:pPr>
      <w:rPr>
        <w:color w:val="000000"/>
      </w:rPr>
    </w:pPr>
    <w:sdt>
      <w:sdtPr>
        <w:id w:val="1191416784"/>
        <w:docPartObj>
          <w:docPartGallery w:val="Watermarks"/>
          <w:docPartUnique/>
        </w:docPartObj>
      </w:sdtPr>
      <w:sdtEndPr/>
      <w:sdtContent>
        <w:r>
          <w:pict w14:anchorId="7EAA2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474CD4">
      <w:t xml:space="preserve">Entwurf </w:t>
    </w:r>
    <w:r w:rsidR="00405DE3">
      <w:t>zu eine</w:t>
    </w:r>
    <w:r w:rsidR="00A17A43">
      <w:t>s</w:t>
    </w:r>
    <w:r w:rsidR="00405DE3">
      <w:t xml:space="preserve"> </w:t>
    </w:r>
    <w:r w:rsidR="00A17A43">
      <w:rPr>
        <w:color w:val="000000"/>
      </w:rPr>
      <w:t>Belastungsausgleichs</w:t>
    </w:r>
    <w:r w:rsidR="00405DE3">
      <w:rPr>
        <w:color w:val="000000"/>
      </w:rPr>
      <w:t xml:space="preserve"> </w:t>
    </w:r>
    <w:r w:rsidR="00A17A43">
      <w:rPr>
        <w:color w:val="000000"/>
      </w:rPr>
      <w:t xml:space="preserve">im </w:t>
    </w:r>
    <w:r w:rsidR="00020D38">
      <w:rPr>
        <w:color w:val="000000"/>
      </w:rPr>
      <w:t xml:space="preserve">Brennstoffemissionshandelsgesetz Stand </w:t>
    </w:r>
    <w:r w:rsidR="00A17A43">
      <w:rPr>
        <w:color w:val="000000"/>
      </w:rPr>
      <w:t>1</w:t>
    </w:r>
    <w:r w:rsidR="007D62D6">
      <w:rPr>
        <w:color w:val="000000"/>
      </w:rPr>
      <w:t>3</w:t>
    </w:r>
    <w:r w:rsidR="00020D38">
      <w:rPr>
        <w:color w:val="000000"/>
      </w:rPr>
      <w:t>.0</w:t>
    </w:r>
    <w:r w:rsidR="00A17A43">
      <w:rPr>
        <w:color w:val="000000"/>
      </w:rPr>
      <w:t>2</w:t>
    </w:r>
    <w:r w:rsidR="00020D38">
      <w:rPr>
        <w:color w:val="00000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02ED5"/>
    <w:multiLevelType w:val="hybridMultilevel"/>
    <w:tmpl w:val="A1F25968"/>
    <w:lvl w:ilvl="0" w:tplc="3ED004C8">
      <w:start w:val="1"/>
      <w:numFmt w:val="bullet"/>
      <w:lvlText w:val="•"/>
      <w:lvlJc w:val="left"/>
      <w:pPr>
        <w:tabs>
          <w:tab w:val="num" w:pos="720"/>
        </w:tabs>
        <w:ind w:left="720" w:hanging="360"/>
      </w:pPr>
      <w:rPr>
        <w:rFonts w:ascii="Arial" w:hAnsi="Arial" w:hint="default"/>
      </w:rPr>
    </w:lvl>
    <w:lvl w:ilvl="1" w:tplc="C2F4B234">
      <w:numFmt w:val="bullet"/>
      <w:lvlText w:val="•"/>
      <w:lvlJc w:val="left"/>
      <w:pPr>
        <w:tabs>
          <w:tab w:val="num" w:pos="1440"/>
        </w:tabs>
        <w:ind w:left="1440" w:hanging="360"/>
      </w:pPr>
      <w:rPr>
        <w:rFonts w:ascii="Arial" w:hAnsi="Arial" w:hint="default"/>
      </w:rPr>
    </w:lvl>
    <w:lvl w:ilvl="2" w:tplc="E348BEB6" w:tentative="1">
      <w:start w:val="1"/>
      <w:numFmt w:val="bullet"/>
      <w:lvlText w:val="•"/>
      <w:lvlJc w:val="left"/>
      <w:pPr>
        <w:tabs>
          <w:tab w:val="num" w:pos="2160"/>
        </w:tabs>
        <w:ind w:left="2160" w:hanging="360"/>
      </w:pPr>
      <w:rPr>
        <w:rFonts w:ascii="Arial" w:hAnsi="Arial" w:hint="default"/>
      </w:rPr>
    </w:lvl>
    <w:lvl w:ilvl="3" w:tplc="D562CFF2" w:tentative="1">
      <w:start w:val="1"/>
      <w:numFmt w:val="bullet"/>
      <w:lvlText w:val="•"/>
      <w:lvlJc w:val="left"/>
      <w:pPr>
        <w:tabs>
          <w:tab w:val="num" w:pos="2880"/>
        </w:tabs>
        <w:ind w:left="2880" w:hanging="360"/>
      </w:pPr>
      <w:rPr>
        <w:rFonts w:ascii="Arial" w:hAnsi="Arial" w:hint="default"/>
      </w:rPr>
    </w:lvl>
    <w:lvl w:ilvl="4" w:tplc="3782FDD8" w:tentative="1">
      <w:start w:val="1"/>
      <w:numFmt w:val="bullet"/>
      <w:lvlText w:val="•"/>
      <w:lvlJc w:val="left"/>
      <w:pPr>
        <w:tabs>
          <w:tab w:val="num" w:pos="3600"/>
        </w:tabs>
        <w:ind w:left="3600" w:hanging="360"/>
      </w:pPr>
      <w:rPr>
        <w:rFonts w:ascii="Arial" w:hAnsi="Arial" w:hint="default"/>
      </w:rPr>
    </w:lvl>
    <w:lvl w:ilvl="5" w:tplc="E2125E12" w:tentative="1">
      <w:start w:val="1"/>
      <w:numFmt w:val="bullet"/>
      <w:lvlText w:val="•"/>
      <w:lvlJc w:val="left"/>
      <w:pPr>
        <w:tabs>
          <w:tab w:val="num" w:pos="4320"/>
        </w:tabs>
        <w:ind w:left="4320" w:hanging="360"/>
      </w:pPr>
      <w:rPr>
        <w:rFonts w:ascii="Arial" w:hAnsi="Arial" w:hint="default"/>
      </w:rPr>
    </w:lvl>
    <w:lvl w:ilvl="6" w:tplc="7666CCD6" w:tentative="1">
      <w:start w:val="1"/>
      <w:numFmt w:val="bullet"/>
      <w:lvlText w:val="•"/>
      <w:lvlJc w:val="left"/>
      <w:pPr>
        <w:tabs>
          <w:tab w:val="num" w:pos="5040"/>
        </w:tabs>
        <w:ind w:left="5040" w:hanging="360"/>
      </w:pPr>
      <w:rPr>
        <w:rFonts w:ascii="Arial" w:hAnsi="Arial" w:hint="default"/>
      </w:rPr>
    </w:lvl>
    <w:lvl w:ilvl="7" w:tplc="BC940738" w:tentative="1">
      <w:start w:val="1"/>
      <w:numFmt w:val="bullet"/>
      <w:lvlText w:val="•"/>
      <w:lvlJc w:val="left"/>
      <w:pPr>
        <w:tabs>
          <w:tab w:val="num" w:pos="5760"/>
        </w:tabs>
        <w:ind w:left="5760" w:hanging="360"/>
      </w:pPr>
      <w:rPr>
        <w:rFonts w:ascii="Arial" w:hAnsi="Arial" w:hint="default"/>
      </w:rPr>
    </w:lvl>
    <w:lvl w:ilvl="8" w:tplc="4F1A04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EC6176"/>
    <w:multiLevelType w:val="hybridMultilevel"/>
    <w:tmpl w:val="8F74F832"/>
    <w:lvl w:ilvl="0" w:tplc="5FD4C60C">
      <w:start w:val="1"/>
      <w:numFmt w:val="bullet"/>
      <w:lvlText w:val="•"/>
      <w:lvlJc w:val="left"/>
      <w:pPr>
        <w:tabs>
          <w:tab w:val="num" w:pos="720"/>
        </w:tabs>
        <w:ind w:left="720" w:hanging="360"/>
      </w:pPr>
      <w:rPr>
        <w:rFonts w:ascii="Arial" w:hAnsi="Arial" w:hint="default"/>
      </w:rPr>
    </w:lvl>
    <w:lvl w:ilvl="1" w:tplc="3528B532" w:tentative="1">
      <w:start w:val="1"/>
      <w:numFmt w:val="bullet"/>
      <w:lvlText w:val="•"/>
      <w:lvlJc w:val="left"/>
      <w:pPr>
        <w:tabs>
          <w:tab w:val="num" w:pos="1440"/>
        </w:tabs>
        <w:ind w:left="1440" w:hanging="360"/>
      </w:pPr>
      <w:rPr>
        <w:rFonts w:ascii="Arial" w:hAnsi="Arial" w:hint="default"/>
      </w:rPr>
    </w:lvl>
    <w:lvl w:ilvl="2" w:tplc="CC08086E" w:tentative="1">
      <w:start w:val="1"/>
      <w:numFmt w:val="bullet"/>
      <w:lvlText w:val="•"/>
      <w:lvlJc w:val="left"/>
      <w:pPr>
        <w:tabs>
          <w:tab w:val="num" w:pos="2160"/>
        </w:tabs>
        <w:ind w:left="2160" w:hanging="360"/>
      </w:pPr>
      <w:rPr>
        <w:rFonts w:ascii="Arial" w:hAnsi="Arial" w:hint="default"/>
      </w:rPr>
    </w:lvl>
    <w:lvl w:ilvl="3" w:tplc="A3D6DAE0" w:tentative="1">
      <w:start w:val="1"/>
      <w:numFmt w:val="bullet"/>
      <w:lvlText w:val="•"/>
      <w:lvlJc w:val="left"/>
      <w:pPr>
        <w:tabs>
          <w:tab w:val="num" w:pos="2880"/>
        </w:tabs>
        <w:ind w:left="2880" w:hanging="360"/>
      </w:pPr>
      <w:rPr>
        <w:rFonts w:ascii="Arial" w:hAnsi="Arial" w:hint="default"/>
      </w:rPr>
    </w:lvl>
    <w:lvl w:ilvl="4" w:tplc="6882D0CC" w:tentative="1">
      <w:start w:val="1"/>
      <w:numFmt w:val="bullet"/>
      <w:lvlText w:val="•"/>
      <w:lvlJc w:val="left"/>
      <w:pPr>
        <w:tabs>
          <w:tab w:val="num" w:pos="3600"/>
        </w:tabs>
        <w:ind w:left="3600" w:hanging="360"/>
      </w:pPr>
      <w:rPr>
        <w:rFonts w:ascii="Arial" w:hAnsi="Arial" w:hint="default"/>
      </w:rPr>
    </w:lvl>
    <w:lvl w:ilvl="5" w:tplc="D8AE32CC" w:tentative="1">
      <w:start w:val="1"/>
      <w:numFmt w:val="bullet"/>
      <w:lvlText w:val="•"/>
      <w:lvlJc w:val="left"/>
      <w:pPr>
        <w:tabs>
          <w:tab w:val="num" w:pos="4320"/>
        </w:tabs>
        <w:ind w:left="4320" w:hanging="360"/>
      </w:pPr>
      <w:rPr>
        <w:rFonts w:ascii="Arial" w:hAnsi="Arial" w:hint="default"/>
      </w:rPr>
    </w:lvl>
    <w:lvl w:ilvl="6" w:tplc="12467D80" w:tentative="1">
      <w:start w:val="1"/>
      <w:numFmt w:val="bullet"/>
      <w:lvlText w:val="•"/>
      <w:lvlJc w:val="left"/>
      <w:pPr>
        <w:tabs>
          <w:tab w:val="num" w:pos="5040"/>
        </w:tabs>
        <w:ind w:left="5040" w:hanging="360"/>
      </w:pPr>
      <w:rPr>
        <w:rFonts w:ascii="Arial" w:hAnsi="Arial" w:hint="default"/>
      </w:rPr>
    </w:lvl>
    <w:lvl w:ilvl="7" w:tplc="15A48AB6" w:tentative="1">
      <w:start w:val="1"/>
      <w:numFmt w:val="bullet"/>
      <w:lvlText w:val="•"/>
      <w:lvlJc w:val="left"/>
      <w:pPr>
        <w:tabs>
          <w:tab w:val="num" w:pos="5760"/>
        </w:tabs>
        <w:ind w:left="5760" w:hanging="360"/>
      </w:pPr>
      <w:rPr>
        <w:rFonts w:ascii="Arial" w:hAnsi="Arial" w:hint="default"/>
      </w:rPr>
    </w:lvl>
    <w:lvl w:ilvl="8" w:tplc="107CA1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8D44B1"/>
    <w:multiLevelType w:val="hybridMultilevel"/>
    <w:tmpl w:val="05FE369A"/>
    <w:lvl w:ilvl="0" w:tplc="B83C461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DE4AEE"/>
    <w:multiLevelType w:val="hybridMultilevel"/>
    <w:tmpl w:val="8CD64E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3A"/>
    <w:rsid w:val="000000AD"/>
    <w:rsid w:val="0000104E"/>
    <w:rsid w:val="000018AE"/>
    <w:rsid w:val="00002D7F"/>
    <w:rsid w:val="00004684"/>
    <w:rsid w:val="00005600"/>
    <w:rsid w:val="00012176"/>
    <w:rsid w:val="00015310"/>
    <w:rsid w:val="00020D38"/>
    <w:rsid w:val="00021833"/>
    <w:rsid w:val="00023079"/>
    <w:rsid w:val="0002546C"/>
    <w:rsid w:val="00027003"/>
    <w:rsid w:val="00034C4F"/>
    <w:rsid w:val="0003603A"/>
    <w:rsid w:val="000402DB"/>
    <w:rsid w:val="00040F55"/>
    <w:rsid w:val="000417AB"/>
    <w:rsid w:val="00041D4C"/>
    <w:rsid w:val="00043FB9"/>
    <w:rsid w:val="00046F55"/>
    <w:rsid w:val="000507F5"/>
    <w:rsid w:val="00051657"/>
    <w:rsid w:val="00051D6D"/>
    <w:rsid w:val="00052666"/>
    <w:rsid w:val="00052F30"/>
    <w:rsid w:val="00053245"/>
    <w:rsid w:val="00054345"/>
    <w:rsid w:val="00054891"/>
    <w:rsid w:val="00057A77"/>
    <w:rsid w:val="000626F0"/>
    <w:rsid w:val="00062E9A"/>
    <w:rsid w:val="000648F5"/>
    <w:rsid w:val="00066098"/>
    <w:rsid w:val="000727D8"/>
    <w:rsid w:val="00073519"/>
    <w:rsid w:val="00073872"/>
    <w:rsid w:val="00074C6D"/>
    <w:rsid w:val="00077025"/>
    <w:rsid w:val="000770A9"/>
    <w:rsid w:val="00085FF7"/>
    <w:rsid w:val="00086801"/>
    <w:rsid w:val="00093107"/>
    <w:rsid w:val="000945CA"/>
    <w:rsid w:val="00095CC5"/>
    <w:rsid w:val="000A1FBD"/>
    <w:rsid w:val="000A556A"/>
    <w:rsid w:val="000A5970"/>
    <w:rsid w:val="000A766F"/>
    <w:rsid w:val="000B0ACC"/>
    <w:rsid w:val="000B1242"/>
    <w:rsid w:val="000B2E44"/>
    <w:rsid w:val="000B3703"/>
    <w:rsid w:val="000B4039"/>
    <w:rsid w:val="000B497E"/>
    <w:rsid w:val="000B4C04"/>
    <w:rsid w:val="000B5B1D"/>
    <w:rsid w:val="000B5DA4"/>
    <w:rsid w:val="000B7A21"/>
    <w:rsid w:val="000C4A54"/>
    <w:rsid w:val="000C4DF9"/>
    <w:rsid w:val="000C6EAE"/>
    <w:rsid w:val="000C6F0F"/>
    <w:rsid w:val="000C7D8B"/>
    <w:rsid w:val="000D0B9A"/>
    <w:rsid w:val="000D1FE3"/>
    <w:rsid w:val="000D4DBE"/>
    <w:rsid w:val="000D5A44"/>
    <w:rsid w:val="000D7293"/>
    <w:rsid w:val="000E33F5"/>
    <w:rsid w:val="000E3ABC"/>
    <w:rsid w:val="000E40FA"/>
    <w:rsid w:val="000F0C98"/>
    <w:rsid w:val="000F7152"/>
    <w:rsid w:val="0010209E"/>
    <w:rsid w:val="001028CB"/>
    <w:rsid w:val="001031BF"/>
    <w:rsid w:val="0010377C"/>
    <w:rsid w:val="00103893"/>
    <w:rsid w:val="00103DD7"/>
    <w:rsid w:val="001040E9"/>
    <w:rsid w:val="001047B3"/>
    <w:rsid w:val="0010556C"/>
    <w:rsid w:val="001078E7"/>
    <w:rsid w:val="00110A5A"/>
    <w:rsid w:val="00114D51"/>
    <w:rsid w:val="001165CB"/>
    <w:rsid w:val="0012264A"/>
    <w:rsid w:val="001228C2"/>
    <w:rsid w:val="00124445"/>
    <w:rsid w:val="00126AA4"/>
    <w:rsid w:val="00127917"/>
    <w:rsid w:val="00127F4B"/>
    <w:rsid w:val="00130E79"/>
    <w:rsid w:val="00133172"/>
    <w:rsid w:val="001335D4"/>
    <w:rsid w:val="00133AED"/>
    <w:rsid w:val="00133C62"/>
    <w:rsid w:val="00137465"/>
    <w:rsid w:val="00140B99"/>
    <w:rsid w:val="001412E0"/>
    <w:rsid w:val="00141525"/>
    <w:rsid w:val="00142401"/>
    <w:rsid w:val="00144BA0"/>
    <w:rsid w:val="001454B0"/>
    <w:rsid w:val="0014597F"/>
    <w:rsid w:val="001504BB"/>
    <w:rsid w:val="00151114"/>
    <w:rsid w:val="0015230D"/>
    <w:rsid w:val="00156487"/>
    <w:rsid w:val="0015675D"/>
    <w:rsid w:val="001574B2"/>
    <w:rsid w:val="001603F1"/>
    <w:rsid w:val="001650DF"/>
    <w:rsid w:val="0017284A"/>
    <w:rsid w:val="00172A8C"/>
    <w:rsid w:val="00176A56"/>
    <w:rsid w:val="001808B8"/>
    <w:rsid w:val="001838D4"/>
    <w:rsid w:val="00184643"/>
    <w:rsid w:val="00185FB4"/>
    <w:rsid w:val="001876CE"/>
    <w:rsid w:val="00187DAC"/>
    <w:rsid w:val="00191CCE"/>
    <w:rsid w:val="00192B4C"/>
    <w:rsid w:val="001A050D"/>
    <w:rsid w:val="001A0A25"/>
    <w:rsid w:val="001A4FC1"/>
    <w:rsid w:val="001A53E7"/>
    <w:rsid w:val="001A6C4E"/>
    <w:rsid w:val="001B1064"/>
    <w:rsid w:val="001B49A7"/>
    <w:rsid w:val="001B7035"/>
    <w:rsid w:val="001C05EE"/>
    <w:rsid w:val="001C1480"/>
    <w:rsid w:val="001C1D89"/>
    <w:rsid w:val="001C2F11"/>
    <w:rsid w:val="001C6A7B"/>
    <w:rsid w:val="001C73E7"/>
    <w:rsid w:val="001C77B7"/>
    <w:rsid w:val="001D07BD"/>
    <w:rsid w:val="001D1327"/>
    <w:rsid w:val="001D22C7"/>
    <w:rsid w:val="001D3B57"/>
    <w:rsid w:val="001E1243"/>
    <w:rsid w:val="001E40C5"/>
    <w:rsid w:val="001E535E"/>
    <w:rsid w:val="001E5EC1"/>
    <w:rsid w:val="001E63AA"/>
    <w:rsid w:val="001E79DF"/>
    <w:rsid w:val="001F081B"/>
    <w:rsid w:val="001F5B75"/>
    <w:rsid w:val="001F6B08"/>
    <w:rsid w:val="0020187F"/>
    <w:rsid w:val="00203ED0"/>
    <w:rsid w:val="002047D5"/>
    <w:rsid w:val="00204E94"/>
    <w:rsid w:val="0020728D"/>
    <w:rsid w:val="00210879"/>
    <w:rsid w:val="002134F9"/>
    <w:rsid w:val="002144C2"/>
    <w:rsid w:val="0021634F"/>
    <w:rsid w:val="00220ED8"/>
    <w:rsid w:val="00221A68"/>
    <w:rsid w:val="00222DEE"/>
    <w:rsid w:val="0022649C"/>
    <w:rsid w:val="00226A3E"/>
    <w:rsid w:val="00226F1A"/>
    <w:rsid w:val="00227171"/>
    <w:rsid w:val="00231757"/>
    <w:rsid w:val="002325C7"/>
    <w:rsid w:val="00233F63"/>
    <w:rsid w:val="0024370C"/>
    <w:rsid w:val="00243C4E"/>
    <w:rsid w:val="00244C06"/>
    <w:rsid w:val="0024695A"/>
    <w:rsid w:val="00256DF8"/>
    <w:rsid w:val="0025728E"/>
    <w:rsid w:val="00257459"/>
    <w:rsid w:val="00261422"/>
    <w:rsid w:val="002626EF"/>
    <w:rsid w:val="00266D07"/>
    <w:rsid w:val="00276004"/>
    <w:rsid w:val="00276FFE"/>
    <w:rsid w:val="00280809"/>
    <w:rsid w:val="00281047"/>
    <w:rsid w:val="002938E5"/>
    <w:rsid w:val="002A07D5"/>
    <w:rsid w:val="002A1CD9"/>
    <w:rsid w:val="002A5D06"/>
    <w:rsid w:val="002B048E"/>
    <w:rsid w:val="002B1B8E"/>
    <w:rsid w:val="002B1F1F"/>
    <w:rsid w:val="002B4590"/>
    <w:rsid w:val="002B45F8"/>
    <w:rsid w:val="002B50C2"/>
    <w:rsid w:val="002C4A75"/>
    <w:rsid w:val="002C5B6C"/>
    <w:rsid w:val="002C6DA8"/>
    <w:rsid w:val="002C6F57"/>
    <w:rsid w:val="002D42B0"/>
    <w:rsid w:val="002D5177"/>
    <w:rsid w:val="002D67B5"/>
    <w:rsid w:val="002E06A0"/>
    <w:rsid w:val="002E6E63"/>
    <w:rsid w:val="002F037F"/>
    <w:rsid w:val="002F195D"/>
    <w:rsid w:val="002F4803"/>
    <w:rsid w:val="002F52F1"/>
    <w:rsid w:val="002F53F0"/>
    <w:rsid w:val="002F604F"/>
    <w:rsid w:val="00300B98"/>
    <w:rsid w:val="00305EA4"/>
    <w:rsid w:val="003076DC"/>
    <w:rsid w:val="00307D09"/>
    <w:rsid w:val="0031035F"/>
    <w:rsid w:val="00313D53"/>
    <w:rsid w:val="0031483A"/>
    <w:rsid w:val="00315351"/>
    <w:rsid w:val="00317933"/>
    <w:rsid w:val="00317FA9"/>
    <w:rsid w:val="00321EEB"/>
    <w:rsid w:val="00322D93"/>
    <w:rsid w:val="00323EB3"/>
    <w:rsid w:val="00327E19"/>
    <w:rsid w:val="0033081F"/>
    <w:rsid w:val="00331B47"/>
    <w:rsid w:val="00332D30"/>
    <w:rsid w:val="00335695"/>
    <w:rsid w:val="00337C29"/>
    <w:rsid w:val="00342B97"/>
    <w:rsid w:val="003504C0"/>
    <w:rsid w:val="00354D90"/>
    <w:rsid w:val="00354ECA"/>
    <w:rsid w:val="003556FD"/>
    <w:rsid w:val="00356426"/>
    <w:rsid w:val="00356DC2"/>
    <w:rsid w:val="00360263"/>
    <w:rsid w:val="0036046D"/>
    <w:rsid w:val="00360743"/>
    <w:rsid w:val="0036195A"/>
    <w:rsid w:val="00361E56"/>
    <w:rsid w:val="00361FD8"/>
    <w:rsid w:val="00366570"/>
    <w:rsid w:val="00367322"/>
    <w:rsid w:val="003700AF"/>
    <w:rsid w:val="003715FC"/>
    <w:rsid w:val="0037308A"/>
    <w:rsid w:val="003801FB"/>
    <w:rsid w:val="00380616"/>
    <w:rsid w:val="00382B8B"/>
    <w:rsid w:val="0038352E"/>
    <w:rsid w:val="00383D5B"/>
    <w:rsid w:val="00385071"/>
    <w:rsid w:val="003865F8"/>
    <w:rsid w:val="00390951"/>
    <w:rsid w:val="00392E02"/>
    <w:rsid w:val="00394FFD"/>
    <w:rsid w:val="00396D39"/>
    <w:rsid w:val="003A0B94"/>
    <w:rsid w:val="003A1BCF"/>
    <w:rsid w:val="003A7007"/>
    <w:rsid w:val="003A7105"/>
    <w:rsid w:val="003A7686"/>
    <w:rsid w:val="003B0717"/>
    <w:rsid w:val="003B3EB8"/>
    <w:rsid w:val="003B68A4"/>
    <w:rsid w:val="003B76D4"/>
    <w:rsid w:val="003C0B28"/>
    <w:rsid w:val="003C45DF"/>
    <w:rsid w:val="003C5178"/>
    <w:rsid w:val="003C5543"/>
    <w:rsid w:val="003D7175"/>
    <w:rsid w:val="003D7C2E"/>
    <w:rsid w:val="003E0795"/>
    <w:rsid w:val="003E31D9"/>
    <w:rsid w:val="003E3472"/>
    <w:rsid w:val="003E39C6"/>
    <w:rsid w:val="003E502A"/>
    <w:rsid w:val="003E5863"/>
    <w:rsid w:val="003E6CAB"/>
    <w:rsid w:val="003F19FD"/>
    <w:rsid w:val="003F5AF2"/>
    <w:rsid w:val="003F6A57"/>
    <w:rsid w:val="00400F15"/>
    <w:rsid w:val="00401CF5"/>
    <w:rsid w:val="0040311C"/>
    <w:rsid w:val="00405DE3"/>
    <w:rsid w:val="00406308"/>
    <w:rsid w:val="0041005F"/>
    <w:rsid w:val="0041069D"/>
    <w:rsid w:val="00421D17"/>
    <w:rsid w:val="0042254B"/>
    <w:rsid w:val="004247F9"/>
    <w:rsid w:val="00424819"/>
    <w:rsid w:val="00424964"/>
    <w:rsid w:val="00425FB9"/>
    <w:rsid w:val="00426B70"/>
    <w:rsid w:val="00427382"/>
    <w:rsid w:val="00427E81"/>
    <w:rsid w:val="00433D06"/>
    <w:rsid w:val="00435971"/>
    <w:rsid w:val="00435D16"/>
    <w:rsid w:val="004370C4"/>
    <w:rsid w:val="00443C51"/>
    <w:rsid w:val="00444F1C"/>
    <w:rsid w:val="00446593"/>
    <w:rsid w:val="00446830"/>
    <w:rsid w:val="00446C0F"/>
    <w:rsid w:val="0044751C"/>
    <w:rsid w:val="004521A5"/>
    <w:rsid w:val="00452713"/>
    <w:rsid w:val="004533CF"/>
    <w:rsid w:val="0045460D"/>
    <w:rsid w:val="0045465E"/>
    <w:rsid w:val="004552D3"/>
    <w:rsid w:val="004554E4"/>
    <w:rsid w:val="00455CF6"/>
    <w:rsid w:val="00456BF4"/>
    <w:rsid w:val="004604DF"/>
    <w:rsid w:val="00460933"/>
    <w:rsid w:val="00463868"/>
    <w:rsid w:val="00464251"/>
    <w:rsid w:val="00464700"/>
    <w:rsid w:val="00465313"/>
    <w:rsid w:val="00465AF7"/>
    <w:rsid w:val="00471E94"/>
    <w:rsid w:val="00473D3C"/>
    <w:rsid w:val="00474B77"/>
    <w:rsid w:val="00474CD4"/>
    <w:rsid w:val="00475D52"/>
    <w:rsid w:val="0047765A"/>
    <w:rsid w:val="0048042C"/>
    <w:rsid w:val="00480A7B"/>
    <w:rsid w:val="00481FB7"/>
    <w:rsid w:val="00482887"/>
    <w:rsid w:val="004836CF"/>
    <w:rsid w:val="00487D91"/>
    <w:rsid w:val="004923E1"/>
    <w:rsid w:val="0049270A"/>
    <w:rsid w:val="00496454"/>
    <w:rsid w:val="004A2B03"/>
    <w:rsid w:val="004A2D6D"/>
    <w:rsid w:val="004A745C"/>
    <w:rsid w:val="004B07E4"/>
    <w:rsid w:val="004B7139"/>
    <w:rsid w:val="004C1E04"/>
    <w:rsid w:val="004C3B5C"/>
    <w:rsid w:val="004C57D3"/>
    <w:rsid w:val="004C6967"/>
    <w:rsid w:val="004C7695"/>
    <w:rsid w:val="004D16D1"/>
    <w:rsid w:val="004D2737"/>
    <w:rsid w:val="004D4631"/>
    <w:rsid w:val="004D472C"/>
    <w:rsid w:val="004D4906"/>
    <w:rsid w:val="004D603A"/>
    <w:rsid w:val="004E0651"/>
    <w:rsid w:val="004E0D91"/>
    <w:rsid w:val="004E2F51"/>
    <w:rsid w:val="004E3B44"/>
    <w:rsid w:val="004E3F3B"/>
    <w:rsid w:val="004E45BF"/>
    <w:rsid w:val="004E5D68"/>
    <w:rsid w:val="004E5FCA"/>
    <w:rsid w:val="004E6D99"/>
    <w:rsid w:val="004E731C"/>
    <w:rsid w:val="004F086C"/>
    <w:rsid w:val="004F08B3"/>
    <w:rsid w:val="004F1D98"/>
    <w:rsid w:val="004F2F72"/>
    <w:rsid w:val="0050064A"/>
    <w:rsid w:val="005018F7"/>
    <w:rsid w:val="00501E2D"/>
    <w:rsid w:val="00502AD0"/>
    <w:rsid w:val="00505648"/>
    <w:rsid w:val="00505AD3"/>
    <w:rsid w:val="00506A48"/>
    <w:rsid w:val="00510D5D"/>
    <w:rsid w:val="005126CD"/>
    <w:rsid w:val="00512F73"/>
    <w:rsid w:val="00514792"/>
    <w:rsid w:val="005152A7"/>
    <w:rsid w:val="00515E41"/>
    <w:rsid w:val="005168EA"/>
    <w:rsid w:val="00523612"/>
    <w:rsid w:val="00524427"/>
    <w:rsid w:val="00525261"/>
    <w:rsid w:val="00525489"/>
    <w:rsid w:val="005330F0"/>
    <w:rsid w:val="0053614D"/>
    <w:rsid w:val="0053631D"/>
    <w:rsid w:val="005363C0"/>
    <w:rsid w:val="00536C81"/>
    <w:rsid w:val="00540C13"/>
    <w:rsid w:val="005413FA"/>
    <w:rsid w:val="005432CA"/>
    <w:rsid w:val="0054734C"/>
    <w:rsid w:val="00553286"/>
    <w:rsid w:val="00555171"/>
    <w:rsid w:val="00555492"/>
    <w:rsid w:val="00555882"/>
    <w:rsid w:val="00556051"/>
    <w:rsid w:val="0055766D"/>
    <w:rsid w:val="00564245"/>
    <w:rsid w:val="005657E8"/>
    <w:rsid w:val="00566009"/>
    <w:rsid w:val="0057053F"/>
    <w:rsid w:val="00571823"/>
    <w:rsid w:val="00571963"/>
    <w:rsid w:val="00571DBB"/>
    <w:rsid w:val="00573DB6"/>
    <w:rsid w:val="00573EEF"/>
    <w:rsid w:val="005755C2"/>
    <w:rsid w:val="00575F34"/>
    <w:rsid w:val="0057628B"/>
    <w:rsid w:val="00581134"/>
    <w:rsid w:val="00584CCD"/>
    <w:rsid w:val="0059273D"/>
    <w:rsid w:val="00595A0C"/>
    <w:rsid w:val="00596700"/>
    <w:rsid w:val="005967FF"/>
    <w:rsid w:val="005A2779"/>
    <w:rsid w:val="005A27C7"/>
    <w:rsid w:val="005A2CC7"/>
    <w:rsid w:val="005A416F"/>
    <w:rsid w:val="005A472A"/>
    <w:rsid w:val="005A4E3B"/>
    <w:rsid w:val="005A60C7"/>
    <w:rsid w:val="005A6B87"/>
    <w:rsid w:val="005A6EA6"/>
    <w:rsid w:val="005A75FF"/>
    <w:rsid w:val="005A7A75"/>
    <w:rsid w:val="005B06A1"/>
    <w:rsid w:val="005B2CE8"/>
    <w:rsid w:val="005B45F3"/>
    <w:rsid w:val="005B6C84"/>
    <w:rsid w:val="005B7A0D"/>
    <w:rsid w:val="005C32B4"/>
    <w:rsid w:val="005C7B38"/>
    <w:rsid w:val="005D07E3"/>
    <w:rsid w:val="005D405E"/>
    <w:rsid w:val="005D48CF"/>
    <w:rsid w:val="005D62F1"/>
    <w:rsid w:val="005D6B2E"/>
    <w:rsid w:val="005E0851"/>
    <w:rsid w:val="005E1734"/>
    <w:rsid w:val="005E17B3"/>
    <w:rsid w:val="005E2A4F"/>
    <w:rsid w:val="005E6C0F"/>
    <w:rsid w:val="005E76DA"/>
    <w:rsid w:val="005F229F"/>
    <w:rsid w:val="005F4321"/>
    <w:rsid w:val="005F78B2"/>
    <w:rsid w:val="006061FC"/>
    <w:rsid w:val="006077EB"/>
    <w:rsid w:val="00610DDE"/>
    <w:rsid w:val="0061187A"/>
    <w:rsid w:val="00612116"/>
    <w:rsid w:val="0061629C"/>
    <w:rsid w:val="00617709"/>
    <w:rsid w:val="00617B92"/>
    <w:rsid w:val="00622566"/>
    <w:rsid w:val="006238DC"/>
    <w:rsid w:val="00623C6C"/>
    <w:rsid w:val="00626B8E"/>
    <w:rsid w:val="00626BE6"/>
    <w:rsid w:val="00627126"/>
    <w:rsid w:val="0063026F"/>
    <w:rsid w:val="006303E4"/>
    <w:rsid w:val="00630F6D"/>
    <w:rsid w:val="00635917"/>
    <w:rsid w:val="00635FAA"/>
    <w:rsid w:val="00640103"/>
    <w:rsid w:val="00640F21"/>
    <w:rsid w:val="00643611"/>
    <w:rsid w:val="00643C31"/>
    <w:rsid w:val="0064616A"/>
    <w:rsid w:val="00651C6F"/>
    <w:rsid w:val="006538B5"/>
    <w:rsid w:val="0065423D"/>
    <w:rsid w:val="00654A04"/>
    <w:rsid w:val="00655EFE"/>
    <w:rsid w:val="00656EF6"/>
    <w:rsid w:val="00663A6B"/>
    <w:rsid w:val="0066453E"/>
    <w:rsid w:val="006649AC"/>
    <w:rsid w:val="006673ED"/>
    <w:rsid w:val="006706B9"/>
    <w:rsid w:val="006717DA"/>
    <w:rsid w:val="006728AE"/>
    <w:rsid w:val="00672992"/>
    <w:rsid w:val="006764A5"/>
    <w:rsid w:val="00681783"/>
    <w:rsid w:val="00681FC5"/>
    <w:rsid w:val="00682E0A"/>
    <w:rsid w:val="006860CB"/>
    <w:rsid w:val="006869C1"/>
    <w:rsid w:val="00687D28"/>
    <w:rsid w:val="00687D82"/>
    <w:rsid w:val="00691EA6"/>
    <w:rsid w:val="0069373B"/>
    <w:rsid w:val="0069383F"/>
    <w:rsid w:val="00694703"/>
    <w:rsid w:val="00694B19"/>
    <w:rsid w:val="00697EA3"/>
    <w:rsid w:val="006A13FF"/>
    <w:rsid w:val="006A5F2D"/>
    <w:rsid w:val="006A7C03"/>
    <w:rsid w:val="006B2712"/>
    <w:rsid w:val="006B3CF5"/>
    <w:rsid w:val="006B4B48"/>
    <w:rsid w:val="006B5C09"/>
    <w:rsid w:val="006B6901"/>
    <w:rsid w:val="006B7CB7"/>
    <w:rsid w:val="006C15A4"/>
    <w:rsid w:val="006C2A00"/>
    <w:rsid w:val="006C3284"/>
    <w:rsid w:val="006C6212"/>
    <w:rsid w:val="006C6557"/>
    <w:rsid w:val="006C66C5"/>
    <w:rsid w:val="006C7C6C"/>
    <w:rsid w:val="006D132F"/>
    <w:rsid w:val="006D2532"/>
    <w:rsid w:val="006D3B4A"/>
    <w:rsid w:val="006D5900"/>
    <w:rsid w:val="006D590B"/>
    <w:rsid w:val="006E1197"/>
    <w:rsid w:val="006E164A"/>
    <w:rsid w:val="006E1926"/>
    <w:rsid w:val="006E23EB"/>
    <w:rsid w:val="006E7E63"/>
    <w:rsid w:val="006F2DBA"/>
    <w:rsid w:val="006F3E4B"/>
    <w:rsid w:val="006F7E65"/>
    <w:rsid w:val="0070571E"/>
    <w:rsid w:val="00707112"/>
    <w:rsid w:val="007073B0"/>
    <w:rsid w:val="00712D8D"/>
    <w:rsid w:val="00712EBA"/>
    <w:rsid w:val="00714CFA"/>
    <w:rsid w:val="007156E5"/>
    <w:rsid w:val="00717DFA"/>
    <w:rsid w:val="00722112"/>
    <w:rsid w:val="007232EE"/>
    <w:rsid w:val="00724F06"/>
    <w:rsid w:val="00725E4E"/>
    <w:rsid w:val="00726A42"/>
    <w:rsid w:val="007279C2"/>
    <w:rsid w:val="007301FA"/>
    <w:rsid w:val="00730CE5"/>
    <w:rsid w:val="0073255A"/>
    <w:rsid w:val="0073485F"/>
    <w:rsid w:val="00737751"/>
    <w:rsid w:val="00744E49"/>
    <w:rsid w:val="007455A4"/>
    <w:rsid w:val="0074734D"/>
    <w:rsid w:val="00751610"/>
    <w:rsid w:val="00752140"/>
    <w:rsid w:val="0075334A"/>
    <w:rsid w:val="00754BE2"/>
    <w:rsid w:val="0075508A"/>
    <w:rsid w:val="007561EF"/>
    <w:rsid w:val="007562D5"/>
    <w:rsid w:val="00763949"/>
    <w:rsid w:val="00763C9C"/>
    <w:rsid w:val="0076663C"/>
    <w:rsid w:val="00766C58"/>
    <w:rsid w:val="00766DA2"/>
    <w:rsid w:val="00770374"/>
    <w:rsid w:val="00772161"/>
    <w:rsid w:val="00773D81"/>
    <w:rsid w:val="00784CF5"/>
    <w:rsid w:val="00786266"/>
    <w:rsid w:val="00790062"/>
    <w:rsid w:val="00790E97"/>
    <w:rsid w:val="007924F9"/>
    <w:rsid w:val="00792B9C"/>
    <w:rsid w:val="007944EE"/>
    <w:rsid w:val="007A73B9"/>
    <w:rsid w:val="007A74F5"/>
    <w:rsid w:val="007A7EB7"/>
    <w:rsid w:val="007B0F9E"/>
    <w:rsid w:val="007B2956"/>
    <w:rsid w:val="007B2C04"/>
    <w:rsid w:val="007B3C74"/>
    <w:rsid w:val="007B3CA6"/>
    <w:rsid w:val="007B4184"/>
    <w:rsid w:val="007B5125"/>
    <w:rsid w:val="007B6056"/>
    <w:rsid w:val="007C3715"/>
    <w:rsid w:val="007D1268"/>
    <w:rsid w:val="007D15F4"/>
    <w:rsid w:val="007D1BAD"/>
    <w:rsid w:val="007D260F"/>
    <w:rsid w:val="007D2DAA"/>
    <w:rsid w:val="007D3259"/>
    <w:rsid w:val="007D38D7"/>
    <w:rsid w:val="007D5D8B"/>
    <w:rsid w:val="007D62D6"/>
    <w:rsid w:val="007D652C"/>
    <w:rsid w:val="007D73DE"/>
    <w:rsid w:val="007E16C5"/>
    <w:rsid w:val="007E2B3A"/>
    <w:rsid w:val="007E39B4"/>
    <w:rsid w:val="007E677C"/>
    <w:rsid w:val="007E6FE0"/>
    <w:rsid w:val="007E7D15"/>
    <w:rsid w:val="007F1C88"/>
    <w:rsid w:val="007F3D0F"/>
    <w:rsid w:val="007F66C9"/>
    <w:rsid w:val="008004BB"/>
    <w:rsid w:val="00807C06"/>
    <w:rsid w:val="008155C6"/>
    <w:rsid w:val="008159DD"/>
    <w:rsid w:val="008169CD"/>
    <w:rsid w:val="008170E2"/>
    <w:rsid w:val="008179AA"/>
    <w:rsid w:val="00821B2B"/>
    <w:rsid w:val="00825BFF"/>
    <w:rsid w:val="008319C8"/>
    <w:rsid w:val="008322E4"/>
    <w:rsid w:val="0083345D"/>
    <w:rsid w:val="0083356B"/>
    <w:rsid w:val="0083370D"/>
    <w:rsid w:val="00835406"/>
    <w:rsid w:val="008356B0"/>
    <w:rsid w:val="0083586F"/>
    <w:rsid w:val="00836874"/>
    <w:rsid w:val="00837093"/>
    <w:rsid w:val="00842D14"/>
    <w:rsid w:val="008449AD"/>
    <w:rsid w:val="00850A90"/>
    <w:rsid w:val="0085279E"/>
    <w:rsid w:val="00852809"/>
    <w:rsid w:val="008544D1"/>
    <w:rsid w:val="00854E53"/>
    <w:rsid w:val="008627EB"/>
    <w:rsid w:val="00862F90"/>
    <w:rsid w:val="0086512B"/>
    <w:rsid w:val="00865A95"/>
    <w:rsid w:val="00865FFD"/>
    <w:rsid w:val="0087255A"/>
    <w:rsid w:val="00874C12"/>
    <w:rsid w:val="008764DB"/>
    <w:rsid w:val="00880CE7"/>
    <w:rsid w:val="00880FEA"/>
    <w:rsid w:val="00882E14"/>
    <w:rsid w:val="00885DE9"/>
    <w:rsid w:val="00886182"/>
    <w:rsid w:val="00887B29"/>
    <w:rsid w:val="00887D15"/>
    <w:rsid w:val="00891EE2"/>
    <w:rsid w:val="00894562"/>
    <w:rsid w:val="00895A6A"/>
    <w:rsid w:val="00895E06"/>
    <w:rsid w:val="00897975"/>
    <w:rsid w:val="008A41C0"/>
    <w:rsid w:val="008A5B25"/>
    <w:rsid w:val="008A7E79"/>
    <w:rsid w:val="008B1777"/>
    <w:rsid w:val="008B2B93"/>
    <w:rsid w:val="008B4C66"/>
    <w:rsid w:val="008C0760"/>
    <w:rsid w:val="008C087E"/>
    <w:rsid w:val="008C1B3E"/>
    <w:rsid w:val="008C1F04"/>
    <w:rsid w:val="008C2F1D"/>
    <w:rsid w:val="008C5B54"/>
    <w:rsid w:val="008C632C"/>
    <w:rsid w:val="008C6445"/>
    <w:rsid w:val="008C7C61"/>
    <w:rsid w:val="008C7CF9"/>
    <w:rsid w:val="008D1D2F"/>
    <w:rsid w:val="008D5366"/>
    <w:rsid w:val="008D76B6"/>
    <w:rsid w:val="008E0887"/>
    <w:rsid w:val="008E27E0"/>
    <w:rsid w:val="008E32C8"/>
    <w:rsid w:val="008E3501"/>
    <w:rsid w:val="008E448F"/>
    <w:rsid w:val="008E5AC9"/>
    <w:rsid w:val="008E65A8"/>
    <w:rsid w:val="008E7989"/>
    <w:rsid w:val="008F3D16"/>
    <w:rsid w:val="00902012"/>
    <w:rsid w:val="00902904"/>
    <w:rsid w:val="00902BD3"/>
    <w:rsid w:val="009053A9"/>
    <w:rsid w:val="00907B75"/>
    <w:rsid w:val="009127BE"/>
    <w:rsid w:val="0091366C"/>
    <w:rsid w:val="0091417B"/>
    <w:rsid w:val="00920B00"/>
    <w:rsid w:val="009210C4"/>
    <w:rsid w:val="009213DE"/>
    <w:rsid w:val="00926C50"/>
    <w:rsid w:val="00926FA4"/>
    <w:rsid w:val="009304AD"/>
    <w:rsid w:val="00930991"/>
    <w:rsid w:val="00937C73"/>
    <w:rsid w:val="00941F28"/>
    <w:rsid w:val="0094269E"/>
    <w:rsid w:val="00943D09"/>
    <w:rsid w:val="009446F6"/>
    <w:rsid w:val="00945B40"/>
    <w:rsid w:val="009461D7"/>
    <w:rsid w:val="00947312"/>
    <w:rsid w:val="00947492"/>
    <w:rsid w:val="00953C5F"/>
    <w:rsid w:val="009543D1"/>
    <w:rsid w:val="00956EF9"/>
    <w:rsid w:val="009573D8"/>
    <w:rsid w:val="00957B89"/>
    <w:rsid w:val="0096262D"/>
    <w:rsid w:val="00963B1D"/>
    <w:rsid w:val="00965144"/>
    <w:rsid w:val="0096616A"/>
    <w:rsid w:val="00966C3B"/>
    <w:rsid w:val="00967CD3"/>
    <w:rsid w:val="00972C3B"/>
    <w:rsid w:val="009738E0"/>
    <w:rsid w:val="00974C2C"/>
    <w:rsid w:val="009760A1"/>
    <w:rsid w:val="00976FCD"/>
    <w:rsid w:val="00977000"/>
    <w:rsid w:val="009770A3"/>
    <w:rsid w:val="009773E1"/>
    <w:rsid w:val="009801D3"/>
    <w:rsid w:val="00981D12"/>
    <w:rsid w:val="0098200A"/>
    <w:rsid w:val="00982692"/>
    <w:rsid w:val="00982780"/>
    <w:rsid w:val="00983EE4"/>
    <w:rsid w:val="009902A3"/>
    <w:rsid w:val="00990CCC"/>
    <w:rsid w:val="0099433C"/>
    <w:rsid w:val="009964F2"/>
    <w:rsid w:val="00997E71"/>
    <w:rsid w:val="009A6EFF"/>
    <w:rsid w:val="009A73B1"/>
    <w:rsid w:val="009B0B6E"/>
    <w:rsid w:val="009B1986"/>
    <w:rsid w:val="009B1C4C"/>
    <w:rsid w:val="009B1EBB"/>
    <w:rsid w:val="009B261F"/>
    <w:rsid w:val="009B2FDD"/>
    <w:rsid w:val="009B4159"/>
    <w:rsid w:val="009B4FD4"/>
    <w:rsid w:val="009B510F"/>
    <w:rsid w:val="009C3B36"/>
    <w:rsid w:val="009C5680"/>
    <w:rsid w:val="009C6270"/>
    <w:rsid w:val="009D0388"/>
    <w:rsid w:val="009D31F8"/>
    <w:rsid w:val="009D40CF"/>
    <w:rsid w:val="009D4D55"/>
    <w:rsid w:val="009D5A3F"/>
    <w:rsid w:val="009D6932"/>
    <w:rsid w:val="009D7CEC"/>
    <w:rsid w:val="009E24D9"/>
    <w:rsid w:val="009E7DC2"/>
    <w:rsid w:val="009F05AA"/>
    <w:rsid w:val="009F0EE6"/>
    <w:rsid w:val="009F2CD7"/>
    <w:rsid w:val="009F438F"/>
    <w:rsid w:val="009F4ADA"/>
    <w:rsid w:val="009F5FAC"/>
    <w:rsid w:val="00A02BA4"/>
    <w:rsid w:val="00A02EB9"/>
    <w:rsid w:val="00A0433E"/>
    <w:rsid w:val="00A07015"/>
    <w:rsid w:val="00A11431"/>
    <w:rsid w:val="00A17A43"/>
    <w:rsid w:val="00A21FA2"/>
    <w:rsid w:val="00A2467B"/>
    <w:rsid w:val="00A26083"/>
    <w:rsid w:val="00A2749E"/>
    <w:rsid w:val="00A27B00"/>
    <w:rsid w:val="00A30996"/>
    <w:rsid w:val="00A326E4"/>
    <w:rsid w:val="00A34CC4"/>
    <w:rsid w:val="00A34EB9"/>
    <w:rsid w:val="00A37483"/>
    <w:rsid w:val="00A40EC7"/>
    <w:rsid w:val="00A41C9C"/>
    <w:rsid w:val="00A44681"/>
    <w:rsid w:val="00A4621A"/>
    <w:rsid w:val="00A5184A"/>
    <w:rsid w:val="00A53CCD"/>
    <w:rsid w:val="00A54EEA"/>
    <w:rsid w:val="00A56B44"/>
    <w:rsid w:val="00A57A2C"/>
    <w:rsid w:val="00A57BEE"/>
    <w:rsid w:val="00A60CB2"/>
    <w:rsid w:val="00A6313E"/>
    <w:rsid w:val="00A63F79"/>
    <w:rsid w:val="00A65110"/>
    <w:rsid w:val="00A73036"/>
    <w:rsid w:val="00A733A6"/>
    <w:rsid w:val="00A73D0B"/>
    <w:rsid w:val="00A74355"/>
    <w:rsid w:val="00A74FF2"/>
    <w:rsid w:val="00A751FD"/>
    <w:rsid w:val="00A81E73"/>
    <w:rsid w:val="00A828D5"/>
    <w:rsid w:val="00A82AE1"/>
    <w:rsid w:val="00A835B7"/>
    <w:rsid w:val="00A843F8"/>
    <w:rsid w:val="00A92D10"/>
    <w:rsid w:val="00A950BE"/>
    <w:rsid w:val="00A96D10"/>
    <w:rsid w:val="00A96E29"/>
    <w:rsid w:val="00AA1623"/>
    <w:rsid w:val="00AA221B"/>
    <w:rsid w:val="00AA24EB"/>
    <w:rsid w:val="00AA4A84"/>
    <w:rsid w:val="00AA7514"/>
    <w:rsid w:val="00AB3BAB"/>
    <w:rsid w:val="00AB7719"/>
    <w:rsid w:val="00AC1FEE"/>
    <w:rsid w:val="00AC2639"/>
    <w:rsid w:val="00AC44D2"/>
    <w:rsid w:val="00AD0957"/>
    <w:rsid w:val="00AD0E3D"/>
    <w:rsid w:val="00AD38F2"/>
    <w:rsid w:val="00AD5CD6"/>
    <w:rsid w:val="00AD64CA"/>
    <w:rsid w:val="00AD6B7F"/>
    <w:rsid w:val="00AD796A"/>
    <w:rsid w:val="00AE4274"/>
    <w:rsid w:val="00AE57E6"/>
    <w:rsid w:val="00AE5BE8"/>
    <w:rsid w:val="00AE788A"/>
    <w:rsid w:val="00AF034A"/>
    <w:rsid w:val="00AF1476"/>
    <w:rsid w:val="00AF2774"/>
    <w:rsid w:val="00AF33F9"/>
    <w:rsid w:val="00AF3676"/>
    <w:rsid w:val="00AF5DD8"/>
    <w:rsid w:val="00AF612C"/>
    <w:rsid w:val="00B01AEA"/>
    <w:rsid w:val="00B01FBE"/>
    <w:rsid w:val="00B027B8"/>
    <w:rsid w:val="00B071FE"/>
    <w:rsid w:val="00B10CAE"/>
    <w:rsid w:val="00B125CA"/>
    <w:rsid w:val="00B12F27"/>
    <w:rsid w:val="00B15F09"/>
    <w:rsid w:val="00B20822"/>
    <w:rsid w:val="00B21259"/>
    <w:rsid w:val="00B24CC2"/>
    <w:rsid w:val="00B34A57"/>
    <w:rsid w:val="00B362A8"/>
    <w:rsid w:val="00B42CBB"/>
    <w:rsid w:val="00B47E87"/>
    <w:rsid w:val="00B5286D"/>
    <w:rsid w:val="00B5650F"/>
    <w:rsid w:val="00B60743"/>
    <w:rsid w:val="00B64CB2"/>
    <w:rsid w:val="00B65EB2"/>
    <w:rsid w:val="00B67422"/>
    <w:rsid w:val="00B6787C"/>
    <w:rsid w:val="00B74EAF"/>
    <w:rsid w:val="00B755A6"/>
    <w:rsid w:val="00B756BA"/>
    <w:rsid w:val="00B76616"/>
    <w:rsid w:val="00B77BBA"/>
    <w:rsid w:val="00B77E88"/>
    <w:rsid w:val="00B80993"/>
    <w:rsid w:val="00B818BC"/>
    <w:rsid w:val="00B8337C"/>
    <w:rsid w:val="00B85E60"/>
    <w:rsid w:val="00B90276"/>
    <w:rsid w:val="00B90386"/>
    <w:rsid w:val="00B94EEE"/>
    <w:rsid w:val="00B95967"/>
    <w:rsid w:val="00B9649A"/>
    <w:rsid w:val="00B975CF"/>
    <w:rsid w:val="00B9775F"/>
    <w:rsid w:val="00BA25E5"/>
    <w:rsid w:val="00BA5616"/>
    <w:rsid w:val="00BA5FC2"/>
    <w:rsid w:val="00BB1874"/>
    <w:rsid w:val="00BB2A9C"/>
    <w:rsid w:val="00BB3CD2"/>
    <w:rsid w:val="00BB671A"/>
    <w:rsid w:val="00BB758F"/>
    <w:rsid w:val="00BB7E70"/>
    <w:rsid w:val="00BC0593"/>
    <w:rsid w:val="00BC0946"/>
    <w:rsid w:val="00BC0A92"/>
    <w:rsid w:val="00BC5845"/>
    <w:rsid w:val="00BC794B"/>
    <w:rsid w:val="00BD3620"/>
    <w:rsid w:val="00BD3B8A"/>
    <w:rsid w:val="00BD637F"/>
    <w:rsid w:val="00BD6E81"/>
    <w:rsid w:val="00BE4D69"/>
    <w:rsid w:val="00BE6AAD"/>
    <w:rsid w:val="00BF1362"/>
    <w:rsid w:val="00BF2D5C"/>
    <w:rsid w:val="00BF322A"/>
    <w:rsid w:val="00BF44E5"/>
    <w:rsid w:val="00BF5805"/>
    <w:rsid w:val="00BF586A"/>
    <w:rsid w:val="00BF7CB0"/>
    <w:rsid w:val="00BF7E67"/>
    <w:rsid w:val="00C00024"/>
    <w:rsid w:val="00C03756"/>
    <w:rsid w:val="00C0731E"/>
    <w:rsid w:val="00C107C7"/>
    <w:rsid w:val="00C11A34"/>
    <w:rsid w:val="00C12D64"/>
    <w:rsid w:val="00C13E66"/>
    <w:rsid w:val="00C13EBC"/>
    <w:rsid w:val="00C147CD"/>
    <w:rsid w:val="00C15842"/>
    <w:rsid w:val="00C225E1"/>
    <w:rsid w:val="00C249AA"/>
    <w:rsid w:val="00C25010"/>
    <w:rsid w:val="00C250AD"/>
    <w:rsid w:val="00C33576"/>
    <w:rsid w:val="00C36A4D"/>
    <w:rsid w:val="00C43F3D"/>
    <w:rsid w:val="00C43FAF"/>
    <w:rsid w:val="00C440DD"/>
    <w:rsid w:val="00C44B83"/>
    <w:rsid w:val="00C50AEB"/>
    <w:rsid w:val="00C5423D"/>
    <w:rsid w:val="00C551EC"/>
    <w:rsid w:val="00C563B4"/>
    <w:rsid w:val="00C5723E"/>
    <w:rsid w:val="00C6040B"/>
    <w:rsid w:val="00C6312A"/>
    <w:rsid w:val="00C65A57"/>
    <w:rsid w:val="00C70A8C"/>
    <w:rsid w:val="00C7122B"/>
    <w:rsid w:val="00C720B7"/>
    <w:rsid w:val="00C73EF1"/>
    <w:rsid w:val="00C74E30"/>
    <w:rsid w:val="00C80608"/>
    <w:rsid w:val="00C81139"/>
    <w:rsid w:val="00C83C75"/>
    <w:rsid w:val="00C8610E"/>
    <w:rsid w:val="00C862EA"/>
    <w:rsid w:val="00C925BD"/>
    <w:rsid w:val="00C933AD"/>
    <w:rsid w:val="00CA123C"/>
    <w:rsid w:val="00CA1604"/>
    <w:rsid w:val="00CA20D6"/>
    <w:rsid w:val="00CA39C2"/>
    <w:rsid w:val="00CA47D0"/>
    <w:rsid w:val="00CA5D19"/>
    <w:rsid w:val="00CA7BC8"/>
    <w:rsid w:val="00CA7D2C"/>
    <w:rsid w:val="00CB1790"/>
    <w:rsid w:val="00CB372C"/>
    <w:rsid w:val="00CB6583"/>
    <w:rsid w:val="00CC0D4E"/>
    <w:rsid w:val="00CC1178"/>
    <w:rsid w:val="00CC1AE3"/>
    <w:rsid w:val="00CC2EEB"/>
    <w:rsid w:val="00CD08B2"/>
    <w:rsid w:val="00CD243D"/>
    <w:rsid w:val="00CE1764"/>
    <w:rsid w:val="00CE2DE8"/>
    <w:rsid w:val="00CE4E38"/>
    <w:rsid w:val="00CE66B1"/>
    <w:rsid w:val="00CE6BD0"/>
    <w:rsid w:val="00CF0967"/>
    <w:rsid w:val="00CF2DDE"/>
    <w:rsid w:val="00CF34C8"/>
    <w:rsid w:val="00CF523F"/>
    <w:rsid w:val="00CF5A3F"/>
    <w:rsid w:val="00CF62B4"/>
    <w:rsid w:val="00D02538"/>
    <w:rsid w:val="00D02A18"/>
    <w:rsid w:val="00D02F6F"/>
    <w:rsid w:val="00D058E8"/>
    <w:rsid w:val="00D06237"/>
    <w:rsid w:val="00D17589"/>
    <w:rsid w:val="00D17D5C"/>
    <w:rsid w:val="00D20042"/>
    <w:rsid w:val="00D201F7"/>
    <w:rsid w:val="00D2033F"/>
    <w:rsid w:val="00D20454"/>
    <w:rsid w:val="00D227DC"/>
    <w:rsid w:val="00D22C25"/>
    <w:rsid w:val="00D22EF7"/>
    <w:rsid w:val="00D24720"/>
    <w:rsid w:val="00D25062"/>
    <w:rsid w:val="00D25E9A"/>
    <w:rsid w:val="00D267E9"/>
    <w:rsid w:val="00D26CF9"/>
    <w:rsid w:val="00D27756"/>
    <w:rsid w:val="00D27A10"/>
    <w:rsid w:val="00D3057D"/>
    <w:rsid w:val="00D314DD"/>
    <w:rsid w:val="00D324FA"/>
    <w:rsid w:val="00D340C9"/>
    <w:rsid w:val="00D3543E"/>
    <w:rsid w:val="00D363CB"/>
    <w:rsid w:val="00D42DC7"/>
    <w:rsid w:val="00D43723"/>
    <w:rsid w:val="00D45E55"/>
    <w:rsid w:val="00D474E1"/>
    <w:rsid w:val="00D50940"/>
    <w:rsid w:val="00D51031"/>
    <w:rsid w:val="00D517CF"/>
    <w:rsid w:val="00D65258"/>
    <w:rsid w:val="00D7059E"/>
    <w:rsid w:val="00D71F9B"/>
    <w:rsid w:val="00D720FF"/>
    <w:rsid w:val="00D732FF"/>
    <w:rsid w:val="00D74D5D"/>
    <w:rsid w:val="00D75E0F"/>
    <w:rsid w:val="00D80161"/>
    <w:rsid w:val="00D80361"/>
    <w:rsid w:val="00D81E7D"/>
    <w:rsid w:val="00D81FED"/>
    <w:rsid w:val="00D820B4"/>
    <w:rsid w:val="00D83BA1"/>
    <w:rsid w:val="00D864CF"/>
    <w:rsid w:val="00D87024"/>
    <w:rsid w:val="00D87576"/>
    <w:rsid w:val="00D875AD"/>
    <w:rsid w:val="00D91366"/>
    <w:rsid w:val="00D91EDE"/>
    <w:rsid w:val="00D9486C"/>
    <w:rsid w:val="00D94DD2"/>
    <w:rsid w:val="00D97EB1"/>
    <w:rsid w:val="00DA2405"/>
    <w:rsid w:val="00DA25B9"/>
    <w:rsid w:val="00DA3C47"/>
    <w:rsid w:val="00DA589A"/>
    <w:rsid w:val="00DA5DB4"/>
    <w:rsid w:val="00DA7155"/>
    <w:rsid w:val="00DA73F0"/>
    <w:rsid w:val="00DA7E3D"/>
    <w:rsid w:val="00DB273F"/>
    <w:rsid w:val="00DB41E9"/>
    <w:rsid w:val="00DB6192"/>
    <w:rsid w:val="00DB76C6"/>
    <w:rsid w:val="00DC1373"/>
    <w:rsid w:val="00DC2B91"/>
    <w:rsid w:val="00DC5D19"/>
    <w:rsid w:val="00DD1D0E"/>
    <w:rsid w:val="00DD37C6"/>
    <w:rsid w:val="00DD4615"/>
    <w:rsid w:val="00DD47A9"/>
    <w:rsid w:val="00DD54E0"/>
    <w:rsid w:val="00DD79B5"/>
    <w:rsid w:val="00DE3A4E"/>
    <w:rsid w:val="00DE7457"/>
    <w:rsid w:val="00DF01CC"/>
    <w:rsid w:val="00DF0AF6"/>
    <w:rsid w:val="00DF591C"/>
    <w:rsid w:val="00DF637D"/>
    <w:rsid w:val="00E029F4"/>
    <w:rsid w:val="00E0486E"/>
    <w:rsid w:val="00E06B08"/>
    <w:rsid w:val="00E07174"/>
    <w:rsid w:val="00E1218F"/>
    <w:rsid w:val="00E13169"/>
    <w:rsid w:val="00E2150E"/>
    <w:rsid w:val="00E25728"/>
    <w:rsid w:val="00E25EEC"/>
    <w:rsid w:val="00E26968"/>
    <w:rsid w:val="00E3039C"/>
    <w:rsid w:val="00E3053D"/>
    <w:rsid w:val="00E328A5"/>
    <w:rsid w:val="00E3299A"/>
    <w:rsid w:val="00E32BCA"/>
    <w:rsid w:val="00E32DD4"/>
    <w:rsid w:val="00E34809"/>
    <w:rsid w:val="00E36EC9"/>
    <w:rsid w:val="00E43410"/>
    <w:rsid w:val="00E45014"/>
    <w:rsid w:val="00E503CA"/>
    <w:rsid w:val="00E52CA6"/>
    <w:rsid w:val="00E55BCB"/>
    <w:rsid w:val="00E5697F"/>
    <w:rsid w:val="00E56D4F"/>
    <w:rsid w:val="00E573ED"/>
    <w:rsid w:val="00E5744A"/>
    <w:rsid w:val="00E57D6E"/>
    <w:rsid w:val="00E61BCA"/>
    <w:rsid w:val="00E624E8"/>
    <w:rsid w:val="00E62CF0"/>
    <w:rsid w:val="00E66C27"/>
    <w:rsid w:val="00E6717F"/>
    <w:rsid w:val="00E72EBC"/>
    <w:rsid w:val="00E73577"/>
    <w:rsid w:val="00E74D09"/>
    <w:rsid w:val="00E75046"/>
    <w:rsid w:val="00E75098"/>
    <w:rsid w:val="00E75294"/>
    <w:rsid w:val="00E80F23"/>
    <w:rsid w:val="00E817F0"/>
    <w:rsid w:val="00E81BE3"/>
    <w:rsid w:val="00E8363F"/>
    <w:rsid w:val="00E84B9C"/>
    <w:rsid w:val="00E856FF"/>
    <w:rsid w:val="00E86F5A"/>
    <w:rsid w:val="00E87DF1"/>
    <w:rsid w:val="00E91518"/>
    <w:rsid w:val="00E9179E"/>
    <w:rsid w:val="00E94C4D"/>
    <w:rsid w:val="00E94D1E"/>
    <w:rsid w:val="00E95178"/>
    <w:rsid w:val="00EA06D6"/>
    <w:rsid w:val="00EA12C2"/>
    <w:rsid w:val="00EA1A1A"/>
    <w:rsid w:val="00EA2F2F"/>
    <w:rsid w:val="00EA4941"/>
    <w:rsid w:val="00EA7B3B"/>
    <w:rsid w:val="00EC1B61"/>
    <w:rsid w:val="00EC28A9"/>
    <w:rsid w:val="00EC31F1"/>
    <w:rsid w:val="00EC6F87"/>
    <w:rsid w:val="00EC7AD6"/>
    <w:rsid w:val="00ED16C9"/>
    <w:rsid w:val="00ED25FE"/>
    <w:rsid w:val="00ED4276"/>
    <w:rsid w:val="00ED5FB6"/>
    <w:rsid w:val="00ED7149"/>
    <w:rsid w:val="00EE082B"/>
    <w:rsid w:val="00EE3652"/>
    <w:rsid w:val="00EE446A"/>
    <w:rsid w:val="00EE5C5F"/>
    <w:rsid w:val="00EE6918"/>
    <w:rsid w:val="00EE6C71"/>
    <w:rsid w:val="00EE7FB4"/>
    <w:rsid w:val="00EF18EE"/>
    <w:rsid w:val="00EF1EB1"/>
    <w:rsid w:val="00EF48F0"/>
    <w:rsid w:val="00EF6364"/>
    <w:rsid w:val="00F002B8"/>
    <w:rsid w:val="00F05DA9"/>
    <w:rsid w:val="00F13D99"/>
    <w:rsid w:val="00F14405"/>
    <w:rsid w:val="00F1491D"/>
    <w:rsid w:val="00F14CE6"/>
    <w:rsid w:val="00F20A85"/>
    <w:rsid w:val="00F23552"/>
    <w:rsid w:val="00F2476F"/>
    <w:rsid w:val="00F27AE8"/>
    <w:rsid w:val="00F30F5B"/>
    <w:rsid w:val="00F365BC"/>
    <w:rsid w:val="00F370E9"/>
    <w:rsid w:val="00F378D6"/>
    <w:rsid w:val="00F40D66"/>
    <w:rsid w:val="00F41196"/>
    <w:rsid w:val="00F41692"/>
    <w:rsid w:val="00F41BA7"/>
    <w:rsid w:val="00F43E73"/>
    <w:rsid w:val="00F47E12"/>
    <w:rsid w:val="00F5164E"/>
    <w:rsid w:val="00F51744"/>
    <w:rsid w:val="00F51E68"/>
    <w:rsid w:val="00F654E3"/>
    <w:rsid w:val="00F6786D"/>
    <w:rsid w:val="00F67B49"/>
    <w:rsid w:val="00F67C88"/>
    <w:rsid w:val="00F70300"/>
    <w:rsid w:val="00F73BB7"/>
    <w:rsid w:val="00F75268"/>
    <w:rsid w:val="00F803AE"/>
    <w:rsid w:val="00F817FA"/>
    <w:rsid w:val="00F83522"/>
    <w:rsid w:val="00F839D9"/>
    <w:rsid w:val="00F83CB8"/>
    <w:rsid w:val="00F83E6E"/>
    <w:rsid w:val="00F85D8B"/>
    <w:rsid w:val="00F959A5"/>
    <w:rsid w:val="00F9693A"/>
    <w:rsid w:val="00FA5688"/>
    <w:rsid w:val="00FA676C"/>
    <w:rsid w:val="00FB07F8"/>
    <w:rsid w:val="00FB5B2B"/>
    <w:rsid w:val="00FB651E"/>
    <w:rsid w:val="00FC0596"/>
    <w:rsid w:val="00FC1519"/>
    <w:rsid w:val="00FC430A"/>
    <w:rsid w:val="00FC5A9E"/>
    <w:rsid w:val="00FC5F17"/>
    <w:rsid w:val="00FC76C0"/>
    <w:rsid w:val="00FD0BEB"/>
    <w:rsid w:val="00FD1373"/>
    <w:rsid w:val="00FD202F"/>
    <w:rsid w:val="00FD57A8"/>
    <w:rsid w:val="00FD731B"/>
    <w:rsid w:val="00FD7D3D"/>
    <w:rsid w:val="00FE0A9B"/>
    <w:rsid w:val="00FE0E26"/>
    <w:rsid w:val="00FE2C5C"/>
    <w:rsid w:val="00FE43F4"/>
    <w:rsid w:val="00FE4F5F"/>
    <w:rsid w:val="00FE5345"/>
    <w:rsid w:val="00FE76E0"/>
    <w:rsid w:val="00FE78DB"/>
    <w:rsid w:val="00FF3645"/>
    <w:rsid w:val="00FF5A60"/>
    <w:rsid w:val="00FF6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6E8DEF"/>
  <w15:docId w15:val="{3021F10D-6D43-4BDB-8B04-8C90C8BF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48F5"/>
    <w:rPr>
      <w:sz w:val="24"/>
      <w:szCs w:val="24"/>
    </w:rPr>
  </w:style>
  <w:style w:type="paragraph" w:styleId="berschrift1">
    <w:name w:val="heading 1"/>
    <w:basedOn w:val="Standard"/>
    <w:next w:val="Standard"/>
    <w:link w:val="berschrift1Zchn"/>
    <w:qFormat/>
    <w:rsid w:val="00F67B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726A42"/>
    <w:rPr>
      <w:sz w:val="20"/>
      <w:szCs w:val="20"/>
    </w:rPr>
  </w:style>
  <w:style w:type="character" w:customStyle="1" w:styleId="FunotentextZchn">
    <w:name w:val="Fußnotentext Zchn"/>
    <w:basedOn w:val="Absatz-Standardschriftart"/>
    <w:link w:val="Funotentext"/>
    <w:semiHidden/>
    <w:rsid w:val="00726A42"/>
  </w:style>
  <w:style w:type="character" w:styleId="Funotenzeichen">
    <w:name w:val="footnote reference"/>
    <w:basedOn w:val="Absatz-Standardschriftart"/>
    <w:semiHidden/>
    <w:unhideWhenUsed/>
    <w:rsid w:val="00726A42"/>
    <w:rPr>
      <w:vertAlign w:val="superscript"/>
    </w:rPr>
  </w:style>
  <w:style w:type="character" w:styleId="Platzhaltertext">
    <w:name w:val="Placeholder Text"/>
    <w:basedOn w:val="Absatz-Standardschriftart"/>
    <w:uiPriority w:val="99"/>
    <w:semiHidden/>
    <w:rsid w:val="00EE082B"/>
    <w:rPr>
      <w:color w:val="808080"/>
    </w:rPr>
  </w:style>
  <w:style w:type="character" w:styleId="Kommentarzeichen">
    <w:name w:val="annotation reference"/>
    <w:basedOn w:val="Absatz-Standardschriftart"/>
    <w:semiHidden/>
    <w:unhideWhenUsed/>
    <w:rsid w:val="007D38D7"/>
    <w:rPr>
      <w:sz w:val="16"/>
      <w:szCs w:val="16"/>
    </w:rPr>
  </w:style>
  <w:style w:type="paragraph" w:styleId="Kommentartext">
    <w:name w:val="annotation text"/>
    <w:basedOn w:val="Standard"/>
    <w:link w:val="KommentartextZchn"/>
    <w:semiHidden/>
    <w:unhideWhenUsed/>
    <w:rsid w:val="007D38D7"/>
    <w:rPr>
      <w:sz w:val="20"/>
      <w:szCs w:val="20"/>
    </w:rPr>
  </w:style>
  <w:style w:type="character" w:customStyle="1" w:styleId="KommentartextZchn">
    <w:name w:val="Kommentartext Zchn"/>
    <w:basedOn w:val="Absatz-Standardschriftart"/>
    <w:link w:val="Kommentartext"/>
    <w:semiHidden/>
    <w:rsid w:val="007D38D7"/>
  </w:style>
  <w:style w:type="paragraph" w:styleId="Kommentarthema">
    <w:name w:val="annotation subject"/>
    <w:basedOn w:val="Kommentartext"/>
    <w:next w:val="Kommentartext"/>
    <w:link w:val="KommentarthemaZchn"/>
    <w:semiHidden/>
    <w:unhideWhenUsed/>
    <w:rsid w:val="007D38D7"/>
    <w:rPr>
      <w:b/>
      <w:bCs/>
    </w:rPr>
  </w:style>
  <w:style w:type="character" w:customStyle="1" w:styleId="KommentarthemaZchn">
    <w:name w:val="Kommentarthema Zchn"/>
    <w:basedOn w:val="KommentartextZchn"/>
    <w:link w:val="Kommentarthema"/>
    <w:semiHidden/>
    <w:rsid w:val="007D38D7"/>
    <w:rPr>
      <w:b/>
      <w:bCs/>
    </w:rPr>
  </w:style>
  <w:style w:type="paragraph" w:styleId="Sprechblasentext">
    <w:name w:val="Balloon Text"/>
    <w:basedOn w:val="Standard"/>
    <w:link w:val="SprechblasentextZchn"/>
    <w:semiHidden/>
    <w:unhideWhenUsed/>
    <w:rsid w:val="007D38D7"/>
    <w:rPr>
      <w:rFonts w:ascii="Segoe UI" w:hAnsi="Segoe UI" w:cs="Segoe UI"/>
      <w:sz w:val="18"/>
      <w:szCs w:val="18"/>
    </w:rPr>
  </w:style>
  <w:style w:type="character" w:customStyle="1" w:styleId="SprechblasentextZchn">
    <w:name w:val="Sprechblasentext Zchn"/>
    <w:basedOn w:val="Absatz-Standardschriftart"/>
    <w:link w:val="Sprechblasentext"/>
    <w:semiHidden/>
    <w:rsid w:val="007D38D7"/>
    <w:rPr>
      <w:rFonts w:ascii="Segoe UI" w:hAnsi="Segoe UI" w:cs="Segoe UI"/>
      <w:sz w:val="18"/>
      <w:szCs w:val="18"/>
    </w:rPr>
  </w:style>
  <w:style w:type="paragraph" w:styleId="Listenabsatz">
    <w:name w:val="List Paragraph"/>
    <w:basedOn w:val="Standard"/>
    <w:uiPriority w:val="34"/>
    <w:qFormat/>
    <w:rsid w:val="008170E2"/>
    <w:pPr>
      <w:ind w:left="720"/>
      <w:contextualSpacing/>
    </w:pPr>
  </w:style>
  <w:style w:type="character" w:customStyle="1" w:styleId="berschrift1Zchn">
    <w:name w:val="Überschrift 1 Zchn"/>
    <w:basedOn w:val="Absatz-Standardschriftart"/>
    <w:link w:val="berschrift1"/>
    <w:rsid w:val="00F67B49"/>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nhideWhenUsed/>
    <w:rsid w:val="00D2033F"/>
    <w:rPr>
      <w:color w:val="0000FF" w:themeColor="hyperlink"/>
      <w:u w:val="single"/>
    </w:rPr>
  </w:style>
  <w:style w:type="character" w:customStyle="1" w:styleId="NichtaufgelsteErwhnung1">
    <w:name w:val="Nicht aufgelöste Erwähnung1"/>
    <w:basedOn w:val="Absatz-Standardschriftart"/>
    <w:uiPriority w:val="99"/>
    <w:semiHidden/>
    <w:unhideWhenUsed/>
    <w:rsid w:val="00D2033F"/>
    <w:rPr>
      <w:color w:val="605E5C"/>
      <w:shd w:val="clear" w:color="auto" w:fill="E1DFDD"/>
    </w:rPr>
  </w:style>
  <w:style w:type="paragraph" w:styleId="Kopfzeile">
    <w:name w:val="header"/>
    <w:basedOn w:val="Standard"/>
    <w:link w:val="KopfzeileZchn"/>
    <w:unhideWhenUsed/>
    <w:rsid w:val="00474CD4"/>
    <w:pPr>
      <w:tabs>
        <w:tab w:val="center" w:pos="4536"/>
        <w:tab w:val="right" w:pos="9072"/>
      </w:tabs>
    </w:pPr>
  </w:style>
  <w:style w:type="character" w:customStyle="1" w:styleId="KopfzeileZchn">
    <w:name w:val="Kopfzeile Zchn"/>
    <w:basedOn w:val="Absatz-Standardschriftart"/>
    <w:link w:val="Kopfzeile"/>
    <w:rsid w:val="00474CD4"/>
    <w:rPr>
      <w:sz w:val="24"/>
      <w:szCs w:val="24"/>
    </w:rPr>
  </w:style>
  <w:style w:type="paragraph" w:styleId="Fuzeile">
    <w:name w:val="footer"/>
    <w:basedOn w:val="Standard"/>
    <w:link w:val="FuzeileZchn"/>
    <w:unhideWhenUsed/>
    <w:rsid w:val="00474CD4"/>
    <w:pPr>
      <w:tabs>
        <w:tab w:val="center" w:pos="4536"/>
        <w:tab w:val="right" w:pos="9072"/>
      </w:tabs>
    </w:pPr>
  </w:style>
  <w:style w:type="character" w:customStyle="1" w:styleId="FuzeileZchn">
    <w:name w:val="Fußzeile Zchn"/>
    <w:basedOn w:val="Absatz-Standardschriftart"/>
    <w:link w:val="Fuzeile"/>
    <w:rsid w:val="00474CD4"/>
    <w:rPr>
      <w:sz w:val="24"/>
      <w:szCs w:val="24"/>
    </w:rPr>
  </w:style>
  <w:style w:type="character" w:customStyle="1" w:styleId="NichtaufgelsteErwhnung2">
    <w:name w:val="Nicht aufgelöste Erwähnung2"/>
    <w:basedOn w:val="Absatz-Standardschriftart"/>
    <w:uiPriority w:val="99"/>
    <w:semiHidden/>
    <w:unhideWhenUsed/>
    <w:rsid w:val="00A828D5"/>
    <w:rPr>
      <w:color w:val="605E5C"/>
      <w:shd w:val="clear" w:color="auto" w:fill="E1DFDD"/>
    </w:rPr>
  </w:style>
  <w:style w:type="paragraph" w:styleId="StandardWeb">
    <w:name w:val="Normal (Web)"/>
    <w:basedOn w:val="Standard"/>
    <w:uiPriority w:val="99"/>
    <w:semiHidden/>
    <w:unhideWhenUsed/>
    <w:rsid w:val="00842D14"/>
    <w:pPr>
      <w:spacing w:before="100" w:beforeAutospacing="1" w:after="100" w:afterAutospacing="1"/>
    </w:pPr>
  </w:style>
  <w:style w:type="character" w:styleId="Fett">
    <w:name w:val="Strong"/>
    <w:basedOn w:val="Absatz-Standardschriftart"/>
    <w:uiPriority w:val="22"/>
    <w:qFormat/>
    <w:rsid w:val="00842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44181">
      <w:bodyDiv w:val="1"/>
      <w:marLeft w:val="0"/>
      <w:marRight w:val="0"/>
      <w:marTop w:val="0"/>
      <w:marBottom w:val="0"/>
      <w:divBdr>
        <w:top w:val="none" w:sz="0" w:space="0" w:color="auto"/>
        <w:left w:val="none" w:sz="0" w:space="0" w:color="auto"/>
        <w:bottom w:val="none" w:sz="0" w:space="0" w:color="auto"/>
        <w:right w:val="none" w:sz="0" w:space="0" w:color="auto"/>
      </w:divBdr>
    </w:div>
    <w:div w:id="1387879283">
      <w:bodyDiv w:val="1"/>
      <w:marLeft w:val="0"/>
      <w:marRight w:val="0"/>
      <w:marTop w:val="0"/>
      <w:marBottom w:val="0"/>
      <w:divBdr>
        <w:top w:val="none" w:sz="0" w:space="0" w:color="auto"/>
        <w:left w:val="none" w:sz="0" w:space="0" w:color="auto"/>
        <w:bottom w:val="none" w:sz="0" w:space="0" w:color="auto"/>
        <w:right w:val="none" w:sz="0" w:space="0" w:color="auto"/>
      </w:divBdr>
      <w:divsChild>
        <w:div w:id="1304851463">
          <w:marLeft w:val="360"/>
          <w:marRight w:val="0"/>
          <w:marTop w:val="200"/>
          <w:marBottom w:val="0"/>
          <w:divBdr>
            <w:top w:val="none" w:sz="0" w:space="0" w:color="auto"/>
            <w:left w:val="none" w:sz="0" w:space="0" w:color="auto"/>
            <w:bottom w:val="none" w:sz="0" w:space="0" w:color="auto"/>
            <w:right w:val="none" w:sz="0" w:space="0" w:color="auto"/>
          </w:divBdr>
        </w:div>
        <w:div w:id="9721818">
          <w:marLeft w:val="360"/>
          <w:marRight w:val="0"/>
          <w:marTop w:val="200"/>
          <w:marBottom w:val="0"/>
          <w:divBdr>
            <w:top w:val="none" w:sz="0" w:space="0" w:color="auto"/>
            <w:left w:val="none" w:sz="0" w:space="0" w:color="auto"/>
            <w:bottom w:val="none" w:sz="0" w:space="0" w:color="auto"/>
            <w:right w:val="none" w:sz="0" w:space="0" w:color="auto"/>
          </w:divBdr>
        </w:div>
        <w:div w:id="767239642">
          <w:marLeft w:val="360"/>
          <w:marRight w:val="0"/>
          <w:marTop w:val="200"/>
          <w:marBottom w:val="0"/>
          <w:divBdr>
            <w:top w:val="none" w:sz="0" w:space="0" w:color="auto"/>
            <w:left w:val="none" w:sz="0" w:space="0" w:color="auto"/>
            <w:bottom w:val="none" w:sz="0" w:space="0" w:color="auto"/>
            <w:right w:val="none" w:sz="0" w:space="0" w:color="auto"/>
          </w:divBdr>
        </w:div>
        <w:div w:id="445657172">
          <w:marLeft w:val="360"/>
          <w:marRight w:val="0"/>
          <w:marTop w:val="200"/>
          <w:marBottom w:val="0"/>
          <w:divBdr>
            <w:top w:val="none" w:sz="0" w:space="0" w:color="auto"/>
            <w:left w:val="none" w:sz="0" w:space="0" w:color="auto"/>
            <w:bottom w:val="none" w:sz="0" w:space="0" w:color="auto"/>
            <w:right w:val="none" w:sz="0" w:space="0" w:color="auto"/>
          </w:divBdr>
        </w:div>
        <w:div w:id="1240099005">
          <w:marLeft w:val="360"/>
          <w:marRight w:val="0"/>
          <w:marTop w:val="200"/>
          <w:marBottom w:val="0"/>
          <w:divBdr>
            <w:top w:val="none" w:sz="0" w:space="0" w:color="auto"/>
            <w:left w:val="none" w:sz="0" w:space="0" w:color="auto"/>
            <w:bottom w:val="none" w:sz="0" w:space="0" w:color="auto"/>
            <w:right w:val="none" w:sz="0" w:space="0" w:color="auto"/>
          </w:divBdr>
        </w:div>
      </w:divsChild>
    </w:div>
    <w:div w:id="1771853301">
      <w:bodyDiv w:val="1"/>
      <w:marLeft w:val="0"/>
      <w:marRight w:val="0"/>
      <w:marTop w:val="0"/>
      <w:marBottom w:val="0"/>
      <w:divBdr>
        <w:top w:val="none" w:sz="0" w:space="0" w:color="auto"/>
        <w:left w:val="none" w:sz="0" w:space="0" w:color="auto"/>
        <w:bottom w:val="none" w:sz="0" w:space="0" w:color="auto"/>
        <w:right w:val="none" w:sz="0" w:space="0" w:color="auto"/>
      </w:divBdr>
      <w:divsChild>
        <w:div w:id="46927404">
          <w:marLeft w:val="360"/>
          <w:marRight w:val="0"/>
          <w:marTop w:val="200"/>
          <w:marBottom w:val="0"/>
          <w:divBdr>
            <w:top w:val="none" w:sz="0" w:space="0" w:color="auto"/>
            <w:left w:val="none" w:sz="0" w:space="0" w:color="auto"/>
            <w:bottom w:val="none" w:sz="0" w:space="0" w:color="auto"/>
            <w:right w:val="none" w:sz="0" w:space="0" w:color="auto"/>
          </w:divBdr>
        </w:div>
        <w:div w:id="908492224">
          <w:marLeft w:val="360"/>
          <w:marRight w:val="0"/>
          <w:marTop w:val="200"/>
          <w:marBottom w:val="0"/>
          <w:divBdr>
            <w:top w:val="none" w:sz="0" w:space="0" w:color="auto"/>
            <w:left w:val="none" w:sz="0" w:space="0" w:color="auto"/>
            <w:bottom w:val="none" w:sz="0" w:space="0" w:color="auto"/>
            <w:right w:val="none" w:sz="0" w:space="0" w:color="auto"/>
          </w:divBdr>
        </w:div>
        <w:div w:id="957952025">
          <w:marLeft w:val="1080"/>
          <w:marRight w:val="0"/>
          <w:marTop w:val="100"/>
          <w:marBottom w:val="0"/>
          <w:divBdr>
            <w:top w:val="none" w:sz="0" w:space="0" w:color="auto"/>
            <w:left w:val="none" w:sz="0" w:space="0" w:color="auto"/>
            <w:bottom w:val="none" w:sz="0" w:space="0" w:color="auto"/>
            <w:right w:val="none" w:sz="0" w:space="0" w:color="auto"/>
          </w:divBdr>
        </w:div>
        <w:div w:id="326174437">
          <w:marLeft w:val="360"/>
          <w:marRight w:val="0"/>
          <w:marTop w:val="200"/>
          <w:marBottom w:val="0"/>
          <w:divBdr>
            <w:top w:val="none" w:sz="0" w:space="0" w:color="auto"/>
            <w:left w:val="none" w:sz="0" w:space="0" w:color="auto"/>
            <w:bottom w:val="none" w:sz="0" w:space="0" w:color="auto"/>
            <w:right w:val="none" w:sz="0" w:space="0" w:color="auto"/>
          </w:divBdr>
        </w:div>
        <w:div w:id="1545143731">
          <w:marLeft w:val="360"/>
          <w:marRight w:val="0"/>
          <w:marTop w:val="200"/>
          <w:marBottom w:val="0"/>
          <w:divBdr>
            <w:top w:val="none" w:sz="0" w:space="0" w:color="auto"/>
            <w:left w:val="none" w:sz="0" w:space="0" w:color="auto"/>
            <w:bottom w:val="none" w:sz="0" w:space="0" w:color="auto"/>
            <w:right w:val="none" w:sz="0" w:space="0" w:color="auto"/>
          </w:divBdr>
        </w:div>
        <w:div w:id="39403460">
          <w:marLeft w:val="360"/>
          <w:marRight w:val="0"/>
          <w:marTop w:val="200"/>
          <w:marBottom w:val="0"/>
          <w:divBdr>
            <w:top w:val="none" w:sz="0" w:space="0" w:color="auto"/>
            <w:left w:val="none" w:sz="0" w:space="0" w:color="auto"/>
            <w:bottom w:val="none" w:sz="0" w:space="0" w:color="auto"/>
            <w:right w:val="none" w:sz="0" w:space="0" w:color="auto"/>
          </w:divBdr>
        </w:div>
        <w:div w:id="4574531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784B231E86EE4AA38AC0AC014065EA" ma:contentTypeVersion="12" ma:contentTypeDescription="Ein neues Dokument erstellen." ma:contentTypeScope="" ma:versionID="843ca1516d263c0be9124eca9cf6512c">
  <xsd:schema xmlns:xsd="http://www.w3.org/2001/XMLSchema" xmlns:xs="http://www.w3.org/2001/XMLSchema" xmlns:p="http://schemas.microsoft.com/office/2006/metadata/properties" xmlns:ns3="18c854cc-df92-458b-a9c8-ca861322531e" xmlns:ns4="ef1333fb-837e-4d32-99a3-8e4894884d4f" targetNamespace="http://schemas.microsoft.com/office/2006/metadata/properties" ma:root="true" ma:fieldsID="df87e584b381317d8400bb0db46e65c4" ns3:_="" ns4:_="">
    <xsd:import namespace="18c854cc-df92-458b-a9c8-ca861322531e"/>
    <xsd:import namespace="ef1333fb-837e-4d32-99a3-8e4894884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854cc-df92-458b-a9c8-ca8613225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333fb-837e-4d32-99a3-8e4894884d4f"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7987E-DD09-4F93-A948-B372BFFA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854cc-df92-458b-a9c8-ca861322531e"/>
    <ds:schemaRef ds:uri="ef1333fb-837e-4d32-99a3-8e4894884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5166D-E0F5-480B-B8D0-35091835024D}">
  <ds:schemaRefs>
    <ds:schemaRef ds:uri="http://schemas.microsoft.com/sharepoint/v3/contenttype/forms"/>
  </ds:schemaRefs>
</ds:datastoreItem>
</file>

<file path=customXml/itemProps3.xml><?xml version="1.0" encoding="utf-8"?>
<ds:datastoreItem xmlns:ds="http://schemas.openxmlformats.org/officeDocument/2006/customXml" ds:itemID="{710010E5-5747-4945-8532-34BEEC7694AF}">
  <ds:schemaRefs>
    <ds:schemaRef ds:uri="ef1333fb-837e-4d32-99a3-8e4894884d4f"/>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8c854cc-df92-458b-a9c8-ca861322531e"/>
    <ds:schemaRef ds:uri="http://www.w3.org/XML/1998/namespace"/>
    <ds:schemaRef ds:uri="http://purl.org/dc/dcmitype/"/>
  </ds:schemaRefs>
</ds:datastoreItem>
</file>

<file path=customXml/itemProps4.xml><?xml version="1.0" encoding="utf-8"?>
<ds:datastoreItem xmlns:ds="http://schemas.openxmlformats.org/officeDocument/2006/customXml" ds:itemID="{D6E873BF-BE53-4F07-B9B9-12CBB158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12139</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Nuyken, Philip</dc:creator>
  <cp:lastModifiedBy>Kolodzey Bettina</cp:lastModifiedBy>
  <cp:revision>2</cp:revision>
  <cp:lastPrinted>2020-02-11T12:57:00Z</cp:lastPrinted>
  <dcterms:created xsi:type="dcterms:W3CDTF">2020-02-19T13:58:00Z</dcterms:created>
  <dcterms:modified xsi:type="dcterms:W3CDTF">2020-02-19T13:58:00Z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0x01010091784B231E86EE4AA38AC0AC014065EA</vt:lpwstr>
  </property>
</Properties>
</file>