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3E1" w:rsidRPr="002473E1" w:rsidRDefault="002473E1" w:rsidP="002473E1">
      <w:pPr>
        <w:jc w:val="both"/>
        <w:rPr>
          <w:rFonts w:ascii="DIN-Regular" w:hAnsi="DIN-Regular" w:cs="Arial"/>
          <w:b/>
          <w:sz w:val="36"/>
          <w:szCs w:val="36"/>
        </w:rPr>
      </w:pPr>
    </w:p>
    <w:p w:rsidR="002473E1" w:rsidRPr="002473E1" w:rsidRDefault="002473E1" w:rsidP="002473E1">
      <w:pPr>
        <w:pStyle w:val="Textkrper"/>
        <w:spacing w:after="0"/>
        <w:jc w:val="both"/>
        <w:rPr>
          <w:rFonts w:ascii="DIN-Regular" w:hAnsi="DIN-Regular"/>
          <w:b/>
          <w:color w:val="111274"/>
        </w:rPr>
      </w:pPr>
    </w:p>
    <w:p w:rsidR="002473E1" w:rsidRPr="002473E1" w:rsidRDefault="002473E1" w:rsidP="002473E1">
      <w:pPr>
        <w:pStyle w:val="Textkrper"/>
        <w:jc w:val="both"/>
        <w:rPr>
          <w:rFonts w:ascii="DIN-Regular" w:hAnsi="DIN-Regular"/>
          <w:b/>
          <w:color w:val="111274"/>
        </w:rPr>
      </w:pPr>
    </w:p>
    <w:p w:rsidR="002473E1" w:rsidRPr="002473E1" w:rsidRDefault="002473E1" w:rsidP="002473E1">
      <w:pPr>
        <w:pStyle w:val="Textkrper"/>
        <w:jc w:val="both"/>
        <w:rPr>
          <w:rFonts w:ascii="DIN-Regular" w:hAnsi="DIN-Regular"/>
          <w:b/>
          <w:color w:val="111274"/>
        </w:rPr>
      </w:pPr>
      <w:r w:rsidRPr="002473E1">
        <w:rPr>
          <w:rFonts w:ascii="DIN-Regular" w:hAnsi="DIN-Regular"/>
          <w:b/>
          <w:color w:val="111274"/>
        </w:rPr>
        <w:t>Datum:</w:t>
      </w:r>
      <w:r w:rsidRPr="002473E1">
        <w:rPr>
          <w:rFonts w:ascii="DIN-Regular" w:hAnsi="DIN-Regular"/>
          <w:b/>
          <w:color w:val="111274"/>
        </w:rPr>
        <w:tab/>
      </w:r>
      <w:r w:rsidRPr="002473E1">
        <w:rPr>
          <w:rFonts w:ascii="DIN-Regular" w:hAnsi="DIN-Regular"/>
          <w:b/>
          <w:color w:val="111274"/>
        </w:rPr>
        <w:tab/>
      </w:r>
      <w:r w:rsidRPr="002473E1">
        <w:rPr>
          <w:rFonts w:ascii="DIN-Regular" w:hAnsi="DIN-Regular"/>
          <w:b/>
          <w:color w:val="111274"/>
        </w:rPr>
        <w:t>17</w:t>
      </w:r>
      <w:r w:rsidRPr="002473E1">
        <w:rPr>
          <w:rFonts w:ascii="DIN-Regular" w:hAnsi="DIN-Regular"/>
          <w:b/>
          <w:color w:val="111274"/>
        </w:rPr>
        <w:t>.03.20</w:t>
      </w:r>
      <w:r w:rsidRPr="002473E1">
        <w:rPr>
          <w:rFonts w:ascii="DIN-Regular" w:hAnsi="DIN-Regular"/>
          <w:b/>
          <w:color w:val="111274"/>
        </w:rPr>
        <w:t>20</w:t>
      </w:r>
    </w:p>
    <w:p w:rsidR="002473E1" w:rsidRPr="002473E1" w:rsidRDefault="002473E1" w:rsidP="002473E1">
      <w:pPr>
        <w:pStyle w:val="Textkrper"/>
        <w:jc w:val="both"/>
        <w:rPr>
          <w:rFonts w:ascii="DIN-Regular" w:hAnsi="DIN-Regular"/>
          <w:b/>
          <w:color w:val="111274"/>
        </w:rPr>
      </w:pPr>
      <w:r w:rsidRPr="002473E1">
        <w:rPr>
          <w:rFonts w:ascii="DIN-Regular" w:hAnsi="DIN-Regular"/>
          <w:b/>
          <w:color w:val="111274"/>
        </w:rPr>
        <w:t>Verteiler:</w:t>
      </w:r>
      <w:r w:rsidRPr="002473E1">
        <w:rPr>
          <w:rFonts w:ascii="DIN-Regular" w:hAnsi="DIN-Regular"/>
          <w:b/>
          <w:color w:val="111274"/>
        </w:rPr>
        <w:tab/>
      </w:r>
      <w:r w:rsidRPr="002473E1">
        <w:rPr>
          <w:rFonts w:ascii="DIN-Regular" w:hAnsi="DIN-Regular"/>
          <w:b/>
          <w:color w:val="111274"/>
        </w:rPr>
        <w:tab/>
      </w:r>
      <w:r w:rsidRPr="002473E1">
        <w:rPr>
          <w:rFonts w:ascii="DIN-Regular" w:hAnsi="DIN-Regular"/>
          <w:b/>
          <w:color w:val="111274"/>
        </w:rPr>
        <w:t>Rechtsausschuss</w:t>
      </w:r>
    </w:p>
    <w:p w:rsidR="002473E1" w:rsidRPr="002473E1" w:rsidRDefault="002473E1" w:rsidP="002473E1">
      <w:pPr>
        <w:pStyle w:val="Textkrper"/>
        <w:jc w:val="both"/>
        <w:rPr>
          <w:rFonts w:ascii="DIN-Regular" w:hAnsi="DIN-Regular"/>
          <w:b/>
          <w:color w:val="111274"/>
        </w:rPr>
      </w:pPr>
      <w:r w:rsidRPr="002473E1">
        <w:rPr>
          <w:rFonts w:ascii="DIN-Regular" w:hAnsi="DIN-Regular"/>
          <w:b/>
          <w:color w:val="111274"/>
        </w:rPr>
        <w:t>Von:</w:t>
      </w:r>
      <w:r w:rsidRPr="002473E1">
        <w:rPr>
          <w:rFonts w:ascii="DIN-Regular" w:hAnsi="DIN-Regular"/>
          <w:b/>
          <w:color w:val="111274"/>
        </w:rPr>
        <w:tab/>
      </w:r>
      <w:r w:rsidRPr="002473E1">
        <w:rPr>
          <w:rFonts w:ascii="DIN-Regular" w:hAnsi="DIN-Regular"/>
          <w:b/>
          <w:color w:val="111274"/>
        </w:rPr>
        <w:tab/>
      </w:r>
      <w:r w:rsidRPr="002473E1">
        <w:rPr>
          <w:rFonts w:ascii="DIN-Regular" w:hAnsi="DIN-Regular"/>
          <w:b/>
          <w:color w:val="111274"/>
        </w:rPr>
        <w:tab/>
        <w:t>W. Müller</w:t>
      </w:r>
    </w:p>
    <w:p w:rsidR="002473E1" w:rsidRPr="002473E1" w:rsidRDefault="002473E1" w:rsidP="002473E1">
      <w:pPr>
        <w:pStyle w:val="Textkrper"/>
        <w:ind w:left="2127" w:hanging="2127"/>
        <w:jc w:val="both"/>
        <w:rPr>
          <w:rFonts w:ascii="DIN-Regular" w:hAnsi="DIN-Regular" w:cs="Arial"/>
          <w:sz w:val="22"/>
          <w:szCs w:val="22"/>
        </w:rPr>
      </w:pPr>
      <w:r w:rsidRPr="002473E1">
        <w:rPr>
          <w:rFonts w:ascii="DIN-Regular" w:hAnsi="DIN-Regular"/>
          <w:b/>
          <w:color w:val="111274"/>
        </w:rPr>
        <w:t>Betreff:</w:t>
      </w:r>
      <w:r w:rsidRPr="002473E1">
        <w:rPr>
          <w:rFonts w:ascii="DIN-Regular" w:hAnsi="DIN-Regular"/>
          <w:b/>
          <w:color w:val="111274"/>
        </w:rPr>
        <w:tab/>
      </w:r>
      <w:r w:rsidRPr="002473E1">
        <w:rPr>
          <w:rFonts w:ascii="DIN-Regular" w:hAnsi="DIN-Regular"/>
          <w:b/>
          <w:color w:val="111274"/>
        </w:rPr>
        <w:t>Coronavirus und Vertragsrecht</w:t>
      </w:r>
    </w:p>
    <w:p w:rsidR="002473E1" w:rsidRPr="002473E1" w:rsidRDefault="002473E1" w:rsidP="002473E1">
      <w:pPr>
        <w:tabs>
          <w:tab w:val="left" w:pos="6835"/>
        </w:tabs>
        <w:spacing w:before="60"/>
        <w:jc w:val="both"/>
        <w:rPr>
          <w:rFonts w:ascii="DIN-Regular" w:hAnsi="DIN-Regular" w:cs="Arial"/>
          <w:sz w:val="22"/>
          <w:szCs w:val="22"/>
        </w:rPr>
      </w:pPr>
    </w:p>
    <w:p w:rsidR="002473E1" w:rsidRPr="002473E1" w:rsidRDefault="002473E1" w:rsidP="002473E1">
      <w:pPr>
        <w:tabs>
          <w:tab w:val="left" w:pos="6835"/>
        </w:tabs>
        <w:spacing w:before="60"/>
        <w:jc w:val="both"/>
        <w:rPr>
          <w:rFonts w:ascii="DIN-Regular" w:hAnsi="DIN-Regular" w:cs="Arial"/>
          <w:b/>
          <w:sz w:val="22"/>
          <w:szCs w:val="22"/>
        </w:rPr>
      </w:pPr>
    </w:p>
    <w:p w:rsidR="002473E1" w:rsidRPr="002473E1" w:rsidRDefault="002473E1" w:rsidP="002473E1">
      <w:pPr>
        <w:jc w:val="both"/>
        <w:rPr>
          <w:rFonts w:ascii="DIN-Regular" w:eastAsiaTheme="minorHAnsi" w:hAnsi="DIN-Regular"/>
          <w:sz w:val="22"/>
          <w:szCs w:val="22"/>
        </w:rPr>
      </w:pPr>
      <w:r w:rsidRPr="002473E1">
        <w:rPr>
          <w:rFonts w:ascii="DIN-Regular" w:hAnsi="DIN-Regular"/>
        </w:rPr>
        <w:t>Zunächst ist bei den Verträgen wohl danach zu unterscheiden, ob sie vor Ausbruch oder Erkennbarkeit der Epidemie abgeschlossen wurden oder erst danach. Ferner ist zu prüfen, ob die Verträge Klauseln für den Fall höherer Gewalt enthalten oder nicht.</w:t>
      </w:r>
    </w:p>
    <w:p w:rsidR="002473E1" w:rsidRPr="002473E1" w:rsidRDefault="002473E1" w:rsidP="002473E1">
      <w:pPr>
        <w:jc w:val="both"/>
        <w:rPr>
          <w:rFonts w:ascii="DIN-Regular" w:hAnsi="DIN-Regular"/>
        </w:rPr>
      </w:pPr>
    </w:p>
    <w:p w:rsidR="002473E1" w:rsidRPr="002473E1" w:rsidRDefault="002473E1" w:rsidP="002473E1">
      <w:pPr>
        <w:jc w:val="both"/>
        <w:rPr>
          <w:rFonts w:ascii="DIN-Regular" w:hAnsi="DIN-Regular"/>
        </w:rPr>
      </w:pPr>
      <w:r w:rsidRPr="002473E1">
        <w:rPr>
          <w:rFonts w:ascii="DIN-Regular" w:hAnsi="DIN-Regular"/>
        </w:rPr>
        <w:t xml:space="preserve">Sollten </w:t>
      </w:r>
      <w:r w:rsidRPr="002473E1">
        <w:rPr>
          <w:rFonts w:ascii="DIN-Regular" w:hAnsi="DIN-Regular"/>
          <w:b/>
          <w:bCs/>
        </w:rPr>
        <w:t>Klauseln für höhere Gewalt enthalten sein</w:t>
      </w:r>
      <w:r w:rsidRPr="002473E1">
        <w:rPr>
          <w:rFonts w:ascii="DIN-Regular" w:hAnsi="DIN-Regular"/>
        </w:rPr>
        <w:t xml:space="preserve">, so richten sich die vereinbarten Folgen von </w:t>
      </w:r>
      <w:proofErr w:type="spellStart"/>
      <w:r w:rsidRPr="002473E1">
        <w:rPr>
          <w:rFonts w:ascii="DIN-Regular" w:hAnsi="DIN-Regular"/>
        </w:rPr>
        <w:t>Aufschubrechten</w:t>
      </w:r>
      <w:proofErr w:type="spellEnd"/>
      <w:r w:rsidRPr="002473E1">
        <w:rPr>
          <w:rFonts w:ascii="DIN-Regular" w:hAnsi="DIN-Regular"/>
        </w:rPr>
        <w:t xml:space="preserve"> über Haftungsfreizeichnungen bis hin zu Rücktritts- oder Kündigungsrechten nach diesen Klauseln. Zu prüfen ist dann allerdings, ob die Verbreitung des Virus als höhere Gewalt anzusehen ist bzw. ob die Epidemie ein betriebsfremdes, </w:t>
      </w:r>
      <w:r w:rsidRPr="002473E1">
        <w:rPr>
          <w:rFonts w:ascii="DIN-Regular" w:hAnsi="DIN-Regular"/>
        </w:rPr>
        <w:t>von außen kommendem Ereignis</w:t>
      </w:r>
      <w:r w:rsidRPr="002473E1">
        <w:rPr>
          <w:rFonts w:ascii="DIN-Regular" w:hAnsi="DIN-Regular"/>
        </w:rPr>
        <w:t xml:space="preserve"> ist, dass bei Vertragsschluss unvorhersehbar war und von niemandem zu vertreten ist. Sollte die höhere Gewalt in den AGBs durch eine abschließende Aufzählung von Ereignissen definiert sein müsste zumindest eine Virusinfektion bzw. Epidemie als Fall der höheren Gewalt definiert sein. Fehlt es an einer eigenen Definition der höheren Gewalt dürfte in der Ausbreitung des Virus wohl ein Fall höherer Gewalt zu sehen sein, sodass dann die dafür vertraglich vorgesehenen Rechtsfolgen eintreten. Wichtig dürfte sein, dass die rein subjektive Einschätzung einer künftigen oder aktuellen Situation als „gefährlich“ wohl nicht ausreichend sein wird. Vielmehr müssen objektive Anhaltspunkte gegeben sein, wie zum Beispiel Reisewarnungen des Auswärtigen Amtes oder die Nennung einer Region durch das Robert-Koch-Institut bzw. die WHO. Ferner ist zu beachten, dass es sich ein Vertragspartner nur auf die Befreiung von Vertragspflichten berufen kann, wenn die konkrete Leistung auch tatsächlich von der höheren Gewalt betroffen ist oder sein könnte.</w:t>
      </w:r>
    </w:p>
    <w:p w:rsidR="002473E1" w:rsidRPr="002473E1" w:rsidRDefault="002473E1" w:rsidP="002473E1">
      <w:pPr>
        <w:jc w:val="both"/>
        <w:rPr>
          <w:rFonts w:ascii="DIN-Regular" w:hAnsi="DIN-Regular"/>
        </w:rPr>
      </w:pPr>
    </w:p>
    <w:p w:rsidR="002473E1" w:rsidRPr="002473E1" w:rsidRDefault="002473E1" w:rsidP="002473E1">
      <w:pPr>
        <w:jc w:val="both"/>
        <w:rPr>
          <w:rFonts w:ascii="DIN-Regular" w:hAnsi="DIN-Regular"/>
        </w:rPr>
      </w:pPr>
      <w:r w:rsidRPr="002473E1">
        <w:rPr>
          <w:rFonts w:ascii="DIN-Regular" w:hAnsi="DIN-Regular"/>
        </w:rPr>
        <w:t xml:space="preserve">Sollten </w:t>
      </w:r>
      <w:r w:rsidRPr="002473E1">
        <w:rPr>
          <w:rFonts w:ascii="DIN-Regular" w:hAnsi="DIN-Regular"/>
          <w:b/>
          <w:bCs/>
        </w:rPr>
        <w:t xml:space="preserve">keine Klauseln für höhere Gewalt vereinbart sein, </w:t>
      </w:r>
      <w:r w:rsidRPr="002473E1">
        <w:rPr>
          <w:rFonts w:ascii="DIN-Regular" w:hAnsi="DIN-Regular"/>
        </w:rPr>
        <w:t>sollte § 313 BGB geprüft werden. Voraussetzung ist, dass die Parteien zum Zeitpunkt des Vertragsschlusses zumindest die für den anderen Teil erkennbare Vorstellung gehabt haben, dass keine Epidemie auftritt, die sich auf die Vertragsbeziehung maßgeblich auswirken wird. Das Festhalten am Vertrag muss für mindestens eine Vertragspartei aufgrund der drohenden Epidemie oder damit einhergehender Umstände unzumutbar sein. Dann sind Kündigung des Vertrages, die Verschiebung von Lieferzeiten oder sonstige Anpassungen des Vertrages machbar.</w:t>
      </w:r>
    </w:p>
    <w:p w:rsidR="002473E1" w:rsidRPr="002473E1" w:rsidRDefault="002473E1" w:rsidP="002473E1">
      <w:pPr>
        <w:jc w:val="both"/>
        <w:rPr>
          <w:rFonts w:ascii="DIN-Regular" w:hAnsi="DIN-Regular"/>
        </w:rPr>
      </w:pPr>
    </w:p>
    <w:p w:rsidR="002473E1" w:rsidRPr="002473E1" w:rsidRDefault="002473E1" w:rsidP="002473E1">
      <w:pPr>
        <w:jc w:val="both"/>
        <w:rPr>
          <w:rFonts w:ascii="DIN-Regular" w:hAnsi="DIN-Regular"/>
        </w:rPr>
      </w:pPr>
      <w:r w:rsidRPr="002473E1">
        <w:rPr>
          <w:rFonts w:ascii="DIN-Regular" w:hAnsi="DIN-Regular"/>
        </w:rPr>
        <w:t xml:space="preserve">Schließlich kann auch der Wegfall der Leistungspflicht aufgrund von Unmöglichkeit (§ 275 BGB) in Erwägung gezogen werden, nämlich dann, wenn sich zum Beispiel der </w:t>
      </w:r>
      <w:r w:rsidRPr="002473E1">
        <w:rPr>
          <w:rFonts w:ascii="DIN-Regular" w:hAnsi="DIN-Regular"/>
        </w:rPr>
        <w:lastRenderedPageBreak/>
        <w:t>Betrieb an einem Ort befindet, der insgesamt unter Quarantäne steht, oder weil ein wesentlicher Teil der Arbeite</w:t>
      </w:r>
      <w:r>
        <w:rPr>
          <w:rFonts w:ascii="DIN-Regular" w:hAnsi="DIN-Regular"/>
        </w:rPr>
        <w:t>r</w:t>
      </w:r>
      <w:r w:rsidRPr="002473E1">
        <w:rPr>
          <w:rFonts w:ascii="DIN-Regular" w:hAnsi="DIN-Regular"/>
        </w:rPr>
        <w:t xml:space="preserve"> erkrankt ist. In diesem Fall entfällt die Leistungspflicht. Etwaige Schadensersatzansprüche des Vertragspartners hängen davon ab, ob der Schuldner das Leistungshindernis zu vertreten hat. Das dürfte allerdings bei einer Epidemie in der Regel nicht der Fall sein.</w:t>
      </w:r>
    </w:p>
    <w:p w:rsidR="002473E1" w:rsidRPr="002473E1" w:rsidRDefault="002473E1" w:rsidP="002473E1">
      <w:pPr>
        <w:jc w:val="both"/>
        <w:rPr>
          <w:rFonts w:ascii="DIN-Regular" w:hAnsi="DIN-Regular"/>
        </w:rPr>
      </w:pPr>
    </w:p>
    <w:p w:rsidR="002473E1" w:rsidRPr="002473E1" w:rsidRDefault="002473E1" w:rsidP="002473E1">
      <w:pPr>
        <w:jc w:val="both"/>
        <w:rPr>
          <w:rFonts w:ascii="DIN-Regular" w:hAnsi="DIN-Regular"/>
        </w:rPr>
      </w:pPr>
      <w:r w:rsidRPr="002473E1">
        <w:rPr>
          <w:rFonts w:ascii="DIN-Regular" w:hAnsi="DIN-Regular"/>
        </w:rPr>
        <w:t xml:space="preserve">Sowohl in den Fällen mit einer Klausel für höhere </w:t>
      </w:r>
      <w:r w:rsidRPr="002473E1">
        <w:rPr>
          <w:rFonts w:ascii="DIN-Regular" w:hAnsi="DIN-Regular"/>
        </w:rPr>
        <w:t>Gewalt</w:t>
      </w:r>
      <w:r w:rsidRPr="002473E1">
        <w:rPr>
          <w:rFonts w:ascii="DIN-Regular" w:hAnsi="DIN-Regular"/>
        </w:rPr>
        <w:t xml:space="preserve"> </w:t>
      </w:r>
      <w:bookmarkStart w:id="0" w:name="_GoBack"/>
      <w:bookmarkEnd w:id="0"/>
      <w:r w:rsidRPr="002473E1">
        <w:rPr>
          <w:rFonts w:ascii="DIN-Regular" w:hAnsi="DIN-Regular"/>
        </w:rPr>
        <w:t>wie auch ohne eine entsprechende Klausel</w:t>
      </w:r>
      <w:r>
        <w:rPr>
          <w:rFonts w:ascii="DIN-Regular" w:hAnsi="DIN-Regular"/>
        </w:rPr>
        <w:t>,</w:t>
      </w:r>
      <w:r w:rsidRPr="002473E1">
        <w:rPr>
          <w:rFonts w:ascii="DIN-Regular" w:hAnsi="DIN-Regular"/>
        </w:rPr>
        <w:t xml:space="preserve"> dürfte als weitere Voraussetzung zu prüfen sein, ob das Ereignis bei Vertragsschluss vorhersehbar war. Aus meiner Sicht wird man wohl sagen können, dass es für China spätestens ab Ende Dezember 2019 und in Deutschland spätestens seit Ende Januar 2020 der Fall sein könnte, dass man von Vorhersehbarkeit sprechen kann.</w:t>
      </w:r>
    </w:p>
    <w:p w:rsidR="002473E1" w:rsidRPr="002473E1" w:rsidRDefault="002473E1" w:rsidP="002473E1">
      <w:pPr>
        <w:jc w:val="both"/>
        <w:rPr>
          <w:rFonts w:ascii="DIN-Regular" w:hAnsi="DIN-Regular"/>
        </w:rPr>
      </w:pPr>
    </w:p>
    <w:p w:rsidR="002473E1" w:rsidRDefault="002473E1" w:rsidP="002473E1">
      <w:pPr>
        <w:jc w:val="both"/>
        <w:rPr>
          <w:rFonts w:ascii="DIN-Regular" w:hAnsi="DIN-Regular"/>
        </w:rPr>
      </w:pPr>
      <w:r w:rsidRPr="002473E1">
        <w:rPr>
          <w:rFonts w:ascii="DIN-Regular" w:hAnsi="DIN-Regular"/>
        </w:rPr>
        <w:t>Für vertragliche Regelungen, die erst jetzt geschlossen werden, ist es ratsam konkrete Regelungen für den Fall der Leistungsbeeinträchtigung durch das Coronavirus in das Vertragswerk auf zu nehmen.</w:t>
      </w:r>
      <w:r>
        <w:rPr>
          <w:rFonts w:ascii="DIN-Regular" w:hAnsi="DIN-Regular"/>
        </w:rPr>
        <w:t xml:space="preserve"> </w:t>
      </w:r>
    </w:p>
    <w:p w:rsidR="002473E1" w:rsidRPr="002473E1" w:rsidRDefault="002473E1" w:rsidP="002473E1">
      <w:pPr>
        <w:jc w:val="both"/>
        <w:rPr>
          <w:rFonts w:ascii="DIN-Regular" w:hAnsi="DIN-Regular"/>
          <w:i/>
          <w:iCs/>
        </w:rPr>
      </w:pPr>
      <w:r w:rsidRPr="002473E1">
        <w:rPr>
          <w:rFonts w:ascii="DIN-Regular" w:hAnsi="DIN-Regular"/>
          <w:i/>
          <w:iCs/>
        </w:rPr>
        <w:t>(Anmerkung:</w:t>
      </w:r>
      <w:r w:rsidRPr="002473E1">
        <w:rPr>
          <w:rFonts w:ascii="DIN-Regular" w:hAnsi="DIN-Regular"/>
          <w:i/>
          <w:iCs/>
        </w:rPr>
        <w:t xml:space="preserve"> Allerdings habe ich persönlich zu entsprechenden Klauseln, diese dürften insbesondere ein Rücktrittsrecht beinhalten, keine Erfahrungen.</w:t>
      </w:r>
      <w:r w:rsidRPr="002473E1">
        <w:rPr>
          <w:rFonts w:ascii="DIN-Regular" w:hAnsi="DIN-Regular"/>
          <w:i/>
          <w:iCs/>
        </w:rPr>
        <w:t>)</w:t>
      </w:r>
    </w:p>
    <w:p w:rsidR="002473E1" w:rsidRPr="002473E1" w:rsidRDefault="002473E1" w:rsidP="002473E1">
      <w:pPr>
        <w:tabs>
          <w:tab w:val="left" w:pos="6835"/>
        </w:tabs>
        <w:spacing w:before="60"/>
        <w:jc w:val="both"/>
        <w:rPr>
          <w:rFonts w:ascii="DIN-Regular" w:hAnsi="DIN-Regular" w:cs="Arial"/>
          <w:b/>
          <w:sz w:val="22"/>
          <w:szCs w:val="22"/>
        </w:rPr>
      </w:pPr>
    </w:p>
    <w:sectPr w:rsidR="002473E1" w:rsidRPr="002473E1" w:rsidSect="00AD21FA">
      <w:footerReference w:type="default" r:id="rId5"/>
      <w:headerReference w:type="first" r:id="rId6"/>
      <w:footerReference w:type="first" r:id="rId7"/>
      <w:pgSz w:w="11906" w:h="16838"/>
      <w:pgMar w:top="1417" w:right="1417" w:bottom="1134" w:left="1417" w:header="708" w:footer="66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IN-Regular">
    <w:panose1 w:val="020B0500000000000000"/>
    <w:charset w:val="00"/>
    <w:family w:val="swiss"/>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Light">
    <w:panose1 w:val="020B0500000000000000"/>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225752"/>
      <w:docPartObj>
        <w:docPartGallery w:val="Page Numbers (Bottom of Page)"/>
        <w:docPartUnique/>
      </w:docPartObj>
    </w:sdtPr>
    <w:sdtEndPr>
      <w:rPr>
        <w:rFonts w:ascii="DIN-Regular" w:hAnsi="DIN-Regular"/>
        <w:b/>
        <w:color w:val="121174"/>
      </w:rPr>
    </w:sdtEndPr>
    <w:sdtContent>
      <w:p w:rsidR="003458C2" w:rsidRPr="00541510" w:rsidRDefault="002473E1" w:rsidP="00F973EC">
        <w:pPr>
          <w:pStyle w:val="Fuzeile"/>
          <w:pBdr>
            <w:top w:val="single" w:sz="4" w:space="1" w:color="121174"/>
          </w:pBdr>
          <w:jc w:val="center"/>
          <w:rPr>
            <w:rFonts w:ascii="DIN-Regular" w:hAnsi="DIN-Regular"/>
            <w:b/>
            <w:color w:val="121174"/>
          </w:rPr>
        </w:pPr>
        <w:r w:rsidRPr="00541510">
          <w:rPr>
            <w:rFonts w:ascii="DIN-Regular" w:hAnsi="DIN-Regular"/>
            <w:b/>
            <w:color w:val="121174"/>
            <w:sz w:val="20"/>
          </w:rPr>
          <w:fldChar w:fldCharType="begin"/>
        </w:r>
        <w:r w:rsidRPr="00541510">
          <w:rPr>
            <w:rFonts w:ascii="DIN-Regular" w:hAnsi="DIN-Regular"/>
            <w:b/>
            <w:color w:val="121174"/>
            <w:sz w:val="20"/>
          </w:rPr>
          <w:instrText>PAGE   \* MERGEFORMAT</w:instrText>
        </w:r>
        <w:r w:rsidRPr="00541510">
          <w:rPr>
            <w:rFonts w:ascii="DIN-Regular" w:hAnsi="DIN-Regular"/>
            <w:b/>
            <w:color w:val="121174"/>
            <w:sz w:val="20"/>
          </w:rPr>
          <w:fldChar w:fldCharType="separate"/>
        </w:r>
        <w:r>
          <w:rPr>
            <w:rFonts w:ascii="DIN-Regular" w:hAnsi="DIN-Regular"/>
            <w:b/>
            <w:noProof/>
            <w:color w:val="121174"/>
            <w:sz w:val="20"/>
          </w:rPr>
          <w:t>2</w:t>
        </w:r>
        <w:r w:rsidRPr="00541510">
          <w:rPr>
            <w:rFonts w:ascii="DIN-Regular" w:hAnsi="DIN-Regular"/>
            <w:b/>
            <w:color w:val="121174"/>
            <w:sz w:val="20"/>
          </w:rPr>
          <w:fldChar w:fldCharType="end"/>
        </w:r>
      </w:p>
    </w:sdtContent>
  </w:sdt>
  <w:p w:rsidR="003458C2" w:rsidRDefault="002473E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262" w:rsidRPr="0014000C" w:rsidRDefault="002473E1" w:rsidP="005A223F">
    <w:pPr>
      <w:spacing w:before="60" w:line="220" w:lineRule="exact"/>
      <w:rPr>
        <w:rFonts w:ascii="DIN-Regular" w:hAnsi="DIN-Regular"/>
        <w:color w:val="111274"/>
        <w:sz w:val="14"/>
        <w:szCs w:val="14"/>
      </w:rPr>
    </w:pPr>
    <w:r>
      <w:rPr>
        <w:rFonts w:ascii="DIN-Regular" w:hAnsi="DIN-Regular"/>
        <w:noProof/>
        <w:color w:val="111274"/>
        <w:sz w:val="14"/>
        <w:szCs w:val="14"/>
      </w:rPr>
      <mc:AlternateContent>
        <mc:Choice Requires="wps">
          <w:drawing>
            <wp:anchor distT="0" distB="0" distL="114300" distR="114300" simplePos="0" relativeHeight="251661312" behindDoc="0" locked="0" layoutInCell="1" allowOverlap="1" wp14:anchorId="3DE13909" wp14:editId="0455F0E1">
              <wp:simplePos x="0" y="0"/>
              <wp:positionH relativeFrom="column">
                <wp:posOffset>-369265</wp:posOffset>
              </wp:positionH>
              <wp:positionV relativeFrom="paragraph">
                <wp:posOffset>87630</wp:posOffset>
              </wp:positionV>
              <wp:extent cx="57150" cy="57150"/>
              <wp:effectExtent l="0" t="0" r="19050" b="19050"/>
              <wp:wrapNone/>
              <wp:docPr id="2" name="Textfeld 2"/>
              <wp:cNvGraphicFramePr/>
              <a:graphic xmlns:a="http://schemas.openxmlformats.org/drawingml/2006/main">
                <a:graphicData uri="http://schemas.microsoft.com/office/word/2010/wordprocessingShape">
                  <wps:wsp>
                    <wps:cNvSpPr txBox="1"/>
                    <wps:spPr>
                      <a:xfrm>
                        <a:off x="0" y="0"/>
                        <a:ext cx="57150" cy="57150"/>
                      </a:xfrm>
                      <a:prstGeom prst="rect">
                        <a:avLst/>
                      </a:prstGeom>
                      <a:solidFill>
                        <a:srgbClr val="121174"/>
                      </a:solidFill>
                      <a:ln w="6350">
                        <a:solidFill>
                          <a:srgbClr val="121174"/>
                        </a:solidFill>
                      </a:ln>
                    </wps:spPr>
                    <wps:txbx>
                      <w:txbxContent>
                        <w:p w:rsidR="00D80D0D" w:rsidRDefault="002473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13909" id="_x0000_t202" coordsize="21600,21600" o:spt="202" path="m,l,21600r21600,l21600,xe">
              <v:stroke joinstyle="miter"/>
              <v:path gradientshapeok="t" o:connecttype="rect"/>
            </v:shapetype>
            <v:shape id="Textfeld 2" o:spid="_x0000_s1027" type="#_x0000_t202" style="position:absolute;margin-left:-29.1pt;margin-top:6.9pt;width:4.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" fillcolor="#121174" strokecolor="#121174" strokeweight=".5pt">
              <v:textbox>
                <w:txbxContent>
                  <w:p w:rsidR="00D80D0D" w:rsidRDefault="002473E1"/>
                </w:txbxContent>
              </v:textbox>
            </v:shape>
          </w:pict>
        </mc:Fallback>
      </mc:AlternateContent>
    </w:r>
    <w:r w:rsidRPr="00B334F2">
      <w:rPr>
        <w:rFonts w:ascii="DIN-Regular" w:hAnsi="DIN-Regular" w:cs="Arial"/>
        <w:noProof/>
        <w:sz w:val="22"/>
        <w:szCs w:val="22"/>
      </w:rPr>
      <mc:AlternateContent>
        <mc:Choice Requires="wps">
          <w:drawing>
            <wp:anchor distT="45720" distB="45720" distL="114300" distR="114300" simplePos="0" relativeHeight="251659264" behindDoc="1" locked="0" layoutInCell="1" allowOverlap="1" wp14:anchorId="70069CB6" wp14:editId="48B6DC11">
              <wp:simplePos x="0" y="0"/>
              <wp:positionH relativeFrom="column">
                <wp:posOffset>-473075</wp:posOffset>
              </wp:positionH>
              <wp:positionV relativeFrom="paragraph">
                <wp:posOffset>-26035</wp:posOffset>
              </wp:positionV>
              <wp:extent cx="6478905" cy="426085"/>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905" cy="426085"/>
                      </a:xfrm>
                      <a:prstGeom prst="rect">
                        <a:avLst/>
                      </a:prstGeom>
                      <a:solidFill>
                        <a:srgbClr val="FFFFFF"/>
                      </a:solidFill>
                      <a:ln w="9525">
                        <a:noFill/>
                        <a:miter lim="800000"/>
                        <a:headEnd/>
                        <a:tailEnd/>
                      </a:ln>
                    </wps:spPr>
                    <wps:txbx>
                      <w:txbxContent>
                        <w:p w:rsidR="00D80D0D" w:rsidRPr="00C26187" w:rsidRDefault="002473E1" w:rsidP="00D80D0D">
                          <w:pPr>
                            <w:pStyle w:val="Fuzeile"/>
                            <w:pBdr>
                              <w:top w:val="single" w:sz="4" w:space="1" w:color="121174"/>
                            </w:pBdr>
                            <w:jc w:val="center"/>
                            <w:rPr>
                              <w:rFonts w:ascii="DIN-Regular" w:hAnsi="DIN-Regular"/>
                              <w:color w:val="111274"/>
                              <w:sz w:val="16"/>
                              <w:szCs w:val="16"/>
                            </w:rPr>
                          </w:pPr>
                          <w:r w:rsidRPr="00C26187">
                            <w:rPr>
                              <w:rFonts w:ascii="DIN-Regular" w:hAnsi="DIN-Regular"/>
                              <w:color w:val="111274"/>
                              <w:sz w:val="16"/>
                              <w:szCs w:val="16"/>
                            </w:rPr>
                            <w:t>Bundesverband Baustoffe – Steine und Erde</w:t>
                          </w:r>
                          <w:r>
                            <w:rPr>
                              <w:rFonts w:ascii="DIN-Regular" w:hAnsi="DIN-Regular"/>
                              <w:color w:val="111274"/>
                              <w:sz w:val="16"/>
                              <w:szCs w:val="16"/>
                            </w:rPr>
                            <w:t>n</w:t>
                          </w:r>
                          <w:r w:rsidRPr="00C26187">
                            <w:rPr>
                              <w:rFonts w:ascii="DIN-Regular" w:hAnsi="DIN-Regular"/>
                              <w:color w:val="111274"/>
                              <w:sz w:val="16"/>
                              <w:szCs w:val="16"/>
                            </w:rPr>
                            <w:t xml:space="preserve"> e.V. | Kochstr. 6-7 | 10969 Berlin | E-Mail: info@bvbaustoffe.de | </w:t>
                          </w:r>
                          <w:r w:rsidRPr="00C26187">
                            <w:rPr>
                              <w:rFonts w:ascii="DIN-Regular" w:hAnsi="DIN-Regular"/>
                              <w:color w:val="111274"/>
                              <w:sz w:val="16"/>
                              <w:szCs w:val="16"/>
                            </w:rPr>
                            <w:t>www.baustoffindustrie.de</w:t>
                          </w:r>
                        </w:p>
                        <w:p w:rsidR="00B334F2" w:rsidRPr="00C26187" w:rsidRDefault="002473E1" w:rsidP="00D80D0D">
                          <w:pPr>
                            <w:pStyle w:val="Fuzeile"/>
                            <w:pBdr>
                              <w:top w:val="single" w:sz="4" w:space="1" w:color="121174"/>
                            </w:pBdr>
                            <w:jc w:val="center"/>
                            <w:rPr>
                              <w:color w:val="000000" w:themeColor="text1"/>
                              <w:sz w:val="16"/>
                              <w:szCs w:val="16"/>
                            </w:rPr>
                          </w:pPr>
                          <w:r w:rsidRPr="00C26187">
                            <w:rPr>
                              <w:rFonts w:ascii="DIN-Regular" w:hAnsi="DIN-Regular"/>
                              <w:color w:val="111274"/>
                              <w:sz w:val="16"/>
                              <w:szCs w:val="16"/>
                            </w:rPr>
                            <w:t xml:space="preserve">Postfach 61 04 86 | 10928 Berlin | Telefon: 030 / </w:t>
                          </w:r>
                          <w:r w:rsidRPr="00C26187">
                            <w:rPr>
                              <w:rFonts w:ascii="DIN-Regular" w:hAnsi="DIN-Regular"/>
                              <w:color w:val="111274"/>
                              <w:sz w:val="16"/>
                              <w:szCs w:val="16"/>
                            </w:rPr>
                            <w:t>7261999-0 | Telefax: 030 / 7261999-12</w:t>
                          </w:r>
                        </w:p>
                        <w:p w:rsidR="00B334F2" w:rsidRPr="00B334F2" w:rsidRDefault="002473E1" w:rsidP="00D80D0D">
                          <w:pPr>
                            <w:jc w:val="center"/>
                            <w:rPr>
                              <w:rFonts w:ascii="DIN-Regular" w:hAnsi="DIN-Regular" w:cs="Arial"/>
                              <w:color w:val="FFFFFF" w:themeColor="background1"/>
                              <w:sz w:val="22"/>
                              <w:szCs w:val="22"/>
                            </w:rPr>
                          </w:pPr>
                          <w:r w:rsidRPr="00B334F2">
                            <w:rPr>
                              <w:rFonts w:ascii="DIN-Regular" w:hAnsi="DIN-Regular"/>
                              <w:color w:val="FFFFFF" w:themeColor="background1"/>
                              <w:sz w:val="14"/>
                              <w:szCs w:val="14"/>
                            </w:rPr>
                            <w:t>Telefon: 030 / 7261999-0 | Telefax: 030 / 7261999-12</w:t>
                          </w:r>
                        </w:p>
                        <w:p w:rsidR="00B334F2" w:rsidRDefault="002473E1" w:rsidP="00D80D0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069CB6" id="_x0000_s1028" type="#_x0000_t202" style="position:absolute;margin-left:-37.25pt;margin-top:-2.05pt;width:510.15pt;height:33.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" stroked="f">
              <v:textbox>
                <w:txbxContent>
                  <w:p w:rsidR="00D80D0D" w:rsidRPr="00C26187" w:rsidRDefault="002473E1" w:rsidP="00D80D0D">
                    <w:pPr>
                      <w:pStyle w:val="Fuzeile"/>
                      <w:pBdr>
                        <w:top w:val="single" w:sz="4" w:space="1" w:color="121174"/>
                      </w:pBdr>
                      <w:jc w:val="center"/>
                      <w:rPr>
                        <w:rFonts w:ascii="DIN-Regular" w:hAnsi="DIN-Regular"/>
                        <w:color w:val="111274"/>
                        <w:sz w:val="16"/>
                        <w:szCs w:val="16"/>
                      </w:rPr>
                    </w:pPr>
                    <w:r w:rsidRPr="00C26187">
                      <w:rPr>
                        <w:rFonts w:ascii="DIN-Regular" w:hAnsi="DIN-Regular"/>
                        <w:color w:val="111274"/>
                        <w:sz w:val="16"/>
                        <w:szCs w:val="16"/>
                      </w:rPr>
                      <w:t>Bundesverband Baustoffe – Steine und Erde</w:t>
                    </w:r>
                    <w:r>
                      <w:rPr>
                        <w:rFonts w:ascii="DIN-Regular" w:hAnsi="DIN-Regular"/>
                        <w:color w:val="111274"/>
                        <w:sz w:val="16"/>
                        <w:szCs w:val="16"/>
                      </w:rPr>
                      <w:t>n</w:t>
                    </w:r>
                    <w:r w:rsidRPr="00C26187">
                      <w:rPr>
                        <w:rFonts w:ascii="DIN-Regular" w:hAnsi="DIN-Regular"/>
                        <w:color w:val="111274"/>
                        <w:sz w:val="16"/>
                        <w:szCs w:val="16"/>
                      </w:rPr>
                      <w:t xml:space="preserve"> e.V. | Kochstr. 6-7 | 10969 Berlin | E-Mail: info@bvbaustoffe.de | </w:t>
                    </w:r>
                    <w:r w:rsidRPr="00C26187">
                      <w:rPr>
                        <w:rFonts w:ascii="DIN-Regular" w:hAnsi="DIN-Regular"/>
                        <w:color w:val="111274"/>
                        <w:sz w:val="16"/>
                        <w:szCs w:val="16"/>
                      </w:rPr>
                      <w:t>www.baustoffindustrie.de</w:t>
                    </w:r>
                  </w:p>
                  <w:p w:rsidR="00B334F2" w:rsidRPr="00C26187" w:rsidRDefault="002473E1" w:rsidP="00D80D0D">
                    <w:pPr>
                      <w:pStyle w:val="Fuzeile"/>
                      <w:pBdr>
                        <w:top w:val="single" w:sz="4" w:space="1" w:color="121174"/>
                      </w:pBdr>
                      <w:jc w:val="center"/>
                      <w:rPr>
                        <w:color w:val="000000" w:themeColor="text1"/>
                        <w:sz w:val="16"/>
                        <w:szCs w:val="16"/>
                      </w:rPr>
                    </w:pPr>
                    <w:r w:rsidRPr="00C26187">
                      <w:rPr>
                        <w:rFonts w:ascii="DIN-Regular" w:hAnsi="DIN-Regular"/>
                        <w:color w:val="111274"/>
                        <w:sz w:val="16"/>
                        <w:szCs w:val="16"/>
                      </w:rPr>
                      <w:t xml:space="preserve">Postfach 61 04 86 | 10928 Berlin | Telefon: 030 / </w:t>
                    </w:r>
                    <w:r w:rsidRPr="00C26187">
                      <w:rPr>
                        <w:rFonts w:ascii="DIN-Regular" w:hAnsi="DIN-Regular"/>
                        <w:color w:val="111274"/>
                        <w:sz w:val="16"/>
                        <w:szCs w:val="16"/>
                      </w:rPr>
                      <w:t>7261999-0 | Telefax: 030 / 7261999-12</w:t>
                    </w:r>
                  </w:p>
                  <w:p w:rsidR="00B334F2" w:rsidRPr="00B334F2" w:rsidRDefault="002473E1" w:rsidP="00D80D0D">
                    <w:pPr>
                      <w:jc w:val="center"/>
                      <w:rPr>
                        <w:rFonts w:ascii="DIN-Regular" w:hAnsi="DIN-Regular" w:cs="Arial"/>
                        <w:color w:val="FFFFFF" w:themeColor="background1"/>
                        <w:sz w:val="22"/>
                        <w:szCs w:val="22"/>
                      </w:rPr>
                    </w:pPr>
                    <w:r w:rsidRPr="00B334F2">
                      <w:rPr>
                        <w:rFonts w:ascii="DIN-Regular" w:hAnsi="DIN-Regular"/>
                        <w:color w:val="FFFFFF" w:themeColor="background1"/>
                        <w:sz w:val="14"/>
                        <w:szCs w:val="14"/>
                      </w:rPr>
                      <w:t>Telefon: 030 / 7261999-0 | Telefax: 030 / 7261999-12</w:t>
                    </w:r>
                  </w:p>
                  <w:p w:rsidR="00B334F2" w:rsidRDefault="002473E1" w:rsidP="00D80D0D">
                    <w:pPr>
                      <w:jc w:val="center"/>
                    </w:pPr>
                  </w:p>
                </w:txbxContent>
              </v:textbox>
            </v:shape>
          </w:pict>
        </mc:Fallback>
      </mc:AlternateContent>
    </w:r>
    <w:r>
      <w:rPr>
        <w:rFonts w:ascii="DIN-Regular" w:hAnsi="DIN-Regular"/>
        <w:color w:val="111274"/>
        <w:sz w:val="14"/>
        <w:szCs w:val="14"/>
      </w:rPr>
      <w:t xml:space="preserve">     </w:t>
    </w:r>
  </w:p>
  <w:p w:rsidR="0014000C" w:rsidRPr="0014000C" w:rsidRDefault="002473E1" w:rsidP="00D80D0D">
    <w:pPr>
      <w:spacing w:before="60" w:line="220" w:lineRule="exact"/>
      <w:rPr>
        <w:rFonts w:ascii="DIN-Regular" w:hAnsi="DIN-Regular"/>
        <w:color w:val="111274"/>
        <w:sz w:val="14"/>
        <w:szCs w:val="1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CD5" w:rsidRDefault="002473E1">
    <w:pPr>
      <w:pStyle w:val="Kopfzeile"/>
    </w:pPr>
    <w:r w:rsidRPr="00541510">
      <w:rPr>
        <w:rFonts w:ascii="DIN-Regular" w:hAnsi="DIN-Regular"/>
        <w:noProof/>
        <w:sz w:val="36"/>
        <w:szCs w:val="36"/>
      </w:rPr>
      <mc:AlternateContent>
        <mc:Choice Requires="wps">
          <w:drawing>
            <wp:anchor distT="0" distB="0" distL="114300" distR="114300" simplePos="0" relativeHeight="251660288" behindDoc="0" locked="0" layoutInCell="1" allowOverlap="1" wp14:anchorId="21A37902" wp14:editId="1765F7D4">
              <wp:simplePos x="0" y="0"/>
              <wp:positionH relativeFrom="column">
                <wp:posOffset>-552450</wp:posOffset>
              </wp:positionH>
              <wp:positionV relativeFrom="paragraph">
                <wp:posOffset>-153035</wp:posOffset>
              </wp:positionV>
              <wp:extent cx="6838950" cy="631190"/>
              <wp:effectExtent l="0" t="0" r="0" b="0"/>
              <wp:wrapNone/>
              <wp:docPr id="17" name="Rechteck 17"/>
              <wp:cNvGraphicFramePr/>
              <a:graphic xmlns:a="http://schemas.openxmlformats.org/drawingml/2006/main">
                <a:graphicData uri="http://schemas.microsoft.com/office/word/2010/wordprocessingShape">
                  <wps:wsp>
                    <wps:cNvSpPr/>
                    <wps:spPr>
                      <a:xfrm>
                        <a:off x="0" y="0"/>
                        <a:ext cx="6838950" cy="631190"/>
                      </a:xfrm>
                      <a:prstGeom prst="rect">
                        <a:avLst/>
                      </a:prstGeom>
                      <a:solidFill>
                        <a:srgbClr val="111274"/>
                      </a:solidFill>
                      <a:ln>
                        <a:noFill/>
                      </a:ln>
                      <a:effectLst/>
                    </wps:spPr>
                    <wps:style>
                      <a:lnRef idx="1">
                        <a:schemeClr val="accent1"/>
                      </a:lnRef>
                      <a:fillRef idx="3">
                        <a:schemeClr val="accent1"/>
                      </a:fillRef>
                      <a:effectRef idx="2">
                        <a:schemeClr val="accent1"/>
                      </a:effectRef>
                      <a:fontRef idx="minor">
                        <a:schemeClr val="lt1"/>
                      </a:fontRef>
                    </wps:style>
                    <wps:txbx>
                      <w:txbxContent>
                        <w:p w:rsidR="00E04CD5" w:rsidRPr="0029775A" w:rsidRDefault="002473E1" w:rsidP="006C5557">
                          <w:pPr>
                            <w:jc w:val="right"/>
                            <w:rPr>
                              <w:rFonts w:ascii="DIN-Light" w:hAnsi="DIN-Light"/>
                              <w:b/>
                              <w:sz w:val="36"/>
                            </w:rPr>
                          </w:pPr>
                          <w:r>
                            <w:rPr>
                              <w:rFonts w:ascii="DIN-Light" w:hAnsi="DIN-Light"/>
                              <w:b/>
                              <w:sz w:val="36"/>
                            </w:rPr>
                            <w:t xml:space="preserve">    </w:t>
                          </w:r>
                          <w:r>
                            <w:rPr>
                              <w:rFonts w:ascii="DIN-Light" w:hAnsi="DIN-Light"/>
                              <w:b/>
                              <w:sz w:val="36"/>
                            </w:rPr>
                            <w:t xml:space="preserve"> Vermerk</w:t>
                          </w:r>
                          <w:r>
                            <w:rPr>
                              <w:rFonts w:ascii="DIN-Light" w:hAnsi="DIN-Light"/>
                              <w:b/>
                              <w:sz w:val="36"/>
                            </w:rPr>
                            <w:t xml:space="preserve">  </w:t>
                          </w:r>
                          <w:r>
                            <w:rPr>
                              <w:rFonts w:ascii="DIN-Light" w:hAnsi="DIN-Light"/>
                              <w:b/>
                              <w:sz w:val="36"/>
                            </w:rPr>
                            <w:t xml:space="preserve">           </w:t>
                          </w:r>
                          <w:r>
                            <w:rPr>
                              <w:rFonts w:ascii="DIN-Light" w:hAnsi="DIN-Light"/>
                              <w:b/>
                              <w:sz w:val="36"/>
                            </w:rPr>
                            <w:t xml:space="preserve">                                                   </w:t>
                          </w:r>
                          <w:r w:rsidRPr="00E04CD5">
                            <w:rPr>
                              <w:noProof/>
                            </w:rPr>
                            <w:t xml:space="preserve"> </w:t>
                          </w:r>
                          <w:r>
                            <w:rPr>
                              <w:rFonts w:ascii="DIN-Light" w:hAnsi="DIN-Light"/>
                              <w:b/>
                              <w:noProof/>
                              <w:sz w:val="36"/>
                            </w:rPr>
                            <w:drawing>
                              <wp:inline distT="0" distB="0" distL="0" distR="0" wp14:anchorId="21009578" wp14:editId="2E72F29D">
                                <wp:extent cx="1569720" cy="27064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BS_Ohne_RGB_300dpi_invertiert.png"/>
                                        <pic:cNvPicPr/>
                                      </pic:nvPicPr>
                                      <pic:blipFill>
                                        <a:blip r:embed="rId1">
                                          <a:extLst>
                                            <a:ext uri="{28A0092B-C50C-407E-A947-70E740481C1C}">
                                              <a14:useLocalDpi xmlns:a14="http://schemas.microsoft.com/office/drawing/2010/main" val="0"/>
                                            </a:ext>
                                          </a:extLst>
                                        </a:blip>
                                        <a:stretch>
                                          <a:fillRect/>
                                        </a:stretch>
                                      </pic:blipFill>
                                      <pic:spPr>
                                        <a:xfrm>
                                          <a:off x="0" y="0"/>
                                          <a:ext cx="1684564" cy="2904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37902" id="Rechteck 17" o:spid="_x0000_s1026" style="position:absolute;margin-left:-43.5pt;margin-top:-12.05pt;width:538.5pt;height:4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" fillcolor="#111274" stroked="f" strokeweight=".5pt">
              <v:textbox>
                <w:txbxContent>
                  <w:p w:rsidR="00E04CD5" w:rsidRPr="0029775A" w:rsidRDefault="002473E1" w:rsidP="006C5557">
                    <w:pPr>
                      <w:jc w:val="right"/>
                      <w:rPr>
                        <w:rFonts w:ascii="DIN-Light" w:hAnsi="DIN-Light"/>
                        <w:b/>
                        <w:sz w:val="36"/>
                      </w:rPr>
                    </w:pPr>
                    <w:r>
                      <w:rPr>
                        <w:rFonts w:ascii="DIN-Light" w:hAnsi="DIN-Light"/>
                        <w:b/>
                        <w:sz w:val="36"/>
                      </w:rPr>
                      <w:t xml:space="preserve">    </w:t>
                    </w:r>
                    <w:r>
                      <w:rPr>
                        <w:rFonts w:ascii="DIN-Light" w:hAnsi="DIN-Light"/>
                        <w:b/>
                        <w:sz w:val="36"/>
                      </w:rPr>
                      <w:t xml:space="preserve"> Vermerk</w:t>
                    </w:r>
                    <w:r>
                      <w:rPr>
                        <w:rFonts w:ascii="DIN-Light" w:hAnsi="DIN-Light"/>
                        <w:b/>
                        <w:sz w:val="36"/>
                      </w:rPr>
                      <w:t xml:space="preserve">  </w:t>
                    </w:r>
                    <w:r>
                      <w:rPr>
                        <w:rFonts w:ascii="DIN-Light" w:hAnsi="DIN-Light"/>
                        <w:b/>
                        <w:sz w:val="36"/>
                      </w:rPr>
                      <w:t xml:space="preserve">           </w:t>
                    </w:r>
                    <w:r>
                      <w:rPr>
                        <w:rFonts w:ascii="DIN-Light" w:hAnsi="DIN-Light"/>
                        <w:b/>
                        <w:sz w:val="36"/>
                      </w:rPr>
                      <w:t xml:space="preserve">                                                   </w:t>
                    </w:r>
                    <w:r w:rsidRPr="00E04CD5">
                      <w:rPr>
                        <w:noProof/>
                      </w:rPr>
                      <w:t xml:space="preserve"> </w:t>
                    </w:r>
                    <w:r>
                      <w:rPr>
                        <w:rFonts w:ascii="DIN-Light" w:hAnsi="DIN-Light"/>
                        <w:b/>
                        <w:noProof/>
                        <w:sz w:val="36"/>
                      </w:rPr>
                      <w:drawing>
                        <wp:inline distT="0" distB="0" distL="0" distR="0" wp14:anchorId="21009578" wp14:editId="2E72F29D">
                          <wp:extent cx="1569720" cy="27064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BS_Ohne_RGB_300dpi_invertiert.png"/>
                                  <pic:cNvPicPr/>
                                </pic:nvPicPr>
                                <pic:blipFill>
                                  <a:blip r:embed="rId1">
                                    <a:extLst>
                                      <a:ext uri="{28A0092B-C50C-407E-A947-70E740481C1C}">
                                        <a14:useLocalDpi xmlns:a14="http://schemas.microsoft.com/office/drawing/2010/main" val="0"/>
                                      </a:ext>
                                    </a:extLst>
                                  </a:blip>
                                  <a:stretch>
                                    <a:fillRect/>
                                  </a:stretch>
                                </pic:blipFill>
                                <pic:spPr>
                                  <a:xfrm>
                                    <a:off x="0" y="0"/>
                                    <a:ext cx="1684564" cy="290442"/>
                                  </a:xfrm>
                                  <a:prstGeom prst="rect">
                                    <a:avLst/>
                                  </a:prstGeom>
                                </pic:spPr>
                              </pic:pic>
                            </a:graphicData>
                          </a:graphic>
                        </wp:inline>
                      </w:drawing>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540892"/>
    <w:multiLevelType w:val="hybridMultilevel"/>
    <w:tmpl w:val="8D78C082"/>
    <w:lvl w:ilvl="0" w:tplc="DCE019F0">
      <w:numFmt w:val="bullet"/>
      <w:lvlText w:val="-"/>
      <w:lvlJc w:val="left"/>
      <w:pPr>
        <w:ind w:left="1065" w:hanging="360"/>
      </w:pPr>
      <w:rPr>
        <w:rFonts w:ascii="DIN-Regular" w:eastAsiaTheme="minorEastAsia" w:hAnsi="DIN-Regular" w:cstheme="minorBid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09974A4-FA73-4F0A-848C-183542C47ADC}"/>
    <w:docVar w:name="dgnword-drafile" w:val="C:\Users\WMueller.BBS\AppData\Local\Temp\dra1C88.tmp"/>
    <w:docVar w:name="dgnword-eventsink" w:val="607266736"/>
  </w:docVars>
  <w:rsids>
    <w:rsidRoot w:val="002473E1"/>
    <w:rsid w:val="002473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7AA0"/>
  <w15:chartTrackingRefBased/>
  <w15:docId w15:val="{D5B9DF67-E2D7-4E4D-81C7-78D7D1C7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73E1"/>
    <w:pPr>
      <w:spacing w:after="0" w:line="240" w:lineRule="auto"/>
    </w:pPr>
    <w:rPr>
      <w:rFonts w:eastAsiaTheme="minorEastAsi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2473E1"/>
    <w:pPr>
      <w:tabs>
        <w:tab w:val="center" w:pos="4536"/>
        <w:tab w:val="right" w:pos="9072"/>
      </w:tabs>
    </w:pPr>
  </w:style>
  <w:style w:type="character" w:customStyle="1" w:styleId="KopfzeileZchn">
    <w:name w:val="Kopfzeile Zchn"/>
    <w:basedOn w:val="Absatz-Standardschriftart"/>
    <w:link w:val="Kopfzeile"/>
    <w:rsid w:val="002473E1"/>
    <w:rPr>
      <w:rFonts w:eastAsiaTheme="minorEastAsia"/>
      <w:sz w:val="24"/>
      <w:szCs w:val="24"/>
      <w:lang w:eastAsia="de-DE"/>
    </w:rPr>
  </w:style>
  <w:style w:type="paragraph" w:styleId="Fuzeile">
    <w:name w:val="footer"/>
    <w:basedOn w:val="Standard"/>
    <w:link w:val="FuzeileZchn"/>
    <w:uiPriority w:val="99"/>
    <w:unhideWhenUsed/>
    <w:rsid w:val="002473E1"/>
    <w:pPr>
      <w:tabs>
        <w:tab w:val="center" w:pos="4536"/>
        <w:tab w:val="right" w:pos="9072"/>
      </w:tabs>
    </w:pPr>
  </w:style>
  <w:style w:type="character" w:customStyle="1" w:styleId="FuzeileZchn">
    <w:name w:val="Fußzeile Zchn"/>
    <w:basedOn w:val="Absatz-Standardschriftart"/>
    <w:link w:val="Fuzeile"/>
    <w:uiPriority w:val="99"/>
    <w:rsid w:val="002473E1"/>
    <w:rPr>
      <w:rFonts w:eastAsiaTheme="minorEastAsia"/>
      <w:sz w:val="24"/>
      <w:szCs w:val="24"/>
      <w:lang w:eastAsia="de-DE"/>
    </w:rPr>
  </w:style>
  <w:style w:type="paragraph" w:styleId="Listenabsatz">
    <w:name w:val="List Paragraph"/>
    <w:basedOn w:val="Standard"/>
    <w:uiPriority w:val="34"/>
    <w:qFormat/>
    <w:rsid w:val="002473E1"/>
    <w:pPr>
      <w:ind w:left="720"/>
      <w:contextualSpacing/>
    </w:pPr>
  </w:style>
  <w:style w:type="paragraph" w:styleId="Textkrper">
    <w:name w:val="Body Text"/>
    <w:basedOn w:val="Standard"/>
    <w:link w:val="TextkrperZchn"/>
    <w:uiPriority w:val="99"/>
    <w:unhideWhenUsed/>
    <w:rsid w:val="002473E1"/>
    <w:pPr>
      <w:spacing w:after="120"/>
    </w:pPr>
  </w:style>
  <w:style w:type="character" w:customStyle="1" w:styleId="TextkrperZchn">
    <w:name w:val="Textkörper Zchn"/>
    <w:basedOn w:val="Absatz-Standardschriftart"/>
    <w:link w:val="Textkrper"/>
    <w:uiPriority w:val="99"/>
    <w:rsid w:val="002473E1"/>
    <w:rPr>
      <w:rFonts w:eastAsiaTheme="minorEastAsia"/>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3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3172</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Müller</dc:creator>
  <cp:keywords/>
  <dc:description/>
  <cp:lastModifiedBy>Wolf Müller</cp:lastModifiedBy>
  <cp:revision>2</cp:revision>
  <dcterms:created xsi:type="dcterms:W3CDTF">2020-03-17T09:36:00Z</dcterms:created>
  <dcterms:modified xsi:type="dcterms:W3CDTF">2020-03-17T09:47:00Z</dcterms:modified>
</cp:coreProperties>
</file>