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A0" w:rsidRPr="00E65BD6" w:rsidRDefault="00201DCE" w:rsidP="00C005A0">
      <w:pPr>
        <w:pStyle w:val="oTitel"/>
        <w:rPr>
          <w:lang w:val="en-GB"/>
        </w:rPr>
      </w:pPr>
      <w:proofErr w:type="spellStart"/>
      <w:proofErr w:type="gramStart"/>
      <w:r>
        <w:rPr>
          <w:lang w:val="en-GB"/>
        </w:rPr>
        <w:t>bbs</w:t>
      </w:r>
      <w:proofErr w:type="spellEnd"/>
      <w:proofErr w:type="gramEnd"/>
      <w:r>
        <w:rPr>
          <w:lang w:val="en-GB"/>
        </w:rPr>
        <w:t xml:space="preserve"> </w:t>
      </w:r>
      <w:r w:rsidR="00C005A0" w:rsidRPr="00E65BD6">
        <w:rPr>
          <w:lang w:val="en-GB"/>
        </w:rPr>
        <w:t>response to the public consultation on the draft Climate, Energy and Environmental Aid Guidelines (CEEAG)</w:t>
      </w:r>
    </w:p>
    <w:p w:rsidR="00C005A0" w:rsidRPr="00E65BD6" w:rsidRDefault="00C005A0" w:rsidP="00C005A0">
      <w:pPr>
        <w:rPr>
          <w:lang w:val="en-GB"/>
        </w:rPr>
      </w:pPr>
    </w:p>
    <w:p w:rsidR="00C005A0" w:rsidRPr="00E65BD6" w:rsidRDefault="009547DF" w:rsidP="00C005A0">
      <w:pPr>
        <w:rPr>
          <w:lang w:val="en-GB"/>
        </w:rPr>
      </w:pPr>
      <w:r w:rsidRPr="009547DF">
        <w:rPr>
          <w:lang w:val="en-GB"/>
        </w:rPr>
        <w:t>The German Building Materials Association (</w:t>
      </w:r>
      <w:proofErr w:type="spellStart"/>
      <w:r w:rsidRPr="009547DF">
        <w:rPr>
          <w:lang w:val="en-GB"/>
        </w:rPr>
        <w:t>bbs</w:t>
      </w:r>
      <w:proofErr w:type="spellEnd"/>
      <w:r w:rsidRPr="009547DF">
        <w:rPr>
          <w:lang w:val="en-GB"/>
        </w:rPr>
        <w:t>) represents the business and industrial interest</w:t>
      </w:r>
      <w:r>
        <w:rPr>
          <w:lang w:val="en-GB"/>
        </w:rPr>
        <w:t>s of 16 sub-sectors and around 6</w:t>
      </w:r>
      <w:r w:rsidRPr="009547DF">
        <w:rPr>
          <w:lang w:val="en-GB"/>
        </w:rPr>
        <w:t>,0</w:t>
      </w:r>
      <w:r>
        <w:rPr>
          <w:lang w:val="en-GB"/>
        </w:rPr>
        <w:t>00 companies with a total of 150</w:t>
      </w:r>
      <w:r w:rsidRPr="009547DF">
        <w:rPr>
          <w:lang w:val="en-GB"/>
        </w:rPr>
        <w:t>,000 employees. The German buil</w:t>
      </w:r>
      <w:r w:rsidRPr="009547DF">
        <w:rPr>
          <w:lang w:val="en-GB"/>
        </w:rPr>
        <w:t>d</w:t>
      </w:r>
      <w:r w:rsidRPr="009547DF">
        <w:rPr>
          <w:lang w:val="en-GB"/>
        </w:rPr>
        <w:t>ing</w:t>
      </w:r>
      <w:r>
        <w:rPr>
          <w:lang w:val="en-GB"/>
        </w:rPr>
        <w:t xml:space="preserve"> </w:t>
      </w:r>
      <w:r w:rsidRPr="009547DF">
        <w:rPr>
          <w:lang w:val="en-GB"/>
        </w:rPr>
        <w:t>materials industry generates an annual turnover of about</w:t>
      </w:r>
      <w:r>
        <w:rPr>
          <w:lang w:val="en-GB"/>
        </w:rPr>
        <w:t xml:space="preserve"> 35 </w:t>
      </w:r>
      <w:r w:rsidRPr="009547DF">
        <w:rPr>
          <w:lang w:val="en-GB"/>
        </w:rPr>
        <w:t>billion Euro</w:t>
      </w:r>
      <w:r>
        <w:rPr>
          <w:lang w:val="en-GB"/>
        </w:rPr>
        <w:t>s</w:t>
      </w:r>
      <w:r w:rsidRPr="009547DF">
        <w:rPr>
          <w:lang w:val="en-GB"/>
        </w:rPr>
        <w:t>. With its modern pr</w:t>
      </w:r>
      <w:r w:rsidRPr="009547DF">
        <w:rPr>
          <w:lang w:val="en-GB"/>
        </w:rPr>
        <w:t>o</w:t>
      </w:r>
      <w:r w:rsidRPr="009547DF">
        <w:rPr>
          <w:lang w:val="en-GB"/>
        </w:rPr>
        <w:t>duction processes and products, this industry makes a significant contribution to a sustainable ec</w:t>
      </w:r>
      <w:r w:rsidRPr="009547DF">
        <w:rPr>
          <w:lang w:val="en-GB"/>
        </w:rPr>
        <w:t>o</w:t>
      </w:r>
      <w:r w:rsidRPr="009547DF">
        <w:rPr>
          <w:lang w:val="en-GB"/>
        </w:rPr>
        <w:t>nomic development. To protect jobs, the building materials industry needs a competitive</w:t>
      </w:r>
      <w:r>
        <w:rPr>
          <w:lang w:val="en-GB"/>
        </w:rPr>
        <w:t xml:space="preserve"> </w:t>
      </w:r>
      <w:r w:rsidRPr="009547DF">
        <w:rPr>
          <w:lang w:val="en-GB"/>
        </w:rPr>
        <w:t>business environment. This includes secure access to domestic raw materials as well as future-oriented</w:t>
      </w:r>
      <w:r>
        <w:rPr>
          <w:lang w:val="en-GB"/>
        </w:rPr>
        <w:t xml:space="preserve"> </w:t>
      </w:r>
      <w:r w:rsidRPr="009547DF">
        <w:rPr>
          <w:lang w:val="en-GB"/>
        </w:rPr>
        <w:t>env</w:t>
      </w:r>
      <w:r w:rsidRPr="009547DF">
        <w:rPr>
          <w:lang w:val="en-GB"/>
        </w:rPr>
        <w:t>i</w:t>
      </w:r>
      <w:r w:rsidRPr="009547DF">
        <w:rPr>
          <w:lang w:val="en-GB"/>
        </w:rPr>
        <w:t>ronmental, climate and energy policies. Furthermore,</w:t>
      </w:r>
      <w:r>
        <w:rPr>
          <w:lang w:val="en-GB"/>
        </w:rPr>
        <w:t xml:space="preserve"> </w:t>
      </w:r>
      <w:proofErr w:type="spellStart"/>
      <w:r w:rsidRPr="009547DF">
        <w:rPr>
          <w:lang w:val="en-GB"/>
        </w:rPr>
        <w:t>bbs</w:t>
      </w:r>
      <w:proofErr w:type="spellEnd"/>
      <w:r>
        <w:rPr>
          <w:lang w:val="en-GB"/>
        </w:rPr>
        <w:t xml:space="preserve"> </w:t>
      </w:r>
      <w:r w:rsidRPr="009547DF">
        <w:rPr>
          <w:lang w:val="en-GB"/>
        </w:rPr>
        <w:t>advocates the development of infrastru</w:t>
      </w:r>
      <w:r w:rsidRPr="009547DF">
        <w:rPr>
          <w:lang w:val="en-GB"/>
        </w:rPr>
        <w:t>c</w:t>
      </w:r>
      <w:r w:rsidRPr="009547DF">
        <w:rPr>
          <w:lang w:val="en-GB"/>
        </w:rPr>
        <w:t>ture</w:t>
      </w:r>
      <w:r>
        <w:rPr>
          <w:lang w:val="en-GB"/>
        </w:rPr>
        <w:t xml:space="preserve"> </w:t>
      </w:r>
      <w:r w:rsidRPr="009547DF">
        <w:rPr>
          <w:lang w:val="en-GB"/>
        </w:rPr>
        <w:t>in line with actual needs as well as better investment incentives in the housing construction sector</w:t>
      </w:r>
      <w:r>
        <w:rPr>
          <w:lang w:val="en-GB"/>
        </w:rPr>
        <w:t xml:space="preserve"> </w:t>
      </w:r>
      <w:r w:rsidRPr="009547DF">
        <w:rPr>
          <w:lang w:val="en-GB"/>
        </w:rPr>
        <w:t>and</w:t>
      </w:r>
      <w:r>
        <w:rPr>
          <w:lang w:val="en-GB"/>
        </w:rPr>
        <w:t xml:space="preserve"> </w:t>
      </w:r>
      <w:r w:rsidRPr="009547DF">
        <w:rPr>
          <w:lang w:val="en-GB"/>
        </w:rPr>
        <w:t xml:space="preserve">for energy-saving restoration. </w:t>
      </w:r>
      <w:r w:rsidR="00C005A0" w:rsidRPr="00E65BD6">
        <w:rPr>
          <w:lang w:val="en-GB"/>
        </w:rPr>
        <w:t>Against this background we welcome the new focus of the</w:t>
      </w:r>
      <w:r w:rsidR="00C005A0">
        <w:rPr>
          <w:lang w:val="en-GB"/>
        </w:rPr>
        <w:t xml:space="preserve"> draft</w:t>
      </w:r>
      <w:r w:rsidR="00C005A0" w:rsidRPr="00E65BD6">
        <w:rPr>
          <w:lang w:val="en-GB"/>
        </w:rPr>
        <w:t xml:space="preserve"> CEEAG on funding and supporting the decarbonisation of </w:t>
      </w:r>
      <w:r w:rsidR="00C53062">
        <w:rPr>
          <w:lang w:val="en-GB"/>
        </w:rPr>
        <w:t xml:space="preserve">the </w:t>
      </w:r>
      <w:r w:rsidR="00C005A0" w:rsidRPr="00E65BD6">
        <w:rPr>
          <w:lang w:val="en-GB"/>
        </w:rPr>
        <w:t>industry</w:t>
      </w:r>
      <w:r>
        <w:rPr>
          <w:lang w:val="en-GB"/>
        </w:rPr>
        <w:t xml:space="preserve"> sector</w:t>
      </w:r>
      <w:r w:rsidR="00C005A0" w:rsidRPr="00E65BD6">
        <w:rPr>
          <w:lang w:val="en-GB"/>
        </w:rPr>
        <w:t>.</w:t>
      </w:r>
    </w:p>
    <w:p w:rsidR="00C005A0" w:rsidRPr="00E65BD6" w:rsidRDefault="00C005A0" w:rsidP="00C005A0">
      <w:pPr>
        <w:rPr>
          <w:lang w:val="en-GB"/>
        </w:rPr>
      </w:pPr>
    </w:p>
    <w:p w:rsidR="00C005A0" w:rsidRDefault="00C005A0" w:rsidP="00C005A0">
      <w:pPr>
        <w:rPr>
          <w:lang w:val="en-GB"/>
        </w:rPr>
      </w:pPr>
      <w:r w:rsidRPr="00E65BD6">
        <w:rPr>
          <w:b/>
          <w:lang w:val="en-GB"/>
        </w:rPr>
        <w:t xml:space="preserve">However, we note </w:t>
      </w:r>
      <w:r>
        <w:rPr>
          <w:b/>
          <w:lang w:val="en-GB"/>
        </w:rPr>
        <w:t>with great concern that the C</w:t>
      </w:r>
      <w:r w:rsidRPr="00E65BD6">
        <w:rPr>
          <w:b/>
          <w:lang w:val="en-GB"/>
        </w:rPr>
        <w:t xml:space="preserve">ommission plans to remove </w:t>
      </w:r>
      <w:r w:rsidR="009547DF">
        <w:rPr>
          <w:b/>
          <w:lang w:val="en-GB"/>
        </w:rPr>
        <w:t xml:space="preserve">several sectors of the building materials industry </w:t>
      </w:r>
      <w:r w:rsidRPr="00E65BD6">
        <w:rPr>
          <w:b/>
          <w:lang w:val="en-GB"/>
        </w:rPr>
        <w:t>from the list of eligible sectors for aid in the form of redu</w:t>
      </w:r>
      <w:r w:rsidRPr="00E65BD6">
        <w:rPr>
          <w:b/>
          <w:lang w:val="en-GB"/>
        </w:rPr>
        <w:t>c</w:t>
      </w:r>
      <w:r w:rsidRPr="00E65BD6">
        <w:rPr>
          <w:b/>
          <w:lang w:val="en-GB"/>
        </w:rPr>
        <w:t xml:space="preserve">tions from electricity levies for energy-intensive users (Chapter 4.11, Annex 1 of </w:t>
      </w:r>
      <w:r>
        <w:rPr>
          <w:b/>
          <w:lang w:val="en-GB"/>
        </w:rPr>
        <w:t xml:space="preserve">draft </w:t>
      </w:r>
      <w:r w:rsidRPr="00E65BD6">
        <w:rPr>
          <w:b/>
          <w:lang w:val="en-GB"/>
        </w:rPr>
        <w:t>CEEAG).</w:t>
      </w:r>
      <w:r w:rsidR="009547DF">
        <w:rPr>
          <w:b/>
          <w:lang w:val="en-GB"/>
        </w:rPr>
        <w:t xml:space="preserve"> </w:t>
      </w:r>
      <w:r w:rsidR="00DF5BFA" w:rsidRPr="00317E6C">
        <w:rPr>
          <w:lang w:val="en-GB"/>
        </w:rPr>
        <w:t>In our membership this</w:t>
      </w:r>
      <w:r w:rsidR="009547DF" w:rsidRPr="00317E6C">
        <w:rPr>
          <w:lang w:val="en-GB"/>
        </w:rPr>
        <w:t xml:space="preserve"> affects </w:t>
      </w:r>
      <w:r w:rsidR="00317E6C" w:rsidRPr="00317E6C">
        <w:rPr>
          <w:lang w:val="en-GB"/>
        </w:rPr>
        <w:t xml:space="preserve">the sectors </w:t>
      </w:r>
      <w:r w:rsidR="00DF5BFA" w:rsidRPr="00317E6C">
        <w:rPr>
          <w:lang w:val="en-GB"/>
        </w:rPr>
        <w:t xml:space="preserve">bricks and tiles (NACE 2332), </w:t>
      </w:r>
      <w:r w:rsidR="009547DF" w:rsidRPr="00317E6C">
        <w:rPr>
          <w:lang w:val="en-GB"/>
        </w:rPr>
        <w:t xml:space="preserve">cement (2351), </w:t>
      </w:r>
      <w:r w:rsidR="00DF5BFA" w:rsidRPr="00317E6C">
        <w:rPr>
          <w:lang w:val="en-GB"/>
        </w:rPr>
        <w:t xml:space="preserve">lime and plaster (2352), </w:t>
      </w:r>
      <w:r w:rsidR="00317E6C" w:rsidRPr="00317E6C">
        <w:rPr>
          <w:lang w:val="en-GB"/>
        </w:rPr>
        <w:t>mineral wool (2399) (annex 3 of current EEAG) as well as the sectors</w:t>
      </w:r>
      <w:r w:rsidR="00317E6C">
        <w:rPr>
          <w:lang w:val="en-GB"/>
        </w:rPr>
        <w:t xml:space="preserve"> gra</w:t>
      </w:r>
      <w:r w:rsidR="00317E6C">
        <w:rPr>
          <w:lang w:val="en-GB"/>
        </w:rPr>
        <w:t>v</w:t>
      </w:r>
      <w:r w:rsidR="00317E6C">
        <w:rPr>
          <w:lang w:val="en-GB"/>
        </w:rPr>
        <w:t xml:space="preserve">el, sand, clay and kaolin (0812), plaster products (2362), </w:t>
      </w:r>
      <w:r w:rsidR="00317E6C" w:rsidRPr="00317E6C">
        <w:rPr>
          <w:lang w:val="en-GB"/>
        </w:rPr>
        <w:t>other articles of concrete, plaster and c</w:t>
      </w:r>
      <w:r w:rsidR="00317E6C" w:rsidRPr="00317E6C">
        <w:rPr>
          <w:lang w:val="en-GB"/>
        </w:rPr>
        <w:t>e</w:t>
      </w:r>
      <w:r w:rsidR="00317E6C" w:rsidRPr="00317E6C">
        <w:rPr>
          <w:lang w:val="en-GB"/>
        </w:rPr>
        <w:t>ment</w:t>
      </w:r>
      <w:r w:rsidR="00317E6C">
        <w:rPr>
          <w:lang w:val="en-GB"/>
        </w:rPr>
        <w:t xml:space="preserve"> (2369) and cutting, shaping and finishing of stone (2370) (annex 5 of current EEAG).</w:t>
      </w:r>
    </w:p>
    <w:p w:rsidR="00317E6C" w:rsidRPr="00317E6C" w:rsidRDefault="00317E6C" w:rsidP="00C005A0">
      <w:pPr>
        <w:rPr>
          <w:lang w:val="en-GB"/>
        </w:rPr>
      </w:pPr>
    </w:p>
    <w:p w:rsidR="0049084D" w:rsidRDefault="00C005A0" w:rsidP="00C005A0">
      <w:pPr>
        <w:rPr>
          <w:lang w:val="en-GB"/>
        </w:rPr>
      </w:pPr>
      <w:r w:rsidRPr="00E65BD6">
        <w:rPr>
          <w:lang w:val="en-GB"/>
        </w:rPr>
        <w:t>For the</w:t>
      </w:r>
      <w:r w:rsidR="007D2FBA">
        <w:rPr>
          <w:lang w:val="en-GB"/>
        </w:rPr>
        <w:t xml:space="preserve">se sectors in Germany alone this would mean a drastic increase in electricity costs by </w:t>
      </w:r>
      <w:r w:rsidR="00EC50B9">
        <w:rPr>
          <w:lang w:val="en-GB"/>
        </w:rPr>
        <w:t xml:space="preserve">more </w:t>
      </w:r>
      <w:r w:rsidR="007D2FBA">
        <w:rPr>
          <w:lang w:val="en-GB"/>
        </w:rPr>
        <w:t>than 3</w:t>
      </w:r>
      <w:r w:rsidR="00EC50B9">
        <w:rPr>
          <w:lang w:val="en-GB"/>
        </w:rPr>
        <w:t>0</w:t>
      </w:r>
      <w:r w:rsidR="007D2FBA">
        <w:rPr>
          <w:lang w:val="en-GB"/>
        </w:rPr>
        <w:t xml:space="preserve">0 million Euros which is </w:t>
      </w:r>
      <w:r w:rsidR="00EC50B9">
        <w:rPr>
          <w:lang w:val="en-GB"/>
        </w:rPr>
        <w:t xml:space="preserve">about </w:t>
      </w:r>
      <w:r w:rsidR="007D2FBA">
        <w:rPr>
          <w:lang w:val="en-GB"/>
        </w:rPr>
        <w:t xml:space="preserve">5 % of the Gross Value Added (GVA) of these sectors. For individual sectors </w:t>
      </w:r>
      <w:r w:rsidR="00E1146D">
        <w:rPr>
          <w:lang w:val="en-GB"/>
        </w:rPr>
        <w:t xml:space="preserve">like the cement industry this </w:t>
      </w:r>
      <w:r w:rsidR="007D2FBA">
        <w:rPr>
          <w:lang w:val="en-GB"/>
        </w:rPr>
        <w:t xml:space="preserve">price increase goes as far as 20 % of </w:t>
      </w:r>
      <w:r w:rsidR="00E1146D">
        <w:rPr>
          <w:lang w:val="en-GB"/>
        </w:rPr>
        <w:t xml:space="preserve">their </w:t>
      </w:r>
      <w:r w:rsidR="007D2FBA">
        <w:rPr>
          <w:lang w:val="en-GB"/>
        </w:rPr>
        <w:t>GVA, e</w:t>
      </w:r>
      <w:r w:rsidR="007D2FBA">
        <w:rPr>
          <w:lang w:val="en-GB"/>
        </w:rPr>
        <w:t>f</w:t>
      </w:r>
      <w:r w:rsidR="007D2FBA">
        <w:rPr>
          <w:lang w:val="en-GB"/>
        </w:rPr>
        <w:t xml:space="preserve">fectively putting these sectors at </w:t>
      </w:r>
      <w:r w:rsidR="00C53062">
        <w:rPr>
          <w:lang w:val="en-GB"/>
        </w:rPr>
        <w:t xml:space="preserve">an enormous </w:t>
      </w:r>
      <w:r w:rsidR="007D2FBA">
        <w:rPr>
          <w:lang w:val="en-GB"/>
        </w:rPr>
        <w:t xml:space="preserve">competitive disadvantage </w:t>
      </w:r>
      <w:r w:rsidR="00C53062">
        <w:rPr>
          <w:lang w:val="en-GB"/>
        </w:rPr>
        <w:t>both on the EU market and vis-à-vis third countries</w:t>
      </w:r>
      <w:r w:rsidR="007D2FBA">
        <w:rPr>
          <w:lang w:val="en-GB"/>
        </w:rPr>
        <w:t>.</w:t>
      </w:r>
      <w:r w:rsidR="00E1146D">
        <w:rPr>
          <w:lang w:val="en-GB"/>
        </w:rPr>
        <w:t xml:space="preserve"> For other sectors like the mineral wool industry significant inter-sector di</w:t>
      </w:r>
      <w:r w:rsidR="00E1146D">
        <w:rPr>
          <w:lang w:val="en-GB"/>
        </w:rPr>
        <w:t>s</w:t>
      </w:r>
      <w:r w:rsidR="00E1146D">
        <w:rPr>
          <w:lang w:val="en-GB"/>
        </w:rPr>
        <w:t xml:space="preserve">tortions would arise because mineral wool as a product is directly competing with glass wool which </w:t>
      </w:r>
      <w:r w:rsidR="00EC50B9">
        <w:rPr>
          <w:lang w:val="en-GB"/>
        </w:rPr>
        <w:t>justifiably r</w:t>
      </w:r>
      <w:r w:rsidR="00EC50B9">
        <w:rPr>
          <w:lang w:val="en-GB"/>
        </w:rPr>
        <w:t>e</w:t>
      </w:r>
      <w:r w:rsidR="00EC50B9">
        <w:rPr>
          <w:lang w:val="en-GB"/>
        </w:rPr>
        <w:t xml:space="preserve">mains </w:t>
      </w:r>
      <w:r w:rsidR="00E1146D">
        <w:rPr>
          <w:lang w:val="en-GB"/>
        </w:rPr>
        <w:t xml:space="preserve">covered by the proposed sector list. </w:t>
      </w:r>
      <w:r>
        <w:rPr>
          <w:lang w:val="en-GB"/>
        </w:rPr>
        <w:t>Under these circumstances, investments into additional electro-intensive pr</w:t>
      </w:r>
      <w:r>
        <w:rPr>
          <w:lang w:val="en-GB"/>
        </w:rPr>
        <w:t>o</w:t>
      </w:r>
      <w:r>
        <w:rPr>
          <w:lang w:val="en-GB"/>
        </w:rPr>
        <w:t>cesses for decarbonizing the indus</w:t>
      </w:r>
      <w:r w:rsidR="00E1146D">
        <w:rPr>
          <w:lang w:val="en-GB"/>
        </w:rPr>
        <w:t xml:space="preserve">try </w:t>
      </w:r>
      <w:r>
        <w:rPr>
          <w:lang w:val="en-GB"/>
        </w:rPr>
        <w:t xml:space="preserve">will </w:t>
      </w:r>
      <w:r w:rsidR="00E1146D">
        <w:rPr>
          <w:lang w:val="en-GB"/>
        </w:rPr>
        <w:t xml:space="preserve">effectively </w:t>
      </w:r>
      <w:r>
        <w:rPr>
          <w:lang w:val="en-GB"/>
        </w:rPr>
        <w:t>be stalled</w:t>
      </w:r>
      <w:r w:rsidR="00EC50B9">
        <w:rPr>
          <w:lang w:val="en-GB"/>
        </w:rPr>
        <w:t xml:space="preserve"> in the sectors falling off the list</w:t>
      </w:r>
      <w:r>
        <w:rPr>
          <w:lang w:val="en-GB"/>
        </w:rPr>
        <w:t>. This comes at a crucial point in time where both private and public inves</w:t>
      </w:r>
      <w:r>
        <w:rPr>
          <w:lang w:val="en-GB"/>
        </w:rPr>
        <w:t>t</w:t>
      </w:r>
      <w:r>
        <w:rPr>
          <w:lang w:val="en-GB"/>
        </w:rPr>
        <w:t xml:space="preserve">ment is urgently needed to foster </w:t>
      </w:r>
      <w:r w:rsidRPr="003055BF">
        <w:rPr>
          <w:lang w:val="en-GB"/>
        </w:rPr>
        <w:t>CO</w:t>
      </w:r>
      <w:r w:rsidRPr="003055BF">
        <w:rPr>
          <w:vertAlign w:val="subscript"/>
          <w:lang w:val="en-GB"/>
        </w:rPr>
        <w:t>2</w:t>
      </w:r>
      <w:r w:rsidRPr="003055BF">
        <w:rPr>
          <w:lang w:val="en-GB"/>
        </w:rPr>
        <w:t xml:space="preserve"> </w:t>
      </w:r>
      <w:r>
        <w:rPr>
          <w:lang w:val="en-GB"/>
        </w:rPr>
        <w:t>mitigation throughout Europe</w:t>
      </w:r>
      <w:r w:rsidRPr="00DA1D19">
        <w:rPr>
          <w:lang w:val="en-GB"/>
        </w:rPr>
        <w:t xml:space="preserve">. We </w:t>
      </w:r>
      <w:r>
        <w:rPr>
          <w:lang w:val="en-GB"/>
        </w:rPr>
        <w:t xml:space="preserve">do not </w:t>
      </w:r>
      <w:r w:rsidRPr="00DA1D19">
        <w:rPr>
          <w:lang w:val="en-GB"/>
        </w:rPr>
        <w:t>understand the Commissio</w:t>
      </w:r>
      <w:r>
        <w:rPr>
          <w:lang w:val="en-GB"/>
        </w:rPr>
        <w:t>n’s motivation to increase electricity prices for a vast number of industrial sectors throughout Europe when electricity is the main transformation energy on our way to carbon neutral</w:t>
      </w:r>
      <w:r>
        <w:rPr>
          <w:lang w:val="en-GB"/>
        </w:rPr>
        <w:t>i</w:t>
      </w:r>
      <w:r>
        <w:rPr>
          <w:lang w:val="en-GB"/>
        </w:rPr>
        <w:t xml:space="preserve">ty. </w:t>
      </w:r>
      <w:r w:rsidRPr="00E350F4">
        <w:rPr>
          <w:b/>
          <w:lang w:val="en-GB"/>
        </w:rPr>
        <w:t>We therefore call on the Commission to reconsider its draft guidelines and the methodo</w:t>
      </w:r>
      <w:r w:rsidRPr="00E350F4">
        <w:rPr>
          <w:b/>
          <w:lang w:val="en-GB"/>
        </w:rPr>
        <w:t>l</w:t>
      </w:r>
      <w:r w:rsidRPr="00E350F4">
        <w:rPr>
          <w:b/>
          <w:lang w:val="en-GB"/>
        </w:rPr>
        <w:t xml:space="preserve">ogy used and to add the </w:t>
      </w:r>
      <w:r w:rsidR="00E1146D">
        <w:rPr>
          <w:b/>
          <w:lang w:val="en-GB"/>
        </w:rPr>
        <w:t xml:space="preserve">sectors </w:t>
      </w:r>
      <w:r w:rsidR="0049084D">
        <w:rPr>
          <w:b/>
          <w:lang w:val="en-GB"/>
        </w:rPr>
        <w:t xml:space="preserve">named above </w:t>
      </w:r>
      <w:r w:rsidRPr="00E350F4">
        <w:rPr>
          <w:b/>
          <w:lang w:val="en-GB"/>
        </w:rPr>
        <w:t>back on the list of eligible sectors in annex 1 of the CEEAG.</w:t>
      </w:r>
    </w:p>
    <w:p w:rsidR="0049084D" w:rsidRDefault="0049084D" w:rsidP="00C005A0">
      <w:pPr>
        <w:rPr>
          <w:lang w:val="en-GB"/>
        </w:rPr>
      </w:pPr>
    </w:p>
    <w:p w:rsidR="00C005A0" w:rsidRPr="00E65BD6" w:rsidRDefault="00C005A0" w:rsidP="00C005A0">
      <w:pPr>
        <w:rPr>
          <w:lang w:val="en-GB"/>
        </w:rPr>
      </w:pPr>
      <w:r>
        <w:rPr>
          <w:lang w:val="en-GB"/>
        </w:rPr>
        <w:t>In the following, please find our position on the individual chapters of the draft CEEAG in more d</w:t>
      </w:r>
      <w:r>
        <w:rPr>
          <w:lang w:val="en-GB"/>
        </w:rPr>
        <w:t>e</w:t>
      </w:r>
      <w:r>
        <w:rPr>
          <w:lang w:val="en-GB"/>
        </w:rPr>
        <w:t>tail.</w:t>
      </w:r>
    </w:p>
    <w:p w:rsidR="00C005A0" w:rsidRDefault="00C005A0" w:rsidP="00C005A0">
      <w:pPr>
        <w:rPr>
          <w:b/>
          <w:lang w:val="en-GB"/>
        </w:rPr>
      </w:pPr>
    </w:p>
    <w:p w:rsidR="00C005A0" w:rsidRPr="00C82BB2" w:rsidRDefault="00C005A0" w:rsidP="00C005A0">
      <w:pPr>
        <w:rPr>
          <w:b/>
          <w:lang w:val="en-GB"/>
        </w:rPr>
      </w:pPr>
      <w:r w:rsidRPr="00C82BB2">
        <w:rPr>
          <w:b/>
          <w:lang w:val="en-GB"/>
        </w:rPr>
        <w:t>Chapter 4.11 Aid in the form of reductions from electricity levies for energy-intensive users</w:t>
      </w:r>
    </w:p>
    <w:p w:rsidR="00C005A0" w:rsidRDefault="00C005A0" w:rsidP="00C005A0">
      <w:pPr>
        <w:rPr>
          <w:lang w:val="en-GB"/>
        </w:rPr>
      </w:pPr>
      <w:r>
        <w:rPr>
          <w:lang w:val="en-GB"/>
        </w:rPr>
        <w:t>Germany features among the highest electricity prices in the EU which are mainly driven by national levies on electricity due to the energy transition (</w:t>
      </w:r>
      <w:proofErr w:type="spellStart"/>
      <w:r>
        <w:rPr>
          <w:lang w:val="en-GB"/>
        </w:rPr>
        <w:t>Energiewende</w:t>
      </w:r>
      <w:proofErr w:type="spellEnd"/>
      <w:r>
        <w:rPr>
          <w:lang w:val="en-GB"/>
        </w:rPr>
        <w:t>). Reductions from these levies for energy intensive producers are a precondition for competitiveness on the internal market and vis-à-vis third countries. Among those levies the main cost driver for electricity prices in Germany has been the EEG-</w:t>
      </w:r>
      <w:proofErr w:type="spellStart"/>
      <w:r>
        <w:rPr>
          <w:lang w:val="en-GB"/>
        </w:rPr>
        <w:t>Umlage</w:t>
      </w:r>
      <w:proofErr w:type="spellEnd"/>
      <w:r>
        <w:rPr>
          <w:lang w:val="en-GB"/>
        </w:rPr>
        <w:t xml:space="preserve"> which is currently at 65 Euro/</w:t>
      </w:r>
      <w:proofErr w:type="spellStart"/>
      <w:r>
        <w:rPr>
          <w:lang w:val="en-GB"/>
        </w:rPr>
        <w:t>MWh</w:t>
      </w:r>
      <w:proofErr w:type="spellEnd"/>
      <w:r>
        <w:rPr>
          <w:lang w:val="en-GB"/>
        </w:rPr>
        <w:t>. T</w:t>
      </w:r>
      <w:r w:rsidRPr="00E65BD6">
        <w:rPr>
          <w:lang w:val="en-GB"/>
        </w:rPr>
        <w:t>he reduction of the EEG-</w:t>
      </w:r>
      <w:proofErr w:type="spellStart"/>
      <w:r w:rsidRPr="00E65BD6">
        <w:rPr>
          <w:lang w:val="en-GB"/>
        </w:rPr>
        <w:t>Umlage</w:t>
      </w:r>
      <w:proofErr w:type="spellEnd"/>
      <w:r w:rsidRPr="00E65BD6">
        <w:rPr>
          <w:lang w:val="en-GB"/>
        </w:rPr>
        <w:t xml:space="preserve"> </w:t>
      </w:r>
      <w:r>
        <w:rPr>
          <w:lang w:val="en-GB"/>
        </w:rPr>
        <w:t xml:space="preserve">for energy intensive industries </w:t>
      </w:r>
      <w:r w:rsidRPr="00E65BD6">
        <w:rPr>
          <w:lang w:val="en-GB"/>
        </w:rPr>
        <w:t>is based on the current EEAG (recently approved by the Commission under SA.57779).</w:t>
      </w:r>
      <w:r>
        <w:rPr>
          <w:lang w:val="en-GB"/>
        </w:rPr>
        <w:t xml:space="preserve"> The reduction of other electricity levies (</w:t>
      </w:r>
      <w:r w:rsidRPr="00C82BB2">
        <w:rPr>
          <w:lang w:val="en-GB"/>
        </w:rPr>
        <w:t>KWKG-</w:t>
      </w:r>
      <w:proofErr w:type="spellStart"/>
      <w:r w:rsidRPr="00C82BB2">
        <w:rPr>
          <w:lang w:val="en-GB"/>
        </w:rPr>
        <w:t>Umlage</w:t>
      </w:r>
      <w:proofErr w:type="spellEnd"/>
      <w:r w:rsidRPr="00C82BB2">
        <w:rPr>
          <w:lang w:val="en-GB"/>
        </w:rPr>
        <w:t>, Off</w:t>
      </w:r>
      <w:r>
        <w:rPr>
          <w:lang w:val="en-GB"/>
        </w:rPr>
        <w:t>shore-</w:t>
      </w:r>
      <w:proofErr w:type="spellStart"/>
      <w:r>
        <w:rPr>
          <w:lang w:val="en-GB"/>
        </w:rPr>
        <w:t>Netzumlage</w:t>
      </w:r>
      <w:proofErr w:type="spellEnd"/>
      <w:r w:rsidRPr="00C82BB2">
        <w:rPr>
          <w:lang w:val="en-GB"/>
        </w:rPr>
        <w:t>)</w:t>
      </w:r>
      <w:r>
        <w:rPr>
          <w:lang w:val="en-GB"/>
        </w:rPr>
        <w:t xml:space="preserve"> is a</w:t>
      </w:r>
      <w:r w:rsidR="0049084D">
        <w:rPr>
          <w:lang w:val="en-GB"/>
        </w:rPr>
        <w:t xml:space="preserve">lso bound to the EEG reduction. In total, withdrawing these vital reductions in electricity prices for </w:t>
      </w:r>
      <w:r w:rsidR="0049084D">
        <w:rPr>
          <w:lang w:val="en-GB"/>
        </w:rPr>
        <w:lastRenderedPageBreak/>
        <w:t>many sectors of the building materials industry would severely distort competition with third cou</w:t>
      </w:r>
      <w:r w:rsidR="0049084D">
        <w:rPr>
          <w:lang w:val="en-GB"/>
        </w:rPr>
        <w:t>n</w:t>
      </w:r>
      <w:r w:rsidR="0049084D">
        <w:rPr>
          <w:lang w:val="en-GB"/>
        </w:rPr>
        <w:t>tries, with other EU member states as well as between different building products.</w:t>
      </w:r>
    </w:p>
    <w:p w:rsidR="00C005A0" w:rsidRDefault="00C005A0" w:rsidP="00C005A0">
      <w:pPr>
        <w:rPr>
          <w:lang w:val="en-GB"/>
        </w:rPr>
      </w:pPr>
    </w:p>
    <w:p w:rsidR="00C005A0" w:rsidRPr="00C50A0C" w:rsidRDefault="00C005A0" w:rsidP="00C005A0">
      <w:pPr>
        <w:rPr>
          <w:i/>
          <w:lang w:val="en-GB"/>
        </w:rPr>
      </w:pPr>
      <w:r>
        <w:rPr>
          <w:i/>
          <w:lang w:val="en-GB"/>
        </w:rPr>
        <w:t xml:space="preserve">4.11.1 / 4.11.3.1 </w:t>
      </w:r>
      <w:r w:rsidRPr="00C50A0C">
        <w:rPr>
          <w:i/>
          <w:lang w:val="en-GB"/>
        </w:rPr>
        <w:t>Methodology</w:t>
      </w:r>
      <w:r>
        <w:rPr>
          <w:i/>
          <w:lang w:val="en-GB"/>
        </w:rPr>
        <w:t xml:space="preserve"> used to determine the list of eligible sectors</w:t>
      </w:r>
    </w:p>
    <w:p w:rsidR="00C005A0" w:rsidRDefault="00C005A0" w:rsidP="00C005A0">
      <w:pPr>
        <w:rPr>
          <w:lang w:val="en-GB"/>
        </w:rPr>
      </w:pPr>
      <w:proofErr w:type="gramStart"/>
      <w:r>
        <w:rPr>
          <w:lang w:val="en-GB"/>
        </w:rPr>
        <w:t>In total, the Commission plans to shorten the list of eligible sectors by 77 % in terms of the number of sectors (from 220 to only 51)</w:t>
      </w:r>
      <w:r>
        <w:rPr>
          <w:rStyle w:val="Funotenzeichen"/>
          <w:lang w:val="en-GB"/>
        </w:rPr>
        <w:footnoteReference w:id="1"/>
      </w:r>
      <w:r>
        <w:rPr>
          <w:lang w:val="en-GB"/>
        </w:rPr>
        <w:t>.</w:t>
      </w:r>
      <w:proofErr w:type="gramEnd"/>
      <w:r>
        <w:rPr>
          <w:lang w:val="en-GB"/>
        </w:rPr>
        <w:t xml:space="preserve"> Of the 68 sectors currently included in annex 3 of the EEAG, i.e. the sectors most exposed to electricity induced costs and to trade, the Commission plans remove about one third (22 sectors). </w:t>
      </w:r>
      <w:commentRangeStart w:id="0"/>
      <w:r>
        <w:rPr>
          <w:lang w:val="en-GB"/>
        </w:rPr>
        <w:t>Unfortunately, the Commission has not provided the methodology (d</w:t>
      </w:r>
      <w:r>
        <w:rPr>
          <w:lang w:val="en-GB"/>
        </w:rPr>
        <w:t>a</w:t>
      </w:r>
      <w:r>
        <w:rPr>
          <w:lang w:val="en-GB"/>
        </w:rPr>
        <w:t xml:space="preserve">ta, reference years, definitions of trade and electro-intensity) used to determine the new list. Given the importance of the electricity levy reductions for industry and jobs throughout </w:t>
      </w:r>
      <w:r w:rsidRPr="0052715E">
        <w:rPr>
          <w:lang w:val="en-GB"/>
        </w:rPr>
        <w:t>Europe we are deeply</w:t>
      </w:r>
      <w:r>
        <w:rPr>
          <w:lang w:val="en-GB"/>
        </w:rPr>
        <w:t xml:space="preserve"> worried by </w:t>
      </w:r>
      <w:r w:rsidRPr="0052715E">
        <w:rPr>
          <w:lang w:val="en-GB"/>
        </w:rPr>
        <w:t>this</w:t>
      </w:r>
      <w:r>
        <w:rPr>
          <w:lang w:val="en-GB"/>
        </w:rPr>
        <w:t xml:space="preserve"> lack of transparency</w:t>
      </w:r>
      <w:r w:rsidRPr="0052715E">
        <w:rPr>
          <w:lang w:val="en-GB"/>
        </w:rPr>
        <w:t>.</w:t>
      </w:r>
    </w:p>
    <w:p w:rsidR="00C005A0" w:rsidRDefault="00C005A0" w:rsidP="00C005A0">
      <w:pPr>
        <w:rPr>
          <w:lang w:val="en-GB"/>
        </w:rPr>
      </w:pPr>
    </w:p>
    <w:p w:rsidR="00C005A0" w:rsidRPr="00693A70" w:rsidRDefault="00C005A0" w:rsidP="00C005A0">
      <w:pPr>
        <w:rPr>
          <w:b/>
          <w:lang w:val="en-GB"/>
        </w:rPr>
      </w:pPr>
      <w:r w:rsidRPr="00693A70">
        <w:rPr>
          <w:b/>
          <w:lang w:val="en-GB"/>
        </w:rPr>
        <w:t>We therefore ask the Commission to provide comprehensive information on the data and methodology used in assessing the list of eligible sectors under chapter 4.11.</w:t>
      </w:r>
      <w:commentRangeEnd w:id="0"/>
      <w:r>
        <w:rPr>
          <w:rStyle w:val="Kommentarzeichen"/>
        </w:rPr>
        <w:commentReference w:id="0"/>
      </w:r>
    </w:p>
    <w:p w:rsidR="00C005A0" w:rsidRDefault="00C005A0" w:rsidP="00C005A0">
      <w:pPr>
        <w:rPr>
          <w:lang w:val="en-GB"/>
        </w:rPr>
      </w:pPr>
    </w:p>
    <w:p w:rsidR="00C005A0" w:rsidRDefault="00C005A0" w:rsidP="00C005A0">
      <w:pPr>
        <w:rPr>
          <w:lang w:val="en-GB"/>
        </w:rPr>
      </w:pPr>
      <w:r w:rsidRPr="00693A70">
        <w:rPr>
          <w:u w:val="single"/>
          <w:lang w:val="en-GB"/>
        </w:rPr>
        <w:t>Paragraph 351</w:t>
      </w:r>
      <w:r>
        <w:rPr>
          <w:lang w:val="en-GB"/>
        </w:rPr>
        <w:t xml:space="preserve"> identifies the main risks associated with the additional burden of electricity levies:</w:t>
      </w:r>
    </w:p>
    <w:p w:rsidR="00C005A0" w:rsidRDefault="00C005A0" w:rsidP="00C005A0">
      <w:pPr>
        <w:pStyle w:val="Listenabsatz"/>
        <w:numPr>
          <w:ilvl w:val="0"/>
          <w:numId w:val="33"/>
        </w:numPr>
        <w:rPr>
          <w:lang w:val="en-GB"/>
        </w:rPr>
      </w:pPr>
      <w:r>
        <w:rPr>
          <w:lang w:val="en-GB"/>
        </w:rPr>
        <w:t>“risk of activities […] moving outside the European Union to locations where environmental disciplines are absent or less ambitious”</w:t>
      </w:r>
    </w:p>
    <w:p w:rsidR="00C005A0" w:rsidRDefault="00C005A0" w:rsidP="00C005A0">
      <w:pPr>
        <w:pStyle w:val="Listenabsatz"/>
        <w:numPr>
          <w:ilvl w:val="0"/>
          <w:numId w:val="33"/>
        </w:numPr>
        <w:rPr>
          <w:lang w:val="en-GB"/>
        </w:rPr>
      </w:pPr>
      <w:r>
        <w:rPr>
          <w:lang w:val="en-GB"/>
        </w:rPr>
        <w:t>“increase [in] the cost of electricity compared to the cost of direct emissions and [discou</w:t>
      </w:r>
      <w:r>
        <w:rPr>
          <w:lang w:val="en-GB"/>
        </w:rPr>
        <w:t>r</w:t>
      </w:r>
      <w:r>
        <w:rPr>
          <w:lang w:val="en-GB"/>
        </w:rPr>
        <w:t>agement of] the electrification of production processes, which is central to the successful decarbonisation of the Union economy”</w:t>
      </w:r>
    </w:p>
    <w:p w:rsidR="00C005A0" w:rsidRDefault="00C005A0" w:rsidP="00C005A0">
      <w:pPr>
        <w:rPr>
          <w:lang w:val="en-GB"/>
        </w:rPr>
      </w:pPr>
    </w:p>
    <w:p w:rsidR="00C005A0" w:rsidRDefault="00C005A0" w:rsidP="00C005A0">
      <w:pPr>
        <w:rPr>
          <w:lang w:val="en-GB"/>
        </w:rPr>
      </w:pPr>
      <w:r>
        <w:rPr>
          <w:lang w:val="en-GB"/>
        </w:rPr>
        <w:t xml:space="preserve">In our view, this covers only part of the actual risk to be addressed by the CEEAG. </w:t>
      </w:r>
      <w:r w:rsidRPr="00AC758C">
        <w:rPr>
          <w:i/>
          <w:lang w:val="en-GB"/>
        </w:rPr>
        <w:t>First</w:t>
      </w:r>
      <w:r>
        <w:rPr>
          <w:lang w:val="en-GB"/>
        </w:rPr>
        <w:t>, the CEEAG should not only address the risk of carbon leakage (i.e. relocation of industry to countries with less stringent environmental standards) but also the risk of de-industrialisation of the EU (i.e. relocation of industry to any third countries).</w:t>
      </w:r>
      <w:r>
        <w:rPr>
          <w:rStyle w:val="Funotenzeichen"/>
          <w:lang w:val="en-GB"/>
        </w:rPr>
        <w:footnoteReference w:id="2"/>
      </w:r>
      <w:r>
        <w:rPr>
          <w:lang w:val="en-GB"/>
        </w:rPr>
        <w:t xml:space="preserve"> </w:t>
      </w:r>
      <w:r w:rsidRPr="00AC758C">
        <w:rPr>
          <w:i/>
          <w:lang w:val="en-GB"/>
        </w:rPr>
        <w:t>Second</w:t>
      </w:r>
      <w:r>
        <w:rPr>
          <w:lang w:val="en-GB"/>
        </w:rPr>
        <w:t>, the CEEAG should not only address the risk of compet</w:t>
      </w:r>
      <w:r>
        <w:rPr>
          <w:lang w:val="en-GB"/>
        </w:rPr>
        <w:t>i</w:t>
      </w:r>
      <w:r>
        <w:rPr>
          <w:lang w:val="en-GB"/>
        </w:rPr>
        <w:t>tion distortions between the EU and third countries but also aim to avoid competition distortions wit</w:t>
      </w:r>
      <w:r>
        <w:rPr>
          <w:lang w:val="en-GB"/>
        </w:rPr>
        <w:t>h</w:t>
      </w:r>
      <w:r>
        <w:rPr>
          <w:lang w:val="en-GB"/>
        </w:rPr>
        <w:t>in the EU internal market –</w:t>
      </w:r>
      <w:r w:rsidR="0049084D">
        <w:rPr>
          <w:lang w:val="en-GB"/>
        </w:rPr>
        <w:t xml:space="preserve"> both </w:t>
      </w:r>
      <w:r>
        <w:rPr>
          <w:lang w:val="en-GB"/>
        </w:rPr>
        <w:t xml:space="preserve">between the EU member states </w:t>
      </w:r>
      <w:r w:rsidR="0049084D">
        <w:rPr>
          <w:lang w:val="en-GB"/>
        </w:rPr>
        <w:t>and between different sectors</w:t>
      </w:r>
      <w:r>
        <w:rPr>
          <w:lang w:val="en-GB"/>
        </w:rPr>
        <w:t xml:space="preserve">. </w:t>
      </w:r>
      <w:r w:rsidRPr="00AC758C">
        <w:rPr>
          <w:i/>
          <w:lang w:val="en-GB"/>
        </w:rPr>
        <w:t>Third</w:t>
      </w:r>
      <w:r>
        <w:rPr>
          <w:lang w:val="en-GB"/>
        </w:rPr>
        <w:t>, it is true that any increase in electricity cost will discourage investment in electro-intensive decarbonisation technolo</w:t>
      </w:r>
      <w:r w:rsidR="0049084D">
        <w:rPr>
          <w:lang w:val="en-GB"/>
        </w:rPr>
        <w:t>gies</w:t>
      </w:r>
      <w:r>
        <w:rPr>
          <w:lang w:val="en-GB"/>
        </w:rPr>
        <w:t xml:space="preserve">. However, unlike stated in </w:t>
      </w:r>
      <w:r w:rsidRPr="00693A70">
        <w:rPr>
          <w:u w:val="single"/>
          <w:lang w:val="en-GB"/>
        </w:rPr>
        <w:t>paragraph 353</w:t>
      </w:r>
      <w:r>
        <w:rPr>
          <w:lang w:val="en-GB"/>
        </w:rPr>
        <w:t xml:space="preserve"> the Commission has </w:t>
      </w:r>
      <w:r w:rsidRPr="00AC758C">
        <w:rPr>
          <w:i/>
          <w:lang w:val="en-GB"/>
        </w:rPr>
        <w:t>not</w:t>
      </w:r>
      <w:r>
        <w:rPr>
          <w:lang w:val="en-GB"/>
        </w:rPr>
        <w:t xml:space="preserve"> addressed this risk appropriately by the criteria described in </w:t>
      </w:r>
      <w:r w:rsidRPr="00C92FE7">
        <w:rPr>
          <w:u w:val="single"/>
          <w:lang w:val="en-GB"/>
        </w:rPr>
        <w:t>paragraph 357</w:t>
      </w:r>
      <w:r>
        <w:rPr>
          <w:lang w:val="en-GB"/>
        </w:rPr>
        <w:t xml:space="preserve"> because they are di</w:t>
      </w:r>
      <w:r>
        <w:rPr>
          <w:lang w:val="en-GB"/>
        </w:rPr>
        <w:t>s</w:t>
      </w:r>
      <w:r>
        <w:rPr>
          <w:lang w:val="en-GB"/>
        </w:rPr>
        <w:t xml:space="preserve">proportionately focussed on trade intensity instead of electro-intensity. </w:t>
      </w:r>
      <w:r w:rsidR="0065123E">
        <w:rPr>
          <w:lang w:val="en-GB"/>
        </w:rPr>
        <w:t xml:space="preserve">It is important to note in this context, that electro-intensive decarbonisation technologies cover a very broad field of technological options to reduce </w:t>
      </w:r>
      <w:r w:rsidR="0065123E" w:rsidRPr="0065123E">
        <w:rPr>
          <w:lang w:val="en-GB"/>
        </w:rPr>
        <w:t>CO</w:t>
      </w:r>
      <w:r w:rsidR="0065123E" w:rsidRPr="0065123E">
        <w:rPr>
          <w:vertAlign w:val="subscript"/>
          <w:lang w:val="en-GB"/>
        </w:rPr>
        <w:t>2</w:t>
      </w:r>
      <w:r w:rsidR="0065123E" w:rsidRPr="0065123E">
        <w:rPr>
          <w:lang w:val="en-GB"/>
        </w:rPr>
        <w:t xml:space="preserve"> </w:t>
      </w:r>
      <w:r w:rsidR="0065123E">
        <w:rPr>
          <w:lang w:val="en-GB"/>
        </w:rPr>
        <w:t xml:space="preserve">emissions that goes </w:t>
      </w:r>
      <w:r w:rsidR="00FE4127">
        <w:rPr>
          <w:lang w:val="en-GB"/>
        </w:rPr>
        <w:t xml:space="preserve">far </w:t>
      </w:r>
      <w:r w:rsidR="0065123E">
        <w:rPr>
          <w:lang w:val="en-GB"/>
        </w:rPr>
        <w:t xml:space="preserve">beyond </w:t>
      </w:r>
      <w:r w:rsidR="00FE4127">
        <w:rPr>
          <w:lang w:val="en-GB"/>
        </w:rPr>
        <w:t xml:space="preserve">an </w:t>
      </w:r>
      <w:r w:rsidR="0065123E">
        <w:rPr>
          <w:lang w:val="en-GB"/>
        </w:rPr>
        <w:t xml:space="preserve">electrification of </w:t>
      </w:r>
      <w:r w:rsidR="00FE4127">
        <w:rPr>
          <w:lang w:val="en-GB"/>
        </w:rPr>
        <w:t xml:space="preserve">combustion </w:t>
      </w:r>
      <w:r w:rsidR="0065123E">
        <w:rPr>
          <w:lang w:val="en-GB"/>
        </w:rPr>
        <w:t xml:space="preserve">processes. Especially in industries with a high share of process emissions like cement or lime, electrification of the furnace has only a limited </w:t>
      </w:r>
      <w:r w:rsidR="0065123E" w:rsidRPr="0065123E">
        <w:rPr>
          <w:lang w:val="en-GB"/>
        </w:rPr>
        <w:t>CO</w:t>
      </w:r>
      <w:r w:rsidR="0065123E" w:rsidRPr="0065123E">
        <w:rPr>
          <w:vertAlign w:val="subscript"/>
          <w:lang w:val="en-GB"/>
        </w:rPr>
        <w:t>2</w:t>
      </w:r>
      <w:r w:rsidR="0065123E" w:rsidRPr="0065123E">
        <w:rPr>
          <w:lang w:val="en-GB"/>
        </w:rPr>
        <w:t xml:space="preserve"> </w:t>
      </w:r>
      <w:r w:rsidR="0065123E">
        <w:rPr>
          <w:lang w:val="en-GB"/>
        </w:rPr>
        <w:t xml:space="preserve">mitigation potential. Additional (and electro-intensive) facilities for the capture of </w:t>
      </w:r>
      <w:r w:rsidR="0065123E" w:rsidRPr="0065123E">
        <w:rPr>
          <w:lang w:val="en-GB"/>
        </w:rPr>
        <w:t>CO</w:t>
      </w:r>
      <w:r w:rsidR="0065123E" w:rsidRPr="0065123E">
        <w:rPr>
          <w:vertAlign w:val="subscript"/>
          <w:lang w:val="en-GB"/>
        </w:rPr>
        <w:t>2</w:t>
      </w:r>
      <w:r w:rsidR="0065123E" w:rsidRPr="0065123E">
        <w:rPr>
          <w:lang w:val="en-GB"/>
        </w:rPr>
        <w:t xml:space="preserve"> </w:t>
      </w:r>
      <w:r w:rsidR="0065123E">
        <w:rPr>
          <w:lang w:val="en-GB"/>
        </w:rPr>
        <w:t xml:space="preserve">are significantly more promising. Also, other decarbonisation options go along with higher electricity demand (e.g. using alternative raw materials that come at a lower </w:t>
      </w:r>
      <w:r w:rsidR="0065123E" w:rsidRPr="0065123E">
        <w:rPr>
          <w:lang w:val="en-GB"/>
        </w:rPr>
        <w:t>CO</w:t>
      </w:r>
      <w:r w:rsidR="0065123E" w:rsidRPr="0065123E">
        <w:rPr>
          <w:vertAlign w:val="subscript"/>
          <w:lang w:val="en-GB"/>
        </w:rPr>
        <w:t>2</w:t>
      </w:r>
      <w:r w:rsidR="0065123E" w:rsidRPr="0065123E">
        <w:rPr>
          <w:lang w:val="en-GB"/>
        </w:rPr>
        <w:t xml:space="preserve"> </w:t>
      </w:r>
      <w:r w:rsidR="0065123E">
        <w:rPr>
          <w:lang w:val="en-GB"/>
        </w:rPr>
        <w:t>foo</w:t>
      </w:r>
      <w:r w:rsidR="0065123E">
        <w:rPr>
          <w:lang w:val="en-GB"/>
        </w:rPr>
        <w:t>t</w:t>
      </w:r>
      <w:r w:rsidR="0065123E">
        <w:rPr>
          <w:lang w:val="en-GB"/>
        </w:rPr>
        <w:t>print but require more electricity for grinding).</w:t>
      </w:r>
    </w:p>
    <w:p w:rsidR="00C005A0" w:rsidRDefault="00C005A0" w:rsidP="00C005A0">
      <w:pPr>
        <w:rPr>
          <w:lang w:val="en-GB"/>
        </w:rPr>
      </w:pPr>
    </w:p>
    <w:p w:rsidR="00C005A0" w:rsidRDefault="00C005A0" w:rsidP="00C005A0">
      <w:pPr>
        <w:rPr>
          <w:lang w:val="en-GB"/>
        </w:rPr>
      </w:pPr>
      <w:r w:rsidRPr="00693A70">
        <w:rPr>
          <w:u w:val="single"/>
          <w:lang w:val="en-GB"/>
        </w:rPr>
        <w:t>Paragraph 357</w:t>
      </w:r>
      <w:r>
        <w:rPr>
          <w:lang w:val="en-GB"/>
        </w:rPr>
        <w:t xml:space="preserve"> provides two sets of criteria for sectors to be eligible for the list in annex 1:</w:t>
      </w:r>
    </w:p>
    <w:p w:rsidR="00C005A0" w:rsidRDefault="00C005A0" w:rsidP="00C005A0">
      <w:pPr>
        <w:pStyle w:val="Listenabsatz"/>
        <w:numPr>
          <w:ilvl w:val="0"/>
          <w:numId w:val="34"/>
        </w:numPr>
        <w:rPr>
          <w:lang w:val="en-GB"/>
        </w:rPr>
      </w:pPr>
      <w:r>
        <w:rPr>
          <w:lang w:val="en-GB"/>
        </w:rPr>
        <w:t>20 % trade intensity and 10 % electro-intensity</w:t>
      </w:r>
    </w:p>
    <w:p w:rsidR="00C005A0" w:rsidRDefault="00C005A0" w:rsidP="00C005A0">
      <w:pPr>
        <w:pStyle w:val="Listenabsatz"/>
        <w:numPr>
          <w:ilvl w:val="0"/>
          <w:numId w:val="34"/>
        </w:numPr>
        <w:rPr>
          <w:lang w:val="en-GB"/>
        </w:rPr>
      </w:pPr>
      <w:r>
        <w:rPr>
          <w:lang w:val="en-GB"/>
        </w:rPr>
        <w:t>80 % trade intensity and 7 % electro-intensity</w:t>
      </w:r>
    </w:p>
    <w:p w:rsidR="00C005A0" w:rsidRPr="00795990" w:rsidRDefault="00C005A0" w:rsidP="00C005A0">
      <w:pPr>
        <w:pStyle w:val="Listenabsatz"/>
        <w:numPr>
          <w:ilvl w:val="0"/>
          <w:numId w:val="34"/>
        </w:numPr>
        <w:rPr>
          <w:lang w:val="en-GB"/>
        </w:rPr>
      </w:pPr>
      <w:r w:rsidRPr="00795990">
        <w:rPr>
          <w:lang w:val="en-GB"/>
        </w:rPr>
        <w:t xml:space="preserve">The additional criterion of 4 % trade intensity and 20 % electro-intensity </w:t>
      </w:r>
      <w:r>
        <w:rPr>
          <w:lang w:val="en-GB"/>
        </w:rPr>
        <w:t>under</w:t>
      </w:r>
      <w:r w:rsidRPr="00795990">
        <w:rPr>
          <w:lang w:val="en-GB"/>
        </w:rPr>
        <w:t xml:space="preserve"> the current EEAG has been omitted, therefore putting emphasis only on trade intensity. This excludes sectors in which a particularly high exposure to electricity cost outweighs less trade intensity.</w:t>
      </w:r>
    </w:p>
    <w:p w:rsidR="00C005A0" w:rsidRDefault="00C005A0" w:rsidP="00C005A0">
      <w:pPr>
        <w:rPr>
          <w:lang w:val="en-GB"/>
        </w:rPr>
      </w:pPr>
    </w:p>
    <w:p w:rsidR="00C005A0" w:rsidRPr="00795990" w:rsidRDefault="00C005A0" w:rsidP="00C005A0">
      <w:pPr>
        <w:rPr>
          <w:lang w:val="en-GB"/>
        </w:rPr>
      </w:pPr>
      <w:r>
        <w:rPr>
          <w:lang w:val="en-GB"/>
        </w:rPr>
        <w:t xml:space="preserve">In our view, the disproportionate emphasis on trade intensity is not justified. </w:t>
      </w:r>
      <w:r w:rsidRPr="0003777B">
        <w:rPr>
          <w:i/>
          <w:lang w:val="en-GB"/>
        </w:rPr>
        <w:t>First</w:t>
      </w:r>
      <w:r>
        <w:rPr>
          <w:lang w:val="en-GB"/>
        </w:rPr>
        <w:t>, the measure of trade intensity in itself is not fit to identify sectors at risk of carbon leakage or relocation / disinves</w:t>
      </w:r>
      <w:r>
        <w:rPr>
          <w:lang w:val="en-GB"/>
        </w:rPr>
        <w:t>t</w:t>
      </w:r>
      <w:r w:rsidR="00FE4127">
        <w:rPr>
          <w:lang w:val="en-GB"/>
        </w:rPr>
        <w:lastRenderedPageBreak/>
        <w:t>ment. T</w:t>
      </w:r>
      <w:r w:rsidR="0065123E">
        <w:rPr>
          <w:lang w:val="en-GB"/>
        </w:rPr>
        <w:t>he trade intensity formula cannot effectively detect actual carbon leakage: When domestic production costs increase, exports will decline as they are not competitive on foreign markets. At the same time imports will increase as they can compete with domestic production despite transport costs. This is the most threatening form of carbon leakage risk. However, trade intensity would har</w:t>
      </w:r>
      <w:r w:rsidR="0065123E">
        <w:rPr>
          <w:lang w:val="en-GB"/>
        </w:rPr>
        <w:t>d</w:t>
      </w:r>
      <w:r w:rsidR="0065123E">
        <w:rPr>
          <w:lang w:val="en-GB"/>
        </w:rPr>
        <w:t xml:space="preserve">ly change because </w:t>
      </w:r>
      <w:r w:rsidR="00FE4127">
        <w:rPr>
          <w:lang w:val="en-GB"/>
        </w:rPr>
        <w:t xml:space="preserve">according to the formula </w:t>
      </w:r>
      <w:r w:rsidR="0065123E">
        <w:rPr>
          <w:lang w:val="en-GB"/>
        </w:rPr>
        <w:t xml:space="preserve">increasing </w:t>
      </w:r>
      <w:r w:rsidR="00393B10">
        <w:rPr>
          <w:lang w:val="en-GB"/>
        </w:rPr>
        <w:t>imports are counteracted by decreasing e</w:t>
      </w:r>
      <w:r w:rsidR="00393B10">
        <w:rPr>
          <w:lang w:val="en-GB"/>
        </w:rPr>
        <w:t>x</w:t>
      </w:r>
      <w:r w:rsidR="00393B10">
        <w:rPr>
          <w:lang w:val="en-GB"/>
        </w:rPr>
        <w:t>ports.</w:t>
      </w:r>
      <w:r w:rsidR="0065123E">
        <w:rPr>
          <w:lang w:val="en-GB"/>
        </w:rPr>
        <w:t xml:space="preserve"> </w:t>
      </w:r>
      <w:r w:rsidR="00393B10">
        <w:rPr>
          <w:lang w:val="en-GB"/>
        </w:rPr>
        <w:t xml:space="preserve">It is therefore not a valid criterion to measure carbon leakage risk. </w:t>
      </w:r>
      <w:r w:rsidRPr="009028C2">
        <w:rPr>
          <w:i/>
          <w:lang w:val="en-GB"/>
        </w:rPr>
        <w:t>Second</w:t>
      </w:r>
      <w:r>
        <w:rPr>
          <w:lang w:val="en-GB"/>
        </w:rPr>
        <w:t>, historical data on trade intensity cannot account for future shifts in trade patterns. In fact, the Commission seems to have used outdated 2013-2015 data in order to determine the carbon leakage risk for the period 2022 to at least 2030, which is very questionable from a methodological viewpoint.</w:t>
      </w:r>
      <w:r w:rsidR="00393B10">
        <w:rPr>
          <w:lang w:val="en-GB"/>
        </w:rPr>
        <w:t xml:space="preserve"> Carbon leakage is a mere function of domestic production costs vs. transport costs for imports. Data obtained in years with a functioning carbon leakage protection in place cannot give any indication on what trade patterns will look like once this c</w:t>
      </w:r>
      <w:r w:rsidR="00FE4127">
        <w:rPr>
          <w:lang w:val="en-GB"/>
        </w:rPr>
        <w:t>arbon leakage protection is withdrawn.</w:t>
      </w:r>
      <w:r>
        <w:rPr>
          <w:lang w:val="en-GB"/>
        </w:rPr>
        <w:t xml:space="preserve"> </w:t>
      </w:r>
      <w:r>
        <w:rPr>
          <w:i/>
          <w:lang w:val="en-GB"/>
        </w:rPr>
        <w:t>Third</w:t>
      </w:r>
      <w:r>
        <w:rPr>
          <w:lang w:val="en-GB"/>
        </w:rPr>
        <w:t xml:space="preserve">, the Commission has provided no justification for increasing the threshold for trade intensity from 10 % in the current EEAG to 20 % in the draft CEEAG. Short of a reason why the current criteria apparently do not measure relocation risk adequately, the increase seems arbitrary. In addition, with the </w:t>
      </w:r>
      <w:proofErr w:type="spellStart"/>
      <w:r>
        <w:rPr>
          <w:lang w:val="en-GB"/>
        </w:rPr>
        <w:t>Brexit</w:t>
      </w:r>
      <w:proofErr w:type="spellEnd"/>
      <w:r>
        <w:rPr>
          <w:lang w:val="en-GB"/>
        </w:rPr>
        <w:t xml:space="preserve"> there is now a competing third country just outside the EU with very intense trade flows to member countries and a government that has just recently announced to foster its economy by state aid. This new situation cannot be ignored by simply applying a higher threshold on trade intensity. </w:t>
      </w:r>
      <w:r w:rsidRPr="00862155">
        <w:rPr>
          <w:i/>
          <w:lang w:val="en-GB"/>
        </w:rPr>
        <w:t>Third</w:t>
      </w:r>
      <w:r>
        <w:rPr>
          <w:lang w:val="en-GB"/>
        </w:rPr>
        <w:t xml:space="preserve">, </w:t>
      </w:r>
      <w:r w:rsidRPr="001C54AA">
        <w:rPr>
          <w:u w:val="single"/>
          <w:lang w:val="en-GB"/>
        </w:rPr>
        <w:t>par</w:t>
      </w:r>
      <w:r w:rsidRPr="001C54AA">
        <w:rPr>
          <w:u w:val="single"/>
          <w:lang w:val="en-GB"/>
        </w:rPr>
        <w:t>a</w:t>
      </w:r>
      <w:r w:rsidRPr="001C54AA">
        <w:rPr>
          <w:u w:val="single"/>
          <w:lang w:val="en-GB"/>
        </w:rPr>
        <w:t>graph 351</w:t>
      </w:r>
      <w:r>
        <w:rPr>
          <w:lang w:val="en-GB"/>
        </w:rPr>
        <w:t xml:space="preserve"> identifies high electricity prices as a risk to the electrification of industrial processes which is true. However, this risk is not at all addressed by the selection criteria for annex 1. Electro-intensity only plays a minor role here as compared to trade intensity. Further increases in electro-intensity in the future have not been addressed at all. In fact, the set of criteria proposed by the Commission will exactly lead to a discouragement of investments into electro-intensive decarbonis</w:t>
      </w:r>
      <w:r>
        <w:rPr>
          <w:lang w:val="en-GB"/>
        </w:rPr>
        <w:t>a</w:t>
      </w:r>
      <w:r>
        <w:rPr>
          <w:lang w:val="en-GB"/>
        </w:rPr>
        <w:t xml:space="preserve">tion technologies in the </w:t>
      </w:r>
      <w:r w:rsidR="00FE4127">
        <w:rPr>
          <w:lang w:val="en-GB"/>
        </w:rPr>
        <w:t xml:space="preserve">building materials </w:t>
      </w:r>
      <w:r>
        <w:rPr>
          <w:lang w:val="en-GB"/>
        </w:rPr>
        <w:t>industry and many other sectors. As it stands the CEEAG would make electricity more expensive for industry and not less expensive – as would be required for a successful transformation.</w:t>
      </w:r>
    </w:p>
    <w:p w:rsidR="00C005A0" w:rsidRDefault="00C005A0" w:rsidP="00C005A0">
      <w:pPr>
        <w:rPr>
          <w:lang w:val="en-GB"/>
        </w:rPr>
      </w:pPr>
    </w:p>
    <w:p w:rsidR="00C005A0" w:rsidRDefault="00C005A0" w:rsidP="00C005A0">
      <w:pPr>
        <w:rPr>
          <w:lang w:val="en-GB"/>
        </w:rPr>
      </w:pPr>
      <w:r>
        <w:rPr>
          <w:lang w:val="en-GB"/>
        </w:rPr>
        <w:t xml:space="preserve">For all these reasons, the criteria that the Commission has applied are not appropriate to identify sectors at risk of relocation (as suggested in </w:t>
      </w:r>
      <w:r w:rsidRPr="001C54AA">
        <w:rPr>
          <w:u w:val="single"/>
          <w:lang w:val="en-GB"/>
        </w:rPr>
        <w:t>paragraph 353</w:t>
      </w:r>
      <w:r>
        <w:rPr>
          <w:lang w:val="en-GB"/>
        </w:rPr>
        <w:t>).</w:t>
      </w:r>
    </w:p>
    <w:p w:rsidR="00C005A0" w:rsidRDefault="00C005A0" w:rsidP="00C005A0">
      <w:pPr>
        <w:rPr>
          <w:lang w:val="en-GB"/>
        </w:rPr>
      </w:pPr>
    </w:p>
    <w:p w:rsidR="00C005A0" w:rsidRPr="00C50A0C" w:rsidRDefault="00C005A0" w:rsidP="00C005A0">
      <w:pPr>
        <w:rPr>
          <w:lang w:val="en-GB"/>
        </w:rPr>
      </w:pPr>
      <w:r>
        <w:rPr>
          <w:b/>
          <w:lang w:val="en-GB"/>
        </w:rPr>
        <w:t>W</w:t>
      </w:r>
      <w:r w:rsidRPr="00427F55">
        <w:rPr>
          <w:b/>
          <w:lang w:val="en-GB"/>
        </w:rPr>
        <w:t xml:space="preserve">e ask the Commission to reconsider the methodology used for determining the sectors eligible under chapter 4.11. In any case, </w:t>
      </w:r>
      <w:r w:rsidR="004D1768">
        <w:rPr>
          <w:b/>
          <w:lang w:val="en-GB"/>
        </w:rPr>
        <w:t>sectors covered by the current EEAG should conti</w:t>
      </w:r>
      <w:r w:rsidR="004D1768">
        <w:rPr>
          <w:b/>
          <w:lang w:val="en-GB"/>
        </w:rPr>
        <w:t>n</w:t>
      </w:r>
      <w:r w:rsidR="004D1768">
        <w:rPr>
          <w:b/>
          <w:lang w:val="en-GB"/>
        </w:rPr>
        <w:t>ue to be eligible for electricity levy reductions. An increase in electricity prices for the indu</w:t>
      </w:r>
      <w:r w:rsidR="004D1768">
        <w:rPr>
          <w:b/>
          <w:lang w:val="en-GB"/>
        </w:rPr>
        <w:t>s</w:t>
      </w:r>
      <w:r w:rsidR="004D1768">
        <w:rPr>
          <w:b/>
          <w:lang w:val="en-GB"/>
        </w:rPr>
        <w:t>try due to the new CEEAG must be avoided.</w:t>
      </w:r>
    </w:p>
    <w:p w:rsidR="00C005A0" w:rsidRDefault="00C005A0" w:rsidP="00C005A0">
      <w:pPr>
        <w:rPr>
          <w:lang w:val="en-GB"/>
        </w:rPr>
      </w:pPr>
    </w:p>
    <w:p w:rsidR="00C005A0" w:rsidRPr="00427F55" w:rsidRDefault="00C005A0" w:rsidP="00C005A0">
      <w:pPr>
        <w:rPr>
          <w:i/>
          <w:lang w:val="en-GB"/>
        </w:rPr>
      </w:pPr>
      <w:r w:rsidRPr="00427F55">
        <w:rPr>
          <w:i/>
          <w:lang w:val="en-GB"/>
        </w:rPr>
        <w:t>4.11.2 Scope: Levies from which reductions can be granted</w:t>
      </w:r>
    </w:p>
    <w:p w:rsidR="00C005A0" w:rsidRDefault="00C005A0" w:rsidP="00C005A0">
      <w:pPr>
        <w:rPr>
          <w:lang w:val="en-GB"/>
        </w:rPr>
      </w:pPr>
      <w:r w:rsidRPr="00693A70">
        <w:rPr>
          <w:u w:val="single"/>
          <w:lang w:val="en-GB"/>
        </w:rPr>
        <w:t>Paragraph 354</w:t>
      </w:r>
      <w:r>
        <w:rPr>
          <w:lang w:val="en-GB"/>
        </w:rPr>
        <w:t xml:space="preserve"> of the draft CEEAG specifically excludes network charges from the scope of chapter 4.11. This falls short on visible developments on the electricity market in Germany during the past years. Given the advanced transition from both coal and nuclear power plants to fluctuating renew</w:t>
      </w:r>
      <w:r>
        <w:rPr>
          <w:lang w:val="en-GB"/>
        </w:rPr>
        <w:t>a</w:t>
      </w:r>
      <w:r>
        <w:rPr>
          <w:lang w:val="en-GB"/>
        </w:rPr>
        <w:t>bles like wind and solar energy, the need for both active grid management and grid expansion co</w:t>
      </w:r>
      <w:r>
        <w:rPr>
          <w:lang w:val="en-GB"/>
        </w:rPr>
        <w:t>n</w:t>
      </w:r>
      <w:r>
        <w:rPr>
          <w:lang w:val="en-GB"/>
        </w:rPr>
        <w:t>tinuously increases. Transmission system operators (TSOs) already pass on these additional costs to electricity consumers and will continue to do so. Network charges therefore threaten to become the “new major cost burden associated with renewable energies” and in that respect seamlessly take over from the levies financing the direct funding of renewables. This development is already for</w:t>
      </w:r>
      <w:r>
        <w:rPr>
          <w:lang w:val="en-GB"/>
        </w:rPr>
        <w:t>e</w:t>
      </w:r>
      <w:r>
        <w:rPr>
          <w:lang w:val="en-GB"/>
        </w:rPr>
        <w:t>seeable today and will likely be shared in many other EU member states as soon as fluctuating r</w:t>
      </w:r>
      <w:r>
        <w:rPr>
          <w:lang w:val="en-GB"/>
        </w:rPr>
        <w:t>e</w:t>
      </w:r>
      <w:r>
        <w:rPr>
          <w:lang w:val="en-GB"/>
        </w:rPr>
        <w:t xml:space="preserve">newable energies provide a major share of electricity. In view of the long-term applicability of the CEEAG for the upcoming years, this issue should be </w:t>
      </w:r>
      <w:r w:rsidRPr="009028C2">
        <w:rPr>
          <w:lang w:val="en-GB"/>
        </w:rPr>
        <w:t>addressed – either in chapter 4.11 or in cha</w:t>
      </w:r>
      <w:r w:rsidRPr="009028C2">
        <w:rPr>
          <w:lang w:val="en-GB"/>
        </w:rPr>
        <w:t>p</w:t>
      </w:r>
      <w:r w:rsidRPr="009028C2">
        <w:rPr>
          <w:lang w:val="en-GB"/>
        </w:rPr>
        <w:t xml:space="preserve">ter 4.9 (aid for energy infrastructure). However, in the draft CEEAG </w:t>
      </w:r>
      <w:r w:rsidRPr="009028C2">
        <w:rPr>
          <w:u w:val="single"/>
          <w:lang w:val="en-GB"/>
        </w:rPr>
        <w:t>paragraph 334</w:t>
      </w:r>
      <w:r w:rsidRPr="009028C2">
        <w:rPr>
          <w:lang w:val="en-GB"/>
        </w:rPr>
        <w:t xml:space="preserve"> of chapter 4.9 also excludes indirect relief of electricity users by way of infrastructure funding.</w:t>
      </w:r>
    </w:p>
    <w:p w:rsidR="00C005A0" w:rsidRDefault="00C005A0" w:rsidP="00C005A0">
      <w:pPr>
        <w:rPr>
          <w:lang w:val="en-GB"/>
        </w:rPr>
      </w:pPr>
    </w:p>
    <w:p w:rsidR="00C005A0" w:rsidRPr="00693A70" w:rsidRDefault="00C005A0" w:rsidP="00C005A0">
      <w:pPr>
        <w:rPr>
          <w:b/>
          <w:lang w:val="en-GB"/>
        </w:rPr>
      </w:pPr>
      <w:r w:rsidRPr="00693A70">
        <w:rPr>
          <w:b/>
          <w:lang w:val="en-GB"/>
        </w:rPr>
        <w:lastRenderedPageBreak/>
        <w:t>We therefore ask the Commission to explicitly allow for reductions in network charges for energy-intensive users in order to mitigate the risk of relocation stemming from this growing cost burden.</w:t>
      </w:r>
    </w:p>
    <w:p w:rsidR="00C005A0" w:rsidRDefault="00C005A0" w:rsidP="00C005A0">
      <w:pPr>
        <w:rPr>
          <w:lang w:val="en-GB"/>
        </w:rPr>
      </w:pPr>
    </w:p>
    <w:p w:rsidR="00C005A0" w:rsidRDefault="00C005A0" w:rsidP="00C005A0">
      <w:pPr>
        <w:rPr>
          <w:lang w:val="en-GB"/>
        </w:rPr>
      </w:pPr>
      <w:r w:rsidRPr="00693A70">
        <w:rPr>
          <w:u w:val="single"/>
          <w:lang w:val="en-GB"/>
        </w:rPr>
        <w:t>Paragraph 355</w:t>
      </w:r>
      <w:r>
        <w:rPr>
          <w:lang w:val="en-GB"/>
        </w:rPr>
        <w:t xml:space="preserve"> of the draft CEEAG asks member states to include all levies on electricity into a si</w:t>
      </w:r>
      <w:r>
        <w:rPr>
          <w:lang w:val="en-GB"/>
        </w:rPr>
        <w:t>n</w:t>
      </w:r>
      <w:r>
        <w:rPr>
          <w:lang w:val="en-GB"/>
        </w:rPr>
        <w:t xml:space="preserve">gle relief scheme. We support this approach of the Commission since the cost burden on energy-intensive industries has to be assessed cumulatively in order to provide a meaningful estimate for the risk of relocation. In fact, the cost burden should ideally be examined even across different policy areas. </w:t>
      </w:r>
      <w:commentRangeStart w:id="1"/>
      <w:r>
        <w:rPr>
          <w:lang w:val="en-GB"/>
        </w:rPr>
        <w:t>As for the electricity prices paid by energy-intensive industries, the current system of indivi</w:t>
      </w:r>
      <w:r>
        <w:rPr>
          <w:lang w:val="en-GB"/>
        </w:rPr>
        <w:t>d</w:t>
      </w:r>
      <w:r>
        <w:rPr>
          <w:lang w:val="en-GB"/>
        </w:rPr>
        <w:t>ual relief schemes for each tax or levy should be replaced by a comprehensive industrial electricity tariff (</w:t>
      </w:r>
      <w:proofErr w:type="spellStart"/>
      <w:r>
        <w:rPr>
          <w:lang w:val="en-GB"/>
        </w:rPr>
        <w:t>Industriestrompreis</w:t>
      </w:r>
      <w:proofErr w:type="spellEnd"/>
      <w:r>
        <w:rPr>
          <w:lang w:val="en-GB"/>
        </w:rPr>
        <w:t xml:space="preserve">) across Europe in order to provide an actual level playing field. </w:t>
      </w:r>
      <w:commentRangeEnd w:id="1"/>
      <w:r>
        <w:rPr>
          <w:rStyle w:val="Kommentarzeichen"/>
        </w:rPr>
        <w:commentReference w:id="1"/>
      </w:r>
      <w:r>
        <w:rPr>
          <w:lang w:val="en-GB"/>
        </w:rPr>
        <w:t>The min</w:t>
      </w:r>
      <w:r>
        <w:rPr>
          <w:lang w:val="en-GB"/>
        </w:rPr>
        <w:t>i</w:t>
      </w:r>
      <w:r>
        <w:rPr>
          <w:lang w:val="en-GB"/>
        </w:rPr>
        <w:t xml:space="preserve">mum threshold proposed in </w:t>
      </w:r>
      <w:r w:rsidRPr="00693A70">
        <w:rPr>
          <w:u w:val="single"/>
          <w:lang w:val="en-GB"/>
        </w:rPr>
        <w:t>paragraph 356</w:t>
      </w:r>
      <w:r>
        <w:rPr>
          <w:lang w:val="en-GB"/>
        </w:rPr>
        <w:t>, however, is not a sensible approach in our view b</w:t>
      </w:r>
      <w:r>
        <w:rPr>
          <w:lang w:val="en-GB"/>
        </w:rPr>
        <w:t>e</w:t>
      </w:r>
      <w:r>
        <w:rPr>
          <w:lang w:val="en-GB"/>
        </w:rPr>
        <w:t>cause it only focusses on the absolute amount of levies – not taking into account varying electricity price levels across the EU and relative price differences (intra- and extra EU). Also, in case a me</w:t>
      </w:r>
      <w:r>
        <w:rPr>
          <w:lang w:val="en-GB"/>
        </w:rPr>
        <w:t>m</w:t>
      </w:r>
      <w:r>
        <w:rPr>
          <w:lang w:val="en-GB"/>
        </w:rPr>
        <w:t>ber state was to reduce levies on electricity in order to support decarbonisation this effect could be counteracted by the threshold.</w:t>
      </w:r>
    </w:p>
    <w:p w:rsidR="00C005A0" w:rsidRDefault="00C005A0" w:rsidP="00C005A0">
      <w:pPr>
        <w:rPr>
          <w:lang w:val="en-GB"/>
        </w:rPr>
      </w:pPr>
    </w:p>
    <w:p w:rsidR="00C005A0" w:rsidRDefault="00C005A0" w:rsidP="00C005A0">
      <w:pPr>
        <w:rPr>
          <w:b/>
          <w:lang w:val="en-GB"/>
        </w:rPr>
      </w:pPr>
      <w:r w:rsidRPr="001C54AA">
        <w:rPr>
          <w:b/>
          <w:lang w:val="en-GB"/>
        </w:rPr>
        <w:t>In order to create an actual level playing field for energy-intensive industry sectors across the EU and in order to support the electrification and decarbonisation of industrial proces</w:t>
      </w:r>
      <w:r w:rsidRPr="001C54AA">
        <w:rPr>
          <w:b/>
          <w:lang w:val="en-GB"/>
        </w:rPr>
        <w:t>s</w:t>
      </w:r>
      <w:r w:rsidRPr="001C54AA">
        <w:rPr>
          <w:b/>
          <w:lang w:val="en-GB"/>
        </w:rPr>
        <w:t xml:space="preserve">es, </w:t>
      </w:r>
      <w:commentRangeStart w:id="2"/>
      <w:r w:rsidRPr="001C54AA">
        <w:rPr>
          <w:b/>
          <w:lang w:val="en-GB"/>
        </w:rPr>
        <w:t xml:space="preserve">we ask the Commission to </w:t>
      </w:r>
      <w:r>
        <w:rPr>
          <w:b/>
          <w:lang w:val="en-GB"/>
        </w:rPr>
        <w:t xml:space="preserve">introduce / </w:t>
      </w:r>
      <w:r w:rsidRPr="001C54AA">
        <w:rPr>
          <w:b/>
          <w:lang w:val="en-GB"/>
        </w:rPr>
        <w:t>allow for a uniform industrial electricity tariff (</w:t>
      </w:r>
      <w:proofErr w:type="spellStart"/>
      <w:r w:rsidRPr="001C54AA">
        <w:rPr>
          <w:b/>
          <w:lang w:val="en-GB"/>
        </w:rPr>
        <w:t>I</w:t>
      </w:r>
      <w:r w:rsidRPr="001C54AA">
        <w:rPr>
          <w:b/>
          <w:lang w:val="en-GB"/>
        </w:rPr>
        <w:t>n</w:t>
      </w:r>
      <w:r w:rsidRPr="001C54AA">
        <w:rPr>
          <w:b/>
          <w:lang w:val="en-GB"/>
        </w:rPr>
        <w:t>dustriestrompreis</w:t>
      </w:r>
      <w:proofErr w:type="spellEnd"/>
      <w:r w:rsidRPr="001C54AA">
        <w:rPr>
          <w:b/>
          <w:lang w:val="en-GB"/>
        </w:rPr>
        <w:t>).</w:t>
      </w:r>
      <w:commentRangeEnd w:id="2"/>
      <w:r>
        <w:rPr>
          <w:rStyle w:val="Kommentarzeichen"/>
        </w:rPr>
        <w:commentReference w:id="2"/>
      </w:r>
      <w:r>
        <w:rPr>
          <w:b/>
          <w:lang w:val="en-GB"/>
        </w:rPr>
        <w:t xml:space="preserve"> We do not support the proposed absolute minimum threshold as a pr</w:t>
      </w:r>
      <w:r>
        <w:rPr>
          <w:b/>
          <w:lang w:val="en-GB"/>
        </w:rPr>
        <w:t>e</w:t>
      </w:r>
      <w:r>
        <w:rPr>
          <w:b/>
          <w:lang w:val="en-GB"/>
        </w:rPr>
        <w:t>condition for introducing relief schemes.</w:t>
      </w:r>
    </w:p>
    <w:p w:rsidR="00C005A0" w:rsidRDefault="00C005A0" w:rsidP="00C005A0">
      <w:pPr>
        <w:rPr>
          <w:lang w:val="en-GB"/>
        </w:rPr>
      </w:pPr>
    </w:p>
    <w:p w:rsidR="00C005A0" w:rsidRPr="00360BFC" w:rsidRDefault="00C005A0" w:rsidP="00C005A0">
      <w:pPr>
        <w:rPr>
          <w:i/>
          <w:lang w:val="en-GB"/>
        </w:rPr>
      </w:pPr>
      <w:r>
        <w:rPr>
          <w:i/>
          <w:lang w:val="en-GB"/>
        </w:rPr>
        <w:t>4.11.3.2 Maximum reduction of electricity levies</w:t>
      </w:r>
    </w:p>
    <w:p w:rsidR="00C005A0" w:rsidRPr="001C54AA" w:rsidRDefault="00C005A0" w:rsidP="00C005A0">
      <w:pPr>
        <w:rPr>
          <w:lang w:val="en-GB"/>
        </w:rPr>
      </w:pPr>
      <w:r w:rsidRPr="00E66B22">
        <w:rPr>
          <w:u w:val="single"/>
          <w:lang w:val="en-GB"/>
        </w:rPr>
        <w:t>Paragraph 359</w:t>
      </w:r>
      <w:r>
        <w:rPr>
          <w:lang w:val="en-GB"/>
        </w:rPr>
        <w:t xml:space="preserve"> proposes to decrease aid intensity from 85 % to 75 %. </w:t>
      </w:r>
      <w:r w:rsidRPr="00C92FE7">
        <w:rPr>
          <w:u w:val="single"/>
          <w:lang w:val="en-GB"/>
        </w:rPr>
        <w:t>Paragraph 360</w:t>
      </w:r>
      <w:r>
        <w:rPr>
          <w:lang w:val="en-GB"/>
        </w:rPr>
        <w:t xml:space="preserve"> proposes to increase the maximum burden from 0.5 % of GVA under the current EEAG to 1.5 % of GVA. The reasoning behind this significant increase again is not comprehensible. Electro-intensity of the indu</w:t>
      </w:r>
      <w:r>
        <w:rPr>
          <w:lang w:val="en-GB"/>
        </w:rPr>
        <w:t>s</w:t>
      </w:r>
      <w:r>
        <w:rPr>
          <w:lang w:val="en-GB"/>
        </w:rPr>
        <w:t>try will increase over the coming years as decarbonisation technologies are installed. Increasing the electricity cost burden for energy-intensive industries discourages investments into these electro-intensive technologies. Since electricity is the main transformation energy on our way to carbon ne</w:t>
      </w:r>
      <w:r>
        <w:rPr>
          <w:lang w:val="en-GB"/>
        </w:rPr>
        <w:t>u</w:t>
      </w:r>
      <w:r>
        <w:rPr>
          <w:lang w:val="en-GB"/>
        </w:rPr>
        <w:t>trality the aim of CEEAG should be to decrease its price and not to increase it.</w:t>
      </w:r>
    </w:p>
    <w:p w:rsidR="00C005A0" w:rsidRPr="00E65BD6" w:rsidRDefault="00C005A0" w:rsidP="00C005A0">
      <w:pPr>
        <w:rPr>
          <w:lang w:val="en-GB"/>
        </w:rPr>
      </w:pPr>
    </w:p>
    <w:p w:rsidR="00C005A0" w:rsidRPr="00E66B22" w:rsidRDefault="00C005A0" w:rsidP="00C005A0">
      <w:pPr>
        <w:rPr>
          <w:b/>
          <w:lang w:val="en-GB"/>
        </w:rPr>
      </w:pPr>
      <w:r w:rsidRPr="00E66B22">
        <w:rPr>
          <w:b/>
          <w:lang w:val="en-GB"/>
        </w:rPr>
        <w:t xml:space="preserve">We therefore ask the Commission </w:t>
      </w:r>
      <w:r>
        <w:rPr>
          <w:b/>
          <w:lang w:val="en-GB"/>
        </w:rPr>
        <w:t xml:space="preserve">again </w:t>
      </w:r>
      <w:r w:rsidRPr="00E66B22">
        <w:rPr>
          <w:b/>
          <w:lang w:val="en-GB"/>
        </w:rPr>
        <w:t>to reconsider its plans to increase the electricity cost burden on energy-intensive industries</w:t>
      </w:r>
      <w:r>
        <w:rPr>
          <w:b/>
          <w:lang w:val="en-GB"/>
        </w:rPr>
        <w:t xml:space="preserve"> and to maintain the current level of aid intensity</w:t>
      </w:r>
      <w:r w:rsidRPr="00E66B22">
        <w:rPr>
          <w:b/>
          <w:lang w:val="en-GB"/>
        </w:rPr>
        <w:t>.</w:t>
      </w:r>
    </w:p>
    <w:p w:rsidR="00C005A0" w:rsidRDefault="00C005A0" w:rsidP="00C005A0">
      <w:pPr>
        <w:rPr>
          <w:lang w:val="en-GB"/>
        </w:rPr>
      </w:pPr>
    </w:p>
    <w:p w:rsidR="00C005A0" w:rsidRPr="00E66B22" w:rsidRDefault="00C005A0" w:rsidP="00C005A0">
      <w:pPr>
        <w:rPr>
          <w:i/>
          <w:lang w:val="en-GB"/>
        </w:rPr>
      </w:pPr>
      <w:r w:rsidRPr="00E66B22">
        <w:rPr>
          <w:i/>
          <w:lang w:val="en-GB"/>
        </w:rPr>
        <w:t>4.11.3.4 State induced investment requirements</w:t>
      </w:r>
    </w:p>
    <w:p w:rsidR="00C005A0" w:rsidRDefault="00C005A0" w:rsidP="00C005A0">
      <w:pPr>
        <w:rPr>
          <w:lang w:val="en-GB"/>
        </w:rPr>
      </w:pPr>
      <w:r w:rsidRPr="00C92FE7">
        <w:rPr>
          <w:u w:val="single"/>
          <w:lang w:val="en-GB"/>
        </w:rPr>
        <w:t>Paragraph 365</w:t>
      </w:r>
      <w:r>
        <w:rPr>
          <w:lang w:val="en-GB"/>
        </w:rPr>
        <w:t xml:space="preserve"> proposes that undertakings be obliged to invest into certain publically determined objectives, stipulating a pay-back period of 3 years for energy efficiency measures, setting a target of 30 % green electricity consumption and directing at least 50 % of “aid” into decarbonisation measures. We strongly object to this kind of public investment control as it significantly curtails e</w:t>
      </w:r>
      <w:r>
        <w:rPr>
          <w:lang w:val="en-GB"/>
        </w:rPr>
        <w:t>n</w:t>
      </w:r>
      <w:r>
        <w:rPr>
          <w:lang w:val="en-GB"/>
        </w:rPr>
        <w:t>trepreneurial independence. The aid under chapter 4.11 is not to be confused with investment fun</w:t>
      </w:r>
      <w:r>
        <w:rPr>
          <w:lang w:val="en-GB"/>
        </w:rPr>
        <w:t>d</w:t>
      </w:r>
      <w:r>
        <w:rPr>
          <w:lang w:val="en-GB"/>
        </w:rPr>
        <w:t>ing. Instead it must offset state induced cost disadvantages vis-à-vis competitors inside and outside the EU. Offsetting cost disadvantages implies that EU undertakings are free in their investment dec</w:t>
      </w:r>
      <w:r>
        <w:rPr>
          <w:lang w:val="en-GB"/>
        </w:rPr>
        <w:t>i</w:t>
      </w:r>
      <w:r>
        <w:rPr>
          <w:lang w:val="en-GB"/>
        </w:rPr>
        <w:t>sions in the same way as their competitors. Otherwise, aid provided under chapter 4.11 does not actually create a level playing field (which should be the aim).</w:t>
      </w:r>
    </w:p>
    <w:p w:rsidR="00C005A0" w:rsidRDefault="00C005A0" w:rsidP="00C005A0">
      <w:pPr>
        <w:rPr>
          <w:lang w:val="en-GB"/>
        </w:rPr>
      </w:pPr>
    </w:p>
    <w:p w:rsidR="00C005A0" w:rsidRDefault="00C005A0" w:rsidP="00C005A0">
      <w:pPr>
        <w:rPr>
          <w:b/>
          <w:lang w:val="en-GB"/>
        </w:rPr>
      </w:pPr>
      <w:r w:rsidRPr="00B6128F">
        <w:rPr>
          <w:b/>
          <w:lang w:val="en-GB"/>
        </w:rPr>
        <w:t xml:space="preserve">We therefore ask the Commission to delete paragraph 365 and to not condition safeguards for </w:t>
      </w:r>
      <w:r>
        <w:rPr>
          <w:b/>
          <w:lang w:val="en-GB"/>
        </w:rPr>
        <w:t xml:space="preserve">the competitiveness of the </w:t>
      </w:r>
      <w:r w:rsidRPr="00B6128F">
        <w:rPr>
          <w:b/>
          <w:lang w:val="en-GB"/>
        </w:rPr>
        <w:t>European industry on certain investment objectives.</w:t>
      </w:r>
    </w:p>
    <w:p w:rsidR="00C005A0" w:rsidRDefault="00C005A0" w:rsidP="00C005A0">
      <w:pPr>
        <w:spacing w:after="200" w:line="276" w:lineRule="auto"/>
        <w:ind w:right="0"/>
        <w:rPr>
          <w:b/>
          <w:lang w:val="en-GB"/>
        </w:rPr>
      </w:pPr>
    </w:p>
    <w:p w:rsidR="00A91D06" w:rsidRDefault="00A91D06" w:rsidP="00C005A0">
      <w:pPr>
        <w:spacing w:after="200" w:line="276" w:lineRule="auto"/>
        <w:ind w:right="0"/>
        <w:rPr>
          <w:b/>
          <w:lang w:val="en-GB"/>
        </w:rPr>
      </w:pPr>
    </w:p>
    <w:p w:rsidR="00C005A0" w:rsidRDefault="00C005A0" w:rsidP="00C005A0">
      <w:pPr>
        <w:rPr>
          <w:b/>
          <w:lang w:val="en-GB"/>
        </w:rPr>
      </w:pPr>
      <w:r>
        <w:rPr>
          <w:b/>
          <w:lang w:val="en-GB"/>
        </w:rPr>
        <w:lastRenderedPageBreak/>
        <w:t>Chapter 2.4 Definitions</w:t>
      </w:r>
    </w:p>
    <w:p w:rsidR="00C005A0" w:rsidRDefault="00C005A0" w:rsidP="00C005A0">
      <w:pPr>
        <w:rPr>
          <w:b/>
          <w:lang w:val="en-GB"/>
        </w:rPr>
      </w:pPr>
    </w:p>
    <w:p w:rsidR="00C005A0" w:rsidRDefault="00C005A0" w:rsidP="00C005A0">
      <w:pPr>
        <w:rPr>
          <w:i/>
          <w:lang w:val="en-GB"/>
        </w:rPr>
      </w:pPr>
      <w:r w:rsidRPr="00A7788B">
        <w:rPr>
          <w:i/>
          <w:u w:val="single"/>
          <w:lang w:val="en-GB"/>
        </w:rPr>
        <w:t>Paragraph 18 (13) and (14)</w:t>
      </w:r>
      <w:r w:rsidRPr="00A7788B">
        <w:rPr>
          <w:i/>
          <w:lang w:val="en-GB"/>
        </w:rPr>
        <w:t>:</w:t>
      </w:r>
      <w:r>
        <w:rPr>
          <w:i/>
          <w:lang w:val="en-GB"/>
        </w:rPr>
        <w:t xml:space="preserve"> Carbon Capture and Storage / Carbon Capture and Use</w:t>
      </w:r>
    </w:p>
    <w:p w:rsidR="00C005A0" w:rsidRDefault="00C005A0" w:rsidP="00C005A0">
      <w:pPr>
        <w:rPr>
          <w:lang w:val="en-GB"/>
        </w:rPr>
      </w:pPr>
      <w:r>
        <w:rPr>
          <w:lang w:val="en-GB"/>
        </w:rPr>
        <w:t xml:space="preserve">The formulation “industrial plants based on fossil fuels or biomass, including power plants and waste-to-energy plants” is </w:t>
      </w:r>
      <w:proofErr w:type="spellStart"/>
      <w:r>
        <w:rPr>
          <w:lang w:val="en-GB"/>
        </w:rPr>
        <w:t>ambigious</w:t>
      </w:r>
      <w:proofErr w:type="spellEnd"/>
      <w:r>
        <w:rPr>
          <w:lang w:val="en-GB"/>
        </w:rPr>
        <w:t xml:space="preserve">. It can be read as if only fuel emissions were meant by these two definitions. It should be clarified that CCS and CCU also involve </w:t>
      </w:r>
      <w:r w:rsidRPr="003A3BB3">
        <w:rPr>
          <w:lang w:val="en-GB"/>
        </w:rPr>
        <w:t>CO</w:t>
      </w:r>
      <w:r w:rsidRPr="003A3BB3">
        <w:rPr>
          <w:vertAlign w:val="subscript"/>
          <w:lang w:val="en-GB"/>
        </w:rPr>
        <w:t>2</w:t>
      </w:r>
      <w:r w:rsidRPr="003A3BB3">
        <w:rPr>
          <w:lang w:val="en-GB"/>
        </w:rPr>
        <w:t xml:space="preserve"> </w:t>
      </w:r>
      <w:r>
        <w:rPr>
          <w:lang w:val="en-GB"/>
        </w:rPr>
        <w:t>emissions from industrial processes.</w:t>
      </w:r>
      <w:r>
        <w:rPr>
          <w:rStyle w:val="Funotenzeichen"/>
          <w:lang w:val="en-GB"/>
        </w:rPr>
        <w:footnoteReference w:id="3"/>
      </w:r>
    </w:p>
    <w:p w:rsidR="00C005A0" w:rsidRDefault="00C005A0" w:rsidP="00C005A0">
      <w:pPr>
        <w:rPr>
          <w:lang w:val="en-GB"/>
        </w:rPr>
      </w:pPr>
    </w:p>
    <w:p w:rsidR="00C005A0" w:rsidRDefault="00C005A0" w:rsidP="00C005A0">
      <w:pPr>
        <w:rPr>
          <w:lang w:val="en-GB"/>
        </w:rPr>
      </w:pPr>
      <w:r>
        <w:rPr>
          <w:lang w:val="en-GB"/>
        </w:rPr>
        <w:t xml:space="preserve">We appreciate the explicit mentioning of </w:t>
      </w:r>
      <w:r w:rsidRPr="003A3BB3">
        <w:rPr>
          <w:lang w:val="en-GB"/>
        </w:rPr>
        <w:t>CO</w:t>
      </w:r>
      <w:r w:rsidRPr="003A3BB3">
        <w:rPr>
          <w:vertAlign w:val="subscript"/>
          <w:lang w:val="en-GB"/>
        </w:rPr>
        <w:t>2</w:t>
      </w:r>
      <w:r w:rsidRPr="003A3BB3">
        <w:rPr>
          <w:lang w:val="en-GB"/>
        </w:rPr>
        <w:t xml:space="preserve"> </w:t>
      </w:r>
      <w:r>
        <w:rPr>
          <w:lang w:val="en-GB"/>
        </w:rPr>
        <w:t xml:space="preserve">transport between its source and the sink, because this step is currently a major hurdle for </w:t>
      </w:r>
      <w:r w:rsidR="00A91D06">
        <w:rPr>
          <w:lang w:val="en-GB"/>
        </w:rPr>
        <w:t xml:space="preserve">CCUS </w:t>
      </w:r>
      <w:r>
        <w:rPr>
          <w:lang w:val="en-GB"/>
        </w:rPr>
        <w:t xml:space="preserve">demonstration projects and must not be neglected. However, the CCU definition might be too much focused on constellations where </w:t>
      </w:r>
      <w:r w:rsidRPr="003A3BB3">
        <w:rPr>
          <w:lang w:val="en-GB"/>
        </w:rPr>
        <w:t>CO</w:t>
      </w:r>
      <w:r w:rsidRPr="003A3BB3">
        <w:rPr>
          <w:vertAlign w:val="subscript"/>
          <w:lang w:val="en-GB"/>
        </w:rPr>
        <w:t>2</w:t>
      </w:r>
      <w:r w:rsidRPr="003A3BB3">
        <w:rPr>
          <w:lang w:val="en-GB"/>
        </w:rPr>
        <w:t xml:space="preserve"> </w:t>
      </w:r>
      <w:r>
        <w:rPr>
          <w:lang w:val="en-GB"/>
        </w:rPr>
        <w:t>has to be transported from one site (the source) to a specific “</w:t>
      </w:r>
      <w:r w:rsidRPr="003A3BB3">
        <w:rPr>
          <w:lang w:val="en-GB"/>
        </w:rPr>
        <w:t>CO</w:t>
      </w:r>
      <w:r w:rsidRPr="003A3BB3">
        <w:rPr>
          <w:vertAlign w:val="subscript"/>
          <w:lang w:val="en-GB"/>
        </w:rPr>
        <w:t>2</w:t>
      </w:r>
      <w:r w:rsidRPr="003A3BB3">
        <w:rPr>
          <w:lang w:val="en-GB"/>
        </w:rPr>
        <w:t xml:space="preserve"> </w:t>
      </w:r>
      <w:r>
        <w:rPr>
          <w:lang w:val="en-GB"/>
        </w:rPr>
        <w:t xml:space="preserve">consumption or utilisation site”. There might be constellations where the </w:t>
      </w:r>
      <w:r w:rsidRPr="003A3BB3">
        <w:rPr>
          <w:lang w:val="en-GB"/>
        </w:rPr>
        <w:t>CO</w:t>
      </w:r>
      <w:r w:rsidRPr="003A3BB3">
        <w:rPr>
          <w:vertAlign w:val="subscript"/>
          <w:lang w:val="en-GB"/>
        </w:rPr>
        <w:t>2</w:t>
      </w:r>
      <w:r w:rsidRPr="003A3BB3">
        <w:rPr>
          <w:lang w:val="en-GB"/>
        </w:rPr>
        <w:t xml:space="preserve"> </w:t>
      </w:r>
      <w:r>
        <w:rPr>
          <w:lang w:val="en-GB"/>
        </w:rPr>
        <w:t xml:space="preserve">utilisation takes place at the same site as the </w:t>
      </w:r>
      <w:r w:rsidRPr="003A3BB3">
        <w:rPr>
          <w:lang w:val="en-GB"/>
        </w:rPr>
        <w:t>CO</w:t>
      </w:r>
      <w:r w:rsidRPr="003A3BB3">
        <w:rPr>
          <w:vertAlign w:val="subscript"/>
          <w:lang w:val="en-GB"/>
        </w:rPr>
        <w:t>2</w:t>
      </w:r>
      <w:r w:rsidRPr="003A3BB3">
        <w:rPr>
          <w:lang w:val="en-GB"/>
        </w:rPr>
        <w:t xml:space="preserve"> </w:t>
      </w:r>
      <w:r>
        <w:rPr>
          <w:lang w:val="en-GB"/>
        </w:rPr>
        <w:t>capture. It should be made clear that such constellations are not excluded.</w:t>
      </w:r>
    </w:p>
    <w:p w:rsidR="00C005A0" w:rsidRDefault="00C005A0" w:rsidP="00C005A0">
      <w:pPr>
        <w:rPr>
          <w:lang w:val="en-GB"/>
        </w:rPr>
      </w:pPr>
    </w:p>
    <w:p w:rsidR="00C005A0" w:rsidRPr="00E2449B" w:rsidRDefault="00C005A0" w:rsidP="00C005A0">
      <w:pPr>
        <w:rPr>
          <w:i/>
          <w:lang w:val="en-GB"/>
        </w:rPr>
      </w:pPr>
      <w:r w:rsidRPr="00A7788B">
        <w:rPr>
          <w:i/>
          <w:u w:val="single"/>
          <w:lang w:val="en-GB"/>
        </w:rPr>
        <w:t>Paragraph 18 (16)</w:t>
      </w:r>
      <w:r w:rsidRPr="00A7788B">
        <w:rPr>
          <w:i/>
          <w:lang w:val="en-GB"/>
        </w:rPr>
        <w:t>:</w:t>
      </w:r>
      <w:r w:rsidRPr="00E2449B">
        <w:rPr>
          <w:i/>
          <w:lang w:val="en-GB"/>
        </w:rPr>
        <w:t xml:space="preserve"> CO</w:t>
      </w:r>
      <w:r w:rsidRPr="00E2449B">
        <w:rPr>
          <w:i/>
          <w:vertAlign w:val="subscript"/>
          <w:lang w:val="en-GB"/>
        </w:rPr>
        <w:t>2</w:t>
      </w:r>
      <w:r w:rsidRPr="00E2449B">
        <w:rPr>
          <w:i/>
          <w:lang w:val="en-GB"/>
        </w:rPr>
        <w:t xml:space="preserve"> removal</w:t>
      </w:r>
    </w:p>
    <w:p w:rsidR="00C005A0" w:rsidRDefault="00C005A0" w:rsidP="00C005A0">
      <w:pPr>
        <w:rPr>
          <w:lang w:val="en-GB"/>
        </w:rPr>
      </w:pPr>
      <w:r>
        <w:rPr>
          <w:lang w:val="en-GB"/>
        </w:rPr>
        <w:t xml:space="preserve">The </w:t>
      </w:r>
      <w:proofErr w:type="spellStart"/>
      <w:r>
        <w:rPr>
          <w:lang w:val="en-GB"/>
        </w:rPr>
        <w:t>recarbonation</w:t>
      </w:r>
      <w:proofErr w:type="spellEnd"/>
      <w:r>
        <w:rPr>
          <w:lang w:val="en-GB"/>
        </w:rPr>
        <w:t xml:space="preserve"> of concrete is a chemical process by which </w:t>
      </w:r>
      <w:r w:rsidRPr="00E2449B">
        <w:rPr>
          <w:lang w:val="en-GB"/>
        </w:rPr>
        <w:t>CO</w:t>
      </w:r>
      <w:r w:rsidRPr="00E2449B">
        <w:rPr>
          <w:vertAlign w:val="subscript"/>
          <w:lang w:val="en-GB"/>
        </w:rPr>
        <w:t>2</w:t>
      </w:r>
      <w:r w:rsidRPr="00E2449B">
        <w:rPr>
          <w:lang w:val="en-GB"/>
        </w:rPr>
        <w:t xml:space="preserve"> </w:t>
      </w:r>
      <w:r>
        <w:rPr>
          <w:lang w:val="en-GB"/>
        </w:rPr>
        <w:t xml:space="preserve">is taken up and chemically fixed in concrete according to the following formula: </w:t>
      </w:r>
      <w:proofErr w:type="spellStart"/>
      <w:proofErr w:type="gramStart"/>
      <w:r>
        <w:rPr>
          <w:lang w:val="en-GB"/>
        </w:rPr>
        <w:t>Ca</w:t>
      </w:r>
      <w:proofErr w:type="spellEnd"/>
      <w:r>
        <w:rPr>
          <w:lang w:val="en-GB"/>
        </w:rPr>
        <w:t>(</w:t>
      </w:r>
      <w:proofErr w:type="gramEnd"/>
      <w:r>
        <w:rPr>
          <w:lang w:val="en-GB"/>
        </w:rPr>
        <w:t>OH)</w:t>
      </w:r>
      <w:r w:rsidRPr="00E2449B">
        <w:rPr>
          <w:vertAlign w:val="subscript"/>
          <w:lang w:val="en-GB"/>
        </w:rPr>
        <w:t>2</w:t>
      </w:r>
      <w:r>
        <w:rPr>
          <w:lang w:val="en-GB"/>
        </w:rPr>
        <w:t xml:space="preserve"> + </w:t>
      </w:r>
      <w:r w:rsidRPr="00E2449B">
        <w:rPr>
          <w:lang w:val="en-GB"/>
        </w:rPr>
        <w:t>CO</w:t>
      </w:r>
      <w:r w:rsidRPr="00E2449B">
        <w:rPr>
          <w:vertAlign w:val="subscript"/>
          <w:lang w:val="en-GB"/>
        </w:rPr>
        <w:t>2</w:t>
      </w:r>
      <w:r w:rsidRPr="00E2449B">
        <w:rPr>
          <w:lang w:val="en-GB"/>
        </w:rPr>
        <w:t xml:space="preserve"> </w:t>
      </w:r>
      <w:r w:rsidRPr="00E2449B">
        <w:rPr>
          <w:lang w:val="en-GB"/>
        </w:rPr>
        <w:sym w:font="Wingdings" w:char="F0E0"/>
      </w:r>
      <w:r>
        <w:rPr>
          <w:lang w:val="en-GB"/>
        </w:rPr>
        <w:t xml:space="preserve"> CaCO</w:t>
      </w:r>
      <w:r w:rsidRPr="00E2449B">
        <w:rPr>
          <w:vertAlign w:val="subscript"/>
          <w:lang w:val="en-GB"/>
        </w:rPr>
        <w:t>3</w:t>
      </w:r>
      <w:r>
        <w:rPr>
          <w:lang w:val="en-GB"/>
        </w:rPr>
        <w:t xml:space="preserve"> + </w:t>
      </w:r>
      <w:r w:rsidRPr="00E2449B">
        <w:rPr>
          <w:lang w:val="en-GB"/>
        </w:rPr>
        <w:t>H</w:t>
      </w:r>
      <w:r w:rsidRPr="00E2449B">
        <w:rPr>
          <w:vertAlign w:val="subscript"/>
          <w:lang w:val="en-GB"/>
        </w:rPr>
        <w:t>2</w:t>
      </w:r>
      <w:r w:rsidRPr="00E2449B">
        <w:rPr>
          <w:lang w:val="en-GB"/>
        </w:rPr>
        <w:t>O</w:t>
      </w:r>
      <w:r>
        <w:rPr>
          <w:lang w:val="en-GB"/>
        </w:rPr>
        <w:t>.</w:t>
      </w:r>
      <w:r>
        <w:rPr>
          <w:rStyle w:val="Funotenzeichen"/>
          <w:lang w:val="en-GB"/>
        </w:rPr>
        <w:footnoteReference w:id="4"/>
      </w:r>
      <w:r>
        <w:rPr>
          <w:lang w:val="en-GB"/>
        </w:rPr>
        <w:t xml:space="preserve"> This process either happens naturally (surfaces of concrete structures binding </w:t>
      </w:r>
      <w:r w:rsidRPr="008504EC">
        <w:rPr>
          <w:lang w:val="en-GB"/>
        </w:rPr>
        <w:t>CO</w:t>
      </w:r>
      <w:r w:rsidRPr="008504EC">
        <w:rPr>
          <w:vertAlign w:val="subscript"/>
          <w:lang w:val="en-GB"/>
        </w:rPr>
        <w:t>2</w:t>
      </w:r>
      <w:r w:rsidRPr="008504EC">
        <w:rPr>
          <w:lang w:val="en-GB"/>
        </w:rPr>
        <w:t xml:space="preserve"> </w:t>
      </w:r>
      <w:r>
        <w:rPr>
          <w:lang w:val="en-GB"/>
        </w:rPr>
        <w:t>from the ambient air)</w:t>
      </w:r>
      <w:r>
        <w:rPr>
          <w:rStyle w:val="Funotenzeichen"/>
          <w:lang w:val="en-GB"/>
        </w:rPr>
        <w:footnoteReference w:id="5"/>
      </w:r>
      <w:r>
        <w:rPr>
          <w:lang w:val="en-GB"/>
        </w:rPr>
        <w:t xml:space="preserve"> or forcibly (active </w:t>
      </w:r>
      <w:proofErr w:type="spellStart"/>
      <w:r>
        <w:rPr>
          <w:lang w:val="en-GB"/>
        </w:rPr>
        <w:t>recarbonation</w:t>
      </w:r>
      <w:proofErr w:type="spellEnd"/>
      <w:r>
        <w:rPr>
          <w:lang w:val="en-GB"/>
        </w:rPr>
        <w:t xml:space="preserve"> e.g. of fresh concrete, currently under development). </w:t>
      </w:r>
      <w:commentRangeStart w:id="3"/>
      <w:r w:rsidR="00A91D06">
        <w:rPr>
          <w:lang w:val="en-GB"/>
        </w:rPr>
        <w:t xml:space="preserve">A similar process takes place with lime, where calcium-oxide is </w:t>
      </w:r>
      <w:proofErr w:type="spellStart"/>
      <w:r w:rsidR="00A91D06">
        <w:rPr>
          <w:lang w:val="en-GB"/>
        </w:rPr>
        <w:t>recarbonated</w:t>
      </w:r>
      <w:proofErr w:type="spellEnd"/>
      <w:r w:rsidR="00A91D06">
        <w:rPr>
          <w:lang w:val="en-GB"/>
        </w:rPr>
        <w:t xml:space="preserve"> to </w:t>
      </w:r>
      <w:r w:rsidR="008E06DF">
        <w:rPr>
          <w:lang w:val="en-GB"/>
        </w:rPr>
        <w:t xml:space="preserve">calcium-carbonate by taking up </w:t>
      </w:r>
      <w:r w:rsidR="008E06DF" w:rsidRPr="008E06DF">
        <w:rPr>
          <w:lang w:val="en-GB"/>
        </w:rPr>
        <w:t>CO</w:t>
      </w:r>
      <w:r w:rsidR="008E06DF" w:rsidRPr="008E06DF">
        <w:rPr>
          <w:vertAlign w:val="subscript"/>
          <w:lang w:val="en-GB"/>
        </w:rPr>
        <w:t>2</w:t>
      </w:r>
      <w:r w:rsidR="00A91D06">
        <w:rPr>
          <w:lang w:val="en-GB"/>
        </w:rPr>
        <w:t>.</w:t>
      </w:r>
      <w:commentRangeEnd w:id="3"/>
      <w:r w:rsidR="00A91D06">
        <w:rPr>
          <w:rStyle w:val="Kommentarzeichen"/>
        </w:rPr>
        <w:commentReference w:id="3"/>
      </w:r>
      <w:r w:rsidR="00A91D06">
        <w:rPr>
          <w:lang w:val="en-GB"/>
        </w:rPr>
        <w:t xml:space="preserve"> </w:t>
      </w:r>
      <w:r>
        <w:rPr>
          <w:lang w:val="en-GB"/>
        </w:rPr>
        <w:t xml:space="preserve">We suggest that the Commission takes into account effects like these in order to cover the variety of different </w:t>
      </w:r>
      <w:r w:rsidRPr="00CD4862">
        <w:rPr>
          <w:lang w:val="en-GB"/>
        </w:rPr>
        <w:t>CO</w:t>
      </w:r>
      <w:r w:rsidRPr="00CD4862">
        <w:rPr>
          <w:vertAlign w:val="subscript"/>
          <w:lang w:val="en-GB"/>
        </w:rPr>
        <w:t>2</w:t>
      </w:r>
      <w:r w:rsidRPr="00CD4862">
        <w:rPr>
          <w:lang w:val="en-GB"/>
        </w:rPr>
        <w:t xml:space="preserve"> </w:t>
      </w:r>
      <w:r>
        <w:rPr>
          <w:lang w:val="en-GB"/>
        </w:rPr>
        <w:t>sinks.</w:t>
      </w:r>
    </w:p>
    <w:p w:rsidR="00C005A0" w:rsidRDefault="00C005A0" w:rsidP="00C005A0">
      <w:pPr>
        <w:rPr>
          <w:lang w:val="en-GB"/>
        </w:rPr>
      </w:pPr>
    </w:p>
    <w:p w:rsidR="00C005A0" w:rsidRDefault="00C005A0" w:rsidP="00C005A0">
      <w:pPr>
        <w:rPr>
          <w:lang w:val="en-GB"/>
        </w:rPr>
      </w:pPr>
      <w:r w:rsidRPr="00A7788B">
        <w:rPr>
          <w:i/>
          <w:u w:val="single"/>
          <w:lang w:val="en-GB"/>
        </w:rPr>
        <w:t>Paragraph 18 (24)</w:t>
      </w:r>
      <w:r>
        <w:rPr>
          <w:i/>
          <w:lang w:val="en-GB"/>
        </w:rPr>
        <w:t>: Demonstration project</w:t>
      </w:r>
    </w:p>
    <w:p w:rsidR="00C005A0" w:rsidRDefault="00C005A0" w:rsidP="00C005A0">
      <w:pPr>
        <w:rPr>
          <w:lang w:val="en-GB"/>
        </w:rPr>
      </w:pPr>
      <w:r>
        <w:rPr>
          <w:lang w:val="en-GB"/>
        </w:rPr>
        <w:t>In our view, the definition of demonstration project might be too stringent by only referring to “tec</w:t>
      </w:r>
      <w:r>
        <w:rPr>
          <w:lang w:val="en-GB"/>
        </w:rPr>
        <w:t>h</w:t>
      </w:r>
      <w:r>
        <w:rPr>
          <w:lang w:val="en-GB"/>
        </w:rPr>
        <w:t xml:space="preserve">nology as a first of its kind in the Union”. It should be clarified that more than one demonstration project per technology can be eligible for funding. For example in the cement industry, there are different carbon capture technologies available (e.g. oxy-fuel combustion process, </w:t>
      </w:r>
      <w:proofErr w:type="spellStart"/>
      <w:r>
        <w:rPr>
          <w:lang w:val="en-GB"/>
        </w:rPr>
        <w:t>Leilac</w:t>
      </w:r>
      <w:proofErr w:type="spellEnd"/>
      <w:r>
        <w:rPr>
          <w:lang w:val="en-GB"/>
        </w:rPr>
        <w:t>, Calcium-Looping). However, oxy-fuel installations might work differently under different conditions. A single demonstration project for the oxy-fuel combustion process in an EU cement plant will not be enough to actually demonstrate the full operational applicability across different cement plants.</w:t>
      </w:r>
    </w:p>
    <w:p w:rsidR="00C005A0" w:rsidRDefault="00C005A0" w:rsidP="00C005A0">
      <w:pPr>
        <w:rPr>
          <w:lang w:val="en-GB"/>
        </w:rPr>
      </w:pPr>
    </w:p>
    <w:p w:rsidR="00C005A0" w:rsidRPr="00B33ED1" w:rsidRDefault="00C005A0" w:rsidP="00C005A0">
      <w:pPr>
        <w:rPr>
          <w:i/>
          <w:lang w:val="en-GB"/>
        </w:rPr>
      </w:pPr>
      <w:r w:rsidRPr="00A7788B">
        <w:rPr>
          <w:i/>
          <w:u w:val="single"/>
          <w:lang w:val="en-GB"/>
        </w:rPr>
        <w:t>Paragraph 18 (35) (d)</w:t>
      </w:r>
      <w:r>
        <w:rPr>
          <w:i/>
          <w:lang w:val="en-GB"/>
        </w:rPr>
        <w:t>:</w:t>
      </w:r>
      <w:r w:rsidRPr="00B33ED1">
        <w:rPr>
          <w:i/>
          <w:lang w:val="en-GB"/>
        </w:rPr>
        <w:t xml:space="preserve"> Energy infrastructure – CO</w:t>
      </w:r>
      <w:r w:rsidRPr="00B33ED1">
        <w:rPr>
          <w:i/>
          <w:vertAlign w:val="subscript"/>
          <w:lang w:val="en-GB"/>
        </w:rPr>
        <w:t>2</w:t>
      </w:r>
      <w:r w:rsidRPr="00B33ED1">
        <w:rPr>
          <w:i/>
          <w:lang w:val="en-GB"/>
        </w:rPr>
        <w:t xml:space="preserve"> infrastructure</w:t>
      </w:r>
    </w:p>
    <w:p w:rsidR="00C005A0" w:rsidRDefault="00C005A0" w:rsidP="00C005A0">
      <w:pPr>
        <w:rPr>
          <w:lang w:val="en-GB"/>
        </w:rPr>
      </w:pPr>
      <w:r>
        <w:rPr>
          <w:lang w:val="en-GB"/>
        </w:rPr>
        <w:t xml:space="preserve">We welcome the inclusion of </w:t>
      </w:r>
      <w:r w:rsidRPr="00B33ED1">
        <w:rPr>
          <w:lang w:val="en-GB"/>
        </w:rPr>
        <w:t>CO</w:t>
      </w:r>
      <w:r w:rsidRPr="00B33ED1">
        <w:rPr>
          <w:vertAlign w:val="subscript"/>
          <w:lang w:val="en-GB"/>
        </w:rPr>
        <w:t>2</w:t>
      </w:r>
      <w:r w:rsidRPr="00B33ED1">
        <w:rPr>
          <w:lang w:val="en-GB"/>
        </w:rPr>
        <w:t xml:space="preserve"> </w:t>
      </w:r>
      <w:r>
        <w:rPr>
          <w:lang w:val="en-GB"/>
        </w:rPr>
        <w:t xml:space="preserve">pipelines, </w:t>
      </w:r>
      <w:r w:rsidRPr="00B33ED1">
        <w:rPr>
          <w:lang w:val="en-GB"/>
        </w:rPr>
        <w:t>CO</w:t>
      </w:r>
      <w:r w:rsidRPr="00B33ED1">
        <w:rPr>
          <w:vertAlign w:val="subscript"/>
          <w:lang w:val="en-GB"/>
        </w:rPr>
        <w:t>2</w:t>
      </w:r>
      <w:r w:rsidRPr="00B33ED1">
        <w:rPr>
          <w:lang w:val="en-GB"/>
        </w:rPr>
        <w:t xml:space="preserve"> </w:t>
      </w:r>
      <w:r>
        <w:rPr>
          <w:lang w:val="en-GB"/>
        </w:rPr>
        <w:t xml:space="preserve">liquefaction and buffer storage facilities as well as geological </w:t>
      </w:r>
      <w:r w:rsidRPr="00B33ED1">
        <w:rPr>
          <w:lang w:val="en-GB"/>
        </w:rPr>
        <w:t>CO</w:t>
      </w:r>
      <w:r w:rsidRPr="00B33ED1">
        <w:rPr>
          <w:vertAlign w:val="subscript"/>
          <w:lang w:val="en-GB"/>
        </w:rPr>
        <w:t>2</w:t>
      </w:r>
      <w:r w:rsidRPr="00B33ED1">
        <w:rPr>
          <w:lang w:val="en-GB"/>
        </w:rPr>
        <w:t xml:space="preserve"> </w:t>
      </w:r>
      <w:r>
        <w:rPr>
          <w:lang w:val="en-GB"/>
        </w:rPr>
        <w:t>storage facilities and any support equipment needed as part of the definition on e</w:t>
      </w:r>
      <w:r>
        <w:rPr>
          <w:lang w:val="en-GB"/>
        </w:rPr>
        <w:t>n</w:t>
      </w:r>
      <w:r>
        <w:rPr>
          <w:lang w:val="en-GB"/>
        </w:rPr>
        <w:t xml:space="preserve">ergy infrastructure. Lacking </w:t>
      </w:r>
      <w:r w:rsidRPr="00666CBB">
        <w:rPr>
          <w:lang w:val="en-GB"/>
        </w:rPr>
        <w:t>CO</w:t>
      </w:r>
      <w:r w:rsidRPr="00666CBB">
        <w:rPr>
          <w:vertAlign w:val="subscript"/>
          <w:lang w:val="en-GB"/>
        </w:rPr>
        <w:t>2</w:t>
      </w:r>
      <w:r w:rsidRPr="00666CBB">
        <w:rPr>
          <w:lang w:val="en-GB"/>
        </w:rPr>
        <w:t xml:space="preserve"> </w:t>
      </w:r>
      <w:r>
        <w:rPr>
          <w:lang w:val="en-GB"/>
        </w:rPr>
        <w:t xml:space="preserve">infrastructure today is one of the most pressing </w:t>
      </w:r>
      <w:r w:rsidRPr="00E722AF">
        <w:rPr>
          <w:lang w:val="en-GB"/>
        </w:rPr>
        <w:t>impediments to starting carbon capture projects and</w:t>
      </w:r>
      <w:r>
        <w:rPr>
          <w:lang w:val="en-GB"/>
        </w:rPr>
        <w:t xml:space="preserve"> therefore needs swift and non-bureaucratic support. However, the definition states that only “</w:t>
      </w:r>
      <w:r w:rsidRPr="00666CBB">
        <w:rPr>
          <w:lang w:val="en-GB"/>
        </w:rPr>
        <w:t xml:space="preserve">Assets </w:t>
      </w:r>
      <w:r>
        <w:rPr>
          <w:lang w:val="en-GB"/>
        </w:rPr>
        <w:t>[…]</w:t>
      </w:r>
      <w:r w:rsidRPr="00666CBB">
        <w:rPr>
          <w:lang w:val="en-GB"/>
        </w:rPr>
        <w:t>, which are subject to third party access q</w:t>
      </w:r>
      <w:r>
        <w:rPr>
          <w:lang w:val="en-GB"/>
        </w:rPr>
        <w:t>ualify as energy infrastructure”. Also the definition states that “</w:t>
      </w:r>
      <w:r w:rsidRPr="00CF6F8C">
        <w:rPr>
          <w:lang w:val="en-GB"/>
        </w:rPr>
        <w:t xml:space="preserve">Assets </w:t>
      </w:r>
      <w:r>
        <w:rPr>
          <w:lang w:val="en-GB"/>
        </w:rPr>
        <w:t>[…]</w:t>
      </w:r>
      <w:r w:rsidRPr="00CF6F8C">
        <w:rPr>
          <w:lang w:val="en-GB"/>
        </w:rPr>
        <w:t xml:space="preserve"> which are built for one or a small group of </w:t>
      </w:r>
      <w:r w:rsidRPr="00CF6F8C">
        <w:rPr>
          <w:i/>
          <w:lang w:val="en-GB"/>
        </w:rPr>
        <w:t>ex ante</w:t>
      </w:r>
      <w:r w:rsidRPr="00CF6F8C">
        <w:rPr>
          <w:lang w:val="en-GB"/>
        </w:rPr>
        <w:t xml:space="preserve"> identified users and tailored to their needs (‘dedicated infrastructure’) do not qualify as ene</w:t>
      </w:r>
      <w:r w:rsidRPr="00CF6F8C">
        <w:rPr>
          <w:lang w:val="en-GB"/>
        </w:rPr>
        <w:t>r</w:t>
      </w:r>
      <w:r w:rsidRPr="00CF6F8C">
        <w:rPr>
          <w:lang w:val="en-GB"/>
        </w:rPr>
        <w:t>gy infrastructure.</w:t>
      </w:r>
      <w:r>
        <w:rPr>
          <w:lang w:val="en-GB"/>
        </w:rPr>
        <w:t xml:space="preserve">” We take a very critical view of these restrictions as they might severely slow down or even inhibit the build-up of a usable </w:t>
      </w:r>
      <w:r w:rsidRPr="00666CBB">
        <w:rPr>
          <w:lang w:val="en-GB"/>
        </w:rPr>
        <w:t>CO</w:t>
      </w:r>
      <w:r w:rsidRPr="00666CBB">
        <w:rPr>
          <w:vertAlign w:val="subscript"/>
          <w:lang w:val="en-GB"/>
        </w:rPr>
        <w:t>2</w:t>
      </w:r>
      <w:r w:rsidRPr="00666CBB">
        <w:rPr>
          <w:lang w:val="en-GB"/>
        </w:rPr>
        <w:t xml:space="preserve"> </w:t>
      </w:r>
      <w:r>
        <w:rPr>
          <w:lang w:val="en-GB"/>
        </w:rPr>
        <w:t xml:space="preserve">infrastructure. In particular during the very first stage of </w:t>
      </w:r>
      <w:r w:rsidRPr="00666CBB">
        <w:rPr>
          <w:lang w:val="en-GB"/>
        </w:rPr>
        <w:t>CO</w:t>
      </w:r>
      <w:r w:rsidRPr="00666CBB">
        <w:rPr>
          <w:vertAlign w:val="subscript"/>
          <w:lang w:val="en-GB"/>
        </w:rPr>
        <w:t>2</w:t>
      </w:r>
      <w:r w:rsidRPr="00666CBB">
        <w:rPr>
          <w:lang w:val="en-GB"/>
        </w:rPr>
        <w:t xml:space="preserve"> </w:t>
      </w:r>
      <w:r>
        <w:rPr>
          <w:lang w:val="en-GB"/>
        </w:rPr>
        <w:t>infrastructure development, private projects (e.g. a private pipeline connecting a cement plant and a chemical plant; or a private pipeline connection between a cement plant and a (public) bac</w:t>
      </w:r>
      <w:r>
        <w:rPr>
          <w:lang w:val="en-GB"/>
        </w:rPr>
        <w:t>k</w:t>
      </w:r>
      <w:r>
        <w:rPr>
          <w:lang w:val="en-GB"/>
        </w:rPr>
        <w:lastRenderedPageBreak/>
        <w:t xml:space="preserve">bone </w:t>
      </w:r>
      <w:r w:rsidRPr="00CF6F8C">
        <w:rPr>
          <w:lang w:val="en-GB"/>
        </w:rPr>
        <w:t>CO</w:t>
      </w:r>
      <w:r w:rsidRPr="00CF6F8C">
        <w:rPr>
          <w:vertAlign w:val="subscript"/>
          <w:lang w:val="en-GB"/>
        </w:rPr>
        <w:t>2</w:t>
      </w:r>
      <w:r w:rsidRPr="00CF6F8C">
        <w:rPr>
          <w:lang w:val="en-GB"/>
        </w:rPr>
        <w:t xml:space="preserve"> </w:t>
      </w:r>
      <w:r>
        <w:rPr>
          <w:lang w:val="en-GB"/>
        </w:rPr>
        <w:t xml:space="preserve">pipeline) might play an important role. “Dedicated </w:t>
      </w:r>
      <w:r w:rsidRPr="00CF6F8C">
        <w:rPr>
          <w:lang w:val="en-GB"/>
        </w:rPr>
        <w:t>CO</w:t>
      </w:r>
      <w:r w:rsidRPr="00CF6F8C">
        <w:rPr>
          <w:vertAlign w:val="subscript"/>
          <w:lang w:val="en-GB"/>
        </w:rPr>
        <w:t>2</w:t>
      </w:r>
      <w:r w:rsidRPr="00CF6F8C">
        <w:rPr>
          <w:lang w:val="en-GB"/>
        </w:rPr>
        <w:t xml:space="preserve"> </w:t>
      </w:r>
      <w:r>
        <w:rPr>
          <w:lang w:val="en-GB"/>
        </w:rPr>
        <w:t>infrastructure” should therefore be eligible for funding under the CEEAG in the same way as pipelines offering third-party access.</w:t>
      </w:r>
    </w:p>
    <w:p w:rsidR="00C005A0" w:rsidRDefault="00C005A0" w:rsidP="00C005A0">
      <w:pPr>
        <w:rPr>
          <w:lang w:val="en-GB"/>
        </w:rPr>
      </w:pPr>
    </w:p>
    <w:p w:rsidR="00C005A0" w:rsidRDefault="00C005A0" w:rsidP="00C005A0">
      <w:pPr>
        <w:rPr>
          <w:lang w:val="en-GB"/>
        </w:rPr>
      </w:pPr>
      <w:r>
        <w:rPr>
          <w:lang w:val="en-GB"/>
        </w:rPr>
        <w:t xml:space="preserve">Furthermore, a focus on only pipelines for </w:t>
      </w:r>
      <w:r w:rsidRPr="00CF6F8C">
        <w:rPr>
          <w:lang w:val="en-GB"/>
        </w:rPr>
        <w:t>CO</w:t>
      </w:r>
      <w:r w:rsidRPr="00CF6F8C">
        <w:rPr>
          <w:vertAlign w:val="subscript"/>
          <w:lang w:val="en-GB"/>
        </w:rPr>
        <w:t>2</w:t>
      </w:r>
      <w:r w:rsidRPr="00CF6F8C">
        <w:rPr>
          <w:lang w:val="en-GB"/>
        </w:rPr>
        <w:t xml:space="preserve"> </w:t>
      </w:r>
      <w:r>
        <w:rPr>
          <w:lang w:val="en-GB"/>
        </w:rPr>
        <w:t xml:space="preserve">transport is not sufficient. In the beginning it is likely that </w:t>
      </w:r>
      <w:r w:rsidRPr="00CF6F8C">
        <w:rPr>
          <w:lang w:val="en-GB"/>
        </w:rPr>
        <w:t>CO</w:t>
      </w:r>
      <w:r w:rsidRPr="00CF6F8C">
        <w:rPr>
          <w:vertAlign w:val="subscript"/>
          <w:lang w:val="en-GB"/>
        </w:rPr>
        <w:t>2</w:t>
      </w:r>
      <w:r w:rsidRPr="00CF6F8C">
        <w:rPr>
          <w:lang w:val="en-GB"/>
        </w:rPr>
        <w:t xml:space="preserve"> </w:t>
      </w:r>
      <w:r>
        <w:rPr>
          <w:lang w:val="en-GB"/>
        </w:rPr>
        <w:t>transport will take place by other means such as ships, trains, trucks or similar. The CEEAG should take this into account in order to effectively support new CCUS value chains.</w:t>
      </w:r>
    </w:p>
    <w:p w:rsidR="00C005A0" w:rsidRDefault="00C005A0" w:rsidP="00C005A0">
      <w:pPr>
        <w:rPr>
          <w:lang w:val="en-GB"/>
        </w:rPr>
      </w:pPr>
    </w:p>
    <w:p w:rsidR="00C005A0" w:rsidRDefault="00C005A0" w:rsidP="00C005A0">
      <w:pPr>
        <w:rPr>
          <w:lang w:val="en-GB"/>
        </w:rPr>
      </w:pPr>
      <w:r>
        <w:rPr>
          <w:lang w:val="en-GB"/>
        </w:rPr>
        <w:t>The definitions of CCS, CCU and energy infrastructures for CO</w:t>
      </w:r>
      <w:r w:rsidRPr="001D3379">
        <w:rPr>
          <w:vertAlign w:val="subscript"/>
          <w:lang w:val="en-GB"/>
        </w:rPr>
        <w:t>2</w:t>
      </w:r>
      <w:r>
        <w:rPr>
          <w:lang w:val="en-GB"/>
        </w:rPr>
        <w:t xml:space="preserve"> should be aligned in their wording in order to prevent ambiguities.</w:t>
      </w:r>
    </w:p>
    <w:p w:rsidR="00C005A0" w:rsidRDefault="00C005A0" w:rsidP="00C005A0">
      <w:pPr>
        <w:rPr>
          <w:lang w:val="en-GB"/>
        </w:rPr>
      </w:pPr>
    </w:p>
    <w:p w:rsidR="00C005A0" w:rsidRDefault="00C005A0" w:rsidP="00C005A0">
      <w:pPr>
        <w:rPr>
          <w:b/>
          <w:lang w:val="en-GB"/>
        </w:rPr>
      </w:pPr>
      <w:r>
        <w:rPr>
          <w:b/>
          <w:lang w:val="en-GB"/>
        </w:rPr>
        <w:t>Chapter 3.2.2 Avoidance of undue negative effects on competition and trade</w:t>
      </w:r>
    </w:p>
    <w:p w:rsidR="00C005A0" w:rsidRDefault="00C005A0" w:rsidP="00C005A0">
      <w:pPr>
        <w:rPr>
          <w:lang w:val="en-GB"/>
        </w:rPr>
      </w:pPr>
    </w:p>
    <w:p w:rsidR="00C005A0" w:rsidRPr="00A7788B" w:rsidRDefault="00C005A0" w:rsidP="00C005A0">
      <w:pPr>
        <w:rPr>
          <w:lang w:val="en-GB"/>
        </w:rPr>
      </w:pPr>
      <w:r w:rsidRPr="00A7788B">
        <w:rPr>
          <w:u w:val="single"/>
          <w:lang w:val="en-GB"/>
        </w:rPr>
        <w:t>Paragraph 62</w:t>
      </w:r>
      <w:r>
        <w:rPr>
          <w:lang w:val="en-GB"/>
        </w:rPr>
        <w:t xml:space="preserve"> states that “</w:t>
      </w:r>
      <w:r w:rsidRPr="00A7788B">
        <w:rPr>
          <w:lang w:val="en-GB"/>
        </w:rPr>
        <w:t>By its very nature, any aid measure will generate distortions of competition and have an effect on trade between Member States as it reinforces the competitive position of the beneficiaries</w:t>
      </w:r>
      <w:r>
        <w:rPr>
          <w:lang w:val="en-GB"/>
        </w:rPr>
        <w:t>”. We strongly oppose this statement. Aid measures are often introduced only to allev</w:t>
      </w:r>
      <w:r>
        <w:rPr>
          <w:lang w:val="en-GB"/>
        </w:rPr>
        <w:t>i</w:t>
      </w:r>
      <w:r>
        <w:rPr>
          <w:lang w:val="en-GB"/>
        </w:rPr>
        <w:t>ate nationally introduced cost burdens that competitors in other EU member states do not have to bear. In such cases, the aid measure actually contributes to the restoration of a level playing field that would otherwise not exist. In particular with a view to electricity levies and chapter 4.11 we ask the Commission to consider a paradigm shift in this very much simplified assessment of the nature of state aid. In the same way the Commission makes sure aid does not result in any negative effect on competition and trade, it should also prevent competition distortions within the EU single market due to the absence of aid.</w:t>
      </w:r>
    </w:p>
    <w:p w:rsidR="00C005A0" w:rsidRDefault="00C005A0" w:rsidP="00C005A0">
      <w:pPr>
        <w:rPr>
          <w:lang w:val="en-GB"/>
        </w:rPr>
      </w:pPr>
    </w:p>
    <w:p w:rsidR="00C005A0" w:rsidRPr="00657B0E" w:rsidRDefault="00C005A0" w:rsidP="00C005A0">
      <w:pPr>
        <w:rPr>
          <w:b/>
          <w:lang w:val="en-GB"/>
        </w:rPr>
      </w:pPr>
      <w:r w:rsidRPr="00657B0E">
        <w:rPr>
          <w:b/>
          <w:lang w:val="en-GB"/>
        </w:rPr>
        <w:t xml:space="preserve">Chapter 3.3 </w:t>
      </w:r>
      <w:proofErr w:type="gramStart"/>
      <w:r w:rsidRPr="00657B0E">
        <w:rPr>
          <w:b/>
          <w:lang w:val="en-GB"/>
        </w:rPr>
        <w:t>Weighing</w:t>
      </w:r>
      <w:proofErr w:type="gramEnd"/>
      <w:r w:rsidRPr="00657B0E">
        <w:rPr>
          <w:b/>
          <w:lang w:val="en-GB"/>
        </w:rPr>
        <w:t xml:space="preserve"> the positive effects of the aid against the negative effects on compet</w:t>
      </w:r>
      <w:r w:rsidRPr="00657B0E">
        <w:rPr>
          <w:b/>
          <w:lang w:val="en-GB"/>
        </w:rPr>
        <w:t>i</w:t>
      </w:r>
      <w:r w:rsidRPr="00657B0E">
        <w:rPr>
          <w:b/>
          <w:lang w:val="en-GB"/>
        </w:rPr>
        <w:t>tion and trade</w:t>
      </w:r>
    </w:p>
    <w:p w:rsidR="00C005A0" w:rsidRDefault="00C005A0" w:rsidP="00C005A0">
      <w:pPr>
        <w:rPr>
          <w:lang w:val="en-GB"/>
        </w:rPr>
      </w:pPr>
    </w:p>
    <w:p w:rsidR="00C005A0" w:rsidRDefault="00C005A0" w:rsidP="00C005A0">
      <w:pPr>
        <w:rPr>
          <w:lang w:val="en-GB"/>
        </w:rPr>
      </w:pPr>
      <w:r w:rsidRPr="00657B0E">
        <w:rPr>
          <w:u w:val="single"/>
          <w:lang w:val="en-GB"/>
        </w:rPr>
        <w:t>Paragraph 68</w:t>
      </w:r>
      <w:r>
        <w:rPr>
          <w:lang w:val="en-GB"/>
        </w:rPr>
        <w:t xml:space="preserve"> makes reference to the European Climate Law against which state aid decisions have to be benchmarked. Similarly, we ask the Commission to also refer to the EU industrial strategy which is also part of the Green Deal. Meaningful climate protection can only succeed if at the same time industrial production is kept inside the EU</w:t>
      </w:r>
      <w:r w:rsidR="008E06DF">
        <w:rPr>
          <w:lang w:val="en-GB"/>
        </w:rPr>
        <w:t xml:space="preserve"> and functioning local industrial value chains are not disrupted</w:t>
      </w:r>
      <w:r>
        <w:rPr>
          <w:lang w:val="en-GB"/>
        </w:rPr>
        <w:t>.</w:t>
      </w:r>
    </w:p>
    <w:p w:rsidR="00C005A0" w:rsidRDefault="00C005A0" w:rsidP="00C005A0">
      <w:pPr>
        <w:rPr>
          <w:u w:val="single"/>
          <w:lang w:val="en-GB"/>
        </w:rPr>
      </w:pPr>
    </w:p>
    <w:p w:rsidR="00C005A0" w:rsidRDefault="00C005A0" w:rsidP="00C005A0">
      <w:pPr>
        <w:rPr>
          <w:lang w:val="en-GB"/>
        </w:rPr>
      </w:pPr>
      <w:r w:rsidRPr="00005288">
        <w:rPr>
          <w:u w:val="single"/>
          <w:lang w:val="en-GB"/>
        </w:rPr>
        <w:t>Paragraph 69</w:t>
      </w:r>
      <w:r>
        <w:rPr>
          <w:lang w:val="en-GB"/>
        </w:rPr>
        <w:t xml:space="preserve"> makes reference to the recently introduced EU taxonomy on economic activities. We </w:t>
      </w:r>
      <w:r w:rsidR="008E06DF">
        <w:rPr>
          <w:lang w:val="en-GB"/>
        </w:rPr>
        <w:t xml:space="preserve">are concerned </w:t>
      </w:r>
      <w:r>
        <w:rPr>
          <w:lang w:val="en-GB"/>
        </w:rPr>
        <w:t xml:space="preserve">that this taxonomy reduces very complex industrial processes and value chains to only a few selected technical screening criteria. In establishing these criteria industrial expertise has </w:t>
      </w:r>
      <w:r w:rsidR="008E06DF">
        <w:rPr>
          <w:lang w:val="en-GB"/>
        </w:rPr>
        <w:t xml:space="preserve">deliberately </w:t>
      </w:r>
      <w:r>
        <w:rPr>
          <w:lang w:val="en-GB"/>
        </w:rPr>
        <w:t xml:space="preserve">been taken into account only to a limited extent. </w:t>
      </w:r>
      <w:r w:rsidR="008E06DF">
        <w:rPr>
          <w:lang w:val="en-GB"/>
        </w:rPr>
        <w:t xml:space="preserve">Instead, the taxonomy is a project mainly driven by financial institutions with no industrial background. </w:t>
      </w:r>
      <w:r>
        <w:rPr>
          <w:lang w:val="en-GB"/>
        </w:rPr>
        <w:t xml:space="preserve">Furthermore, various industry sectors </w:t>
      </w:r>
      <w:r w:rsidR="008E06DF">
        <w:rPr>
          <w:lang w:val="en-GB"/>
        </w:rPr>
        <w:t xml:space="preserve">are affected by this new regulation, yet they are </w:t>
      </w:r>
      <w:r>
        <w:rPr>
          <w:lang w:val="en-GB"/>
        </w:rPr>
        <w:t>not represented in the EU platform on su</w:t>
      </w:r>
      <w:r>
        <w:rPr>
          <w:lang w:val="en-GB"/>
        </w:rPr>
        <w:t>s</w:t>
      </w:r>
      <w:r>
        <w:rPr>
          <w:lang w:val="en-GB"/>
        </w:rPr>
        <w:t>tainable finance. The significance of the technical screening criteria for the actual environmental performance of economic activities therefore is rather limited from our perspective.</w:t>
      </w:r>
    </w:p>
    <w:p w:rsidR="00C005A0" w:rsidRDefault="00C005A0" w:rsidP="00C005A0">
      <w:pPr>
        <w:spacing w:after="200" w:line="276" w:lineRule="auto"/>
        <w:ind w:right="0"/>
        <w:rPr>
          <w:lang w:val="en-GB"/>
        </w:rPr>
      </w:pPr>
      <w:r>
        <w:rPr>
          <w:lang w:val="en-GB"/>
        </w:rPr>
        <w:br w:type="page"/>
      </w:r>
    </w:p>
    <w:p w:rsidR="00C005A0" w:rsidRPr="00B73284" w:rsidRDefault="00C005A0" w:rsidP="00C005A0">
      <w:pPr>
        <w:rPr>
          <w:b/>
          <w:lang w:val="en-GB"/>
        </w:rPr>
      </w:pPr>
      <w:r w:rsidRPr="00B73284">
        <w:rPr>
          <w:b/>
          <w:lang w:val="en-GB"/>
        </w:rPr>
        <w:lastRenderedPageBreak/>
        <w:t>Chapter 4.1 Aid for the reduction and removal of greenhouse gas emissions including through support for renewable energy</w:t>
      </w:r>
    </w:p>
    <w:p w:rsidR="00C005A0" w:rsidRDefault="00C005A0" w:rsidP="00C005A0">
      <w:pPr>
        <w:rPr>
          <w:lang w:val="en-GB"/>
        </w:rPr>
      </w:pPr>
    </w:p>
    <w:p w:rsidR="00C005A0" w:rsidRDefault="00C005A0" w:rsidP="00C005A0">
      <w:pPr>
        <w:rPr>
          <w:lang w:val="en-GB"/>
        </w:rPr>
      </w:pPr>
      <w:r>
        <w:rPr>
          <w:lang w:val="en-GB"/>
        </w:rPr>
        <w:t xml:space="preserve">We welcome the focus of chapter 4.1 on </w:t>
      </w:r>
      <w:r w:rsidR="008E06DF">
        <w:rPr>
          <w:lang w:val="en-GB"/>
        </w:rPr>
        <w:t xml:space="preserve">decarbonisation technologies, including </w:t>
      </w:r>
      <w:r>
        <w:rPr>
          <w:lang w:val="en-GB"/>
        </w:rPr>
        <w:t>(amongst others) carbon capture, storage and use (</w:t>
      </w:r>
      <w:r w:rsidRPr="00DB4867">
        <w:rPr>
          <w:u w:val="single"/>
          <w:lang w:val="en-GB"/>
        </w:rPr>
        <w:t>paragraph 74</w:t>
      </w:r>
      <w:r>
        <w:rPr>
          <w:lang w:val="en-GB"/>
        </w:rPr>
        <w:t xml:space="preserve">) </w:t>
      </w:r>
      <w:r w:rsidR="008E06DF">
        <w:rPr>
          <w:lang w:val="en-GB"/>
        </w:rPr>
        <w:t xml:space="preserve">and </w:t>
      </w:r>
      <w:r>
        <w:rPr>
          <w:lang w:val="en-GB"/>
        </w:rPr>
        <w:t xml:space="preserve">dedicated infrastructure for </w:t>
      </w:r>
      <w:r w:rsidRPr="00DB4867">
        <w:rPr>
          <w:lang w:val="en-GB"/>
        </w:rPr>
        <w:t>CO</w:t>
      </w:r>
      <w:r w:rsidRPr="00DB4867">
        <w:rPr>
          <w:vertAlign w:val="subscript"/>
          <w:lang w:val="en-GB"/>
        </w:rPr>
        <w:t>2</w:t>
      </w:r>
      <w:r w:rsidRPr="00DB4867">
        <w:rPr>
          <w:lang w:val="en-GB"/>
        </w:rPr>
        <w:t xml:space="preserve"> </w:t>
      </w:r>
      <w:r>
        <w:rPr>
          <w:lang w:val="en-GB"/>
        </w:rPr>
        <w:t>transport (</w:t>
      </w:r>
      <w:r w:rsidRPr="00DB4867">
        <w:rPr>
          <w:u w:val="single"/>
          <w:lang w:val="en-GB"/>
        </w:rPr>
        <w:t>pa</w:t>
      </w:r>
      <w:r w:rsidRPr="00DB4867">
        <w:rPr>
          <w:u w:val="single"/>
          <w:lang w:val="en-GB"/>
        </w:rPr>
        <w:t>r</w:t>
      </w:r>
      <w:r w:rsidRPr="00DB4867">
        <w:rPr>
          <w:u w:val="single"/>
          <w:lang w:val="en-GB"/>
        </w:rPr>
        <w:t>agraph 75</w:t>
      </w:r>
      <w:r>
        <w:rPr>
          <w:lang w:val="en-GB"/>
        </w:rPr>
        <w:t>). Also, we welcome the proposed higher degree of flexibility given to member states in demonstrating the necessity and appropriateness of aid for decarbonisation (</w:t>
      </w:r>
      <w:r w:rsidRPr="001B23DA">
        <w:rPr>
          <w:lang w:val="en-GB"/>
        </w:rPr>
        <w:t>chapters 4.1.3.1 and 4.1.3.2</w:t>
      </w:r>
      <w:r>
        <w:rPr>
          <w:lang w:val="en-GB"/>
        </w:rPr>
        <w:t xml:space="preserve">). Regarding </w:t>
      </w:r>
      <w:r w:rsidRPr="001B23DA">
        <w:rPr>
          <w:u w:val="single"/>
          <w:lang w:val="en-GB"/>
        </w:rPr>
        <w:t>paragraph 85</w:t>
      </w:r>
      <w:r>
        <w:rPr>
          <w:lang w:val="en-GB"/>
        </w:rPr>
        <w:t xml:space="preserve">, however, it should be made clear that any estimates of costs per ton of </w:t>
      </w:r>
      <w:r w:rsidRPr="001B23DA">
        <w:rPr>
          <w:lang w:val="en-GB"/>
        </w:rPr>
        <w:t>CO</w:t>
      </w:r>
      <w:r w:rsidRPr="001B23DA">
        <w:rPr>
          <w:vertAlign w:val="subscript"/>
          <w:lang w:val="en-GB"/>
        </w:rPr>
        <w:t>2</w:t>
      </w:r>
      <w:r w:rsidRPr="001B23DA">
        <w:rPr>
          <w:lang w:val="en-GB"/>
        </w:rPr>
        <w:t xml:space="preserve"> </w:t>
      </w:r>
      <w:r>
        <w:rPr>
          <w:lang w:val="en-GB"/>
        </w:rPr>
        <w:t>avoided will be provisional at the time of the public consultation. In general we ask the Commission to treat the results from such public consultations with prudence. We are committed to an open and constructive dialogue with society on the necessity, costs, opportunities and risks of decarbonisation technologies. Practical experience e.g. from the expansion of renewable energy has, however, shown that there are often societal reservations against new technologies or infr</w:t>
      </w:r>
      <w:r>
        <w:rPr>
          <w:lang w:val="en-GB"/>
        </w:rPr>
        <w:t>a</w:t>
      </w:r>
      <w:r>
        <w:rPr>
          <w:lang w:val="en-GB"/>
        </w:rPr>
        <w:t>structures.</w:t>
      </w:r>
    </w:p>
    <w:p w:rsidR="00C005A0" w:rsidRDefault="00C005A0" w:rsidP="00C005A0">
      <w:pPr>
        <w:rPr>
          <w:lang w:val="en-GB"/>
        </w:rPr>
      </w:pPr>
    </w:p>
    <w:p w:rsidR="00C005A0" w:rsidRDefault="00C005A0" w:rsidP="00C005A0">
      <w:pPr>
        <w:rPr>
          <w:lang w:val="en-GB"/>
        </w:rPr>
      </w:pPr>
      <w:r w:rsidRPr="00E27A03">
        <w:rPr>
          <w:u w:val="single"/>
          <w:lang w:val="en-GB"/>
        </w:rPr>
        <w:t>Paragraph 89</w:t>
      </w:r>
      <w:r>
        <w:rPr>
          <w:lang w:val="en-GB"/>
        </w:rPr>
        <w:t xml:space="preserve"> states that aid “should in general be granted through a competitive bidding process”. While this requirement is understandable from a cost efficiency perspective it might not be suited for the selection of breakthrough demonstration projects – in particular not at the beginning of a funding programme. </w:t>
      </w:r>
      <w:r w:rsidRPr="00E27A03">
        <w:rPr>
          <w:i/>
          <w:lang w:val="en-GB"/>
        </w:rPr>
        <w:t>First</w:t>
      </w:r>
      <w:r>
        <w:rPr>
          <w:lang w:val="en-GB"/>
        </w:rPr>
        <w:t xml:space="preserve">, different technologies in different sectors have different </w:t>
      </w:r>
      <w:r w:rsidRPr="003F1D8E">
        <w:rPr>
          <w:lang w:val="en-GB"/>
        </w:rPr>
        <w:t>CO</w:t>
      </w:r>
      <w:r w:rsidRPr="003F1D8E">
        <w:rPr>
          <w:vertAlign w:val="subscript"/>
          <w:lang w:val="en-GB"/>
        </w:rPr>
        <w:t>2</w:t>
      </w:r>
      <w:r>
        <w:rPr>
          <w:lang w:val="en-GB"/>
        </w:rPr>
        <w:t xml:space="preserve"> abatement costs. A cross-sector cross-technology bidding process for funding might result in the most cost-efficient technology being awarded the funding. However, we do not have the time to develop </w:t>
      </w:r>
      <w:r w:rsidR="008E06DF">
        <w:rPr>
          <w:lang w:val="en-GB"/>
        </w:rPr>
        <w:t>decarbonis</w:t>
      </w:r>
      <w:r w:rsidR="008E06DF">
        <w:rPr>
          <w:lang w:val="en-GB"/>
        </w:rPr>
        <w:t>a</w:t>
      </w:r>
      <w:r w:rsidR="008E06DF">
        <w:rPr>
          <w:lang w:val="en-GB"/>
        </w:rPr>
        <w:t>tion</w:t>
      </w:r>
      <w:r>
        <w:rPr>
          <w:lang w:val="en-GB"/>
        </w:rPr>
        <w:t xml:space="preserve"> technologies one at a time – they need to be developed in parallel and as soon as possible. </w:t>
      </w:r>
      <w:r w:rsidR="008E06DF">
        <w:rPr>
          <w:lang w:val="en-GB"/>
        </w:rPr>
        <w:t>Therefore</w:t>
      </w:r>
      <w:r>
        <w:rPr>
          <w:lang w:val="en-GB"/>
        </w:rPr>
        <w:t xml:space="preserve">, technology- and sector-specific bidding processes are more reasonable – even though they might be less competitive. </w:t>
      </w:r>
      <w:r w:rsidRPr="00E27A03">
        <w:rPr>
          <w:i/>
          <w:lang w:val="en-GB"/>
        </w:rPr>
        <w:t>Second</w:t>
      </w:r>
      <w:r>
        <w:rPr>
          <w:lang w:val="en-GB"/>
        </w:rPr>
        <w:t>, the very nature of breakthrough technologies means that many of the potential caveats and defining criteria for such projects cannot be known ex ante. Therefore, the CEEAG should allow for a pilot phase of individual project-specific public-private funding contracts enabling the necessary flexibility. Based on the experience gathered from this pilot phase, a transition to tenders might be possible.</w:t>
      </w:r>
    </w:p>
    <w:p w:rsidR="00C005A0" w:rsidRDefault="00C005A0" w:rsidP="00C005A0">
      <w:pPr>
        <w:rPr>
          <w:lang w:val="en-GB"/>
        </w:rPr>
      </w:pPr>
    </w:p>
    <w:p w:rsidR="00C005A0" w:rsidRDefault="00C005A0" w:rsidP="00C005A0">
      <w:pPr>
        <w:rPr>
          <w:lang w:val="en-GB"/>
        </w:rPr>
      </w:pPr>
      <w:r>
        <w:rPr>
          <w:lang w:val="en-GB"/>
        </w:rPr>
        <w:t xml:space="preserve">We consider the rules for dedicated infrastructures in </w:t>
      </w:r>
      <w:r w:rsidRPr="00377AD1">
        <w:rPr>
          <w:u w:val="single"/>
          <w:lang w:val="en-GB"/>
        </w:rPr>
        <w:t>paragraphs 105 and 106</w:t>
      </w:r>
      <w:r>
        <w:rPr>
          <w:lang w:val="en-GB"/>
        </w:rPr>
        <w:t xml:space="preserve"> reasonable in that they allow for </w:t>
      </w:r>
      <w:r w:rsidRPr="00377AD1">
        <w:rPr>
          <w:lang w:val="en-GB"/>
        </w:rPr>
        <w:t>CO</w:t>
      </w:r>
      <w:r w:rsidRPr="00377AD1">
        <w:rPr>
          <w:vertAlign w:val="subscript"/>
          <w:lang w:val="en-GB"/>
        </w:rPr>
        <w:t>2</w:t>
      </w:r>
      <w:r w:rsidRPr="00377AD1">
        <w:rPr>
          <w:lang w:val="en-GB"/>
        </w:rPr>
        <w:t xml:space="preserve"> </w:t>
      </w:r>
      <w:r>
        <w:rPr>
          <w:lang w:val="en-GB"/>
        </w:rPr>
        <w:t>infrastructures to be developed exclusively in the beginning with a view to ope</w:t>
      </w:r>
      <w:r>
        <w:rPr>
          <w:lang w:val="en-GB"/>
        </w:rPr>
        <w:t>n</w:t>
      </w:r>
      <w:r>
        <w:rPr>
          <w:lang w:val="en-GB"/>
        </w:rPr>
        <w:t xml:space="preserve">ing them up to third parties in the long run. As said before on the definition of energy infrastructures: Exclusive </w:t>
      </w:r>
      <w:r w:rsidRPr="00377AD1">
        <w:rPr>
          <w:lang w:val="en-GB"/>
        </w:rPr>
        <w:t>CO</w:t>
      </w:r>
      <w:r w:rsidRPr="00377AD1">
        <w:rPr>
          <w:vertAlign w:val="subscript"/>
          <w:lang w:val="en-GB"/>
        </w:rPr>
        <w:t>2</w:t>
      </w:r>
      <w:r w:rsidRPr="00377AD1">
        <w:rPr>
          <w:lang w:val="en-GB"/>
        </w:rPr>
        <w:t xml:space="preserve"> </w:t>
      </w:r>
      <w:r>
        <w:rPr>
          <w:lang w:val="en-GB"/>
        </w:rPr>
        <w:t>infrastructure, that does not allow third party access, must still be eligible for funding – at least in the ramp-up phase of such infrastructure – in order not to stall private initiatives.</w:t>
      </w:r>
    </w:p>
    <w:p w:rsidR="00C005A0" w:rsidRDefault="00C005A0" w:rsidP="00C005A0">
      <w:pPr>
        <w:rPr>
          <w:lang w:val="en-GB"/>
        </w:rPr>
      </w:pPr>
    </w:p>
    <w:p w:rsidR="00C005A0" w:rsidRDefault="00C005A0" w:rsidP="00C005A0">
      <w:pPr>
        <w:rPr>
          <w:lang w:val="en-GB"/>
        </w:rPr>
      </w:pPr>
      <w:r>
        <w:rPr>
          <w:lang w:val="en-GB"/>
        </w:rPr>
        <w:t xml:space="preserve">“Dedicated infrastructure” is not clearly defined in the draft CEEAG. In our view, this should include all means of transport for </w:t>
      </w:r>
      <w:r w:rsidRPr="002646D9">
        <w:rPr>
          <w:lang w:val="en-GB"/>
        </w:rPr>
        <w:t>CO</w:t>
      </w:r>
      <w:r w:rsidRPr="002646D9">
        <w:rPr>
          <w:vertAlign w:val="subscript"/>
          <w:lang w:val="en-GB"/>
        </w:rPr>
        <w:t>2</w:t>
      </w:r>
      <w:r>
        <w:rPr>
          <w:lang w:val="en-GB"/>
        </w:rPr>
        <w:t xml:space="preserve">, including pipelines, trucks, trains and ships. The latter transport modes might play an important role in developing CCUS value chains especially in the next ten years. The build-up of a </w:t>
      </w:r>
      <w:r w:rsidRPr="002646D9">
        <w:rPr>
          <w:lang w:val="en-GB"/>
        </w:rPr>
        <w:t>CO</w:t>
      </w:r>
      <w:r w:rsidRPr="002646D9">
        <w:rPr>
          <w:vertAlign w:val="subscript"/>
          <w:lang w:val="en-GB"/>
        </w:rPr>
        <w:t>2</w:t>
      </w:r>
      <w:r w:rsidRPr="002646D9">
        <w:rPr>
          <w:lang w:val="en-GB"/>
        </w:rPr>
        <w:t xml:space="preserve"> </w:t>
      </w:r>
      <w:r>
        <w:rPr>
          <w:lang w:val="en-GB"/>
        </w:rPr>
        <w:t xml:space="preserve">pipeline network is expected to be the second step once the </w:t>
      </w:r>
      <w:r w:rsidRPr="002646D9">
        <w:rPr>
          <w:lang w:val="en-GB"/>
        </w:rPr>
        <w:t>CO</w:t>
      </w:r>
      <w:r w:rsidRPr="002646D9">
        <w:rPr>
          <w:vertAlign w:val="subscript"/>
          <w:lang w:val="en-GB"/>
        </w:rPr>
        <w:t>2</w:t>
      </w:r>
      <w:r w:rsidRPr="002646D9">
        <w:rPr>
          <w:lang w:val="en-GB"/>
        </w:rPr>
        <w:t xml:space="preserve"> </w:t>
      </w:r>
      <w:r>
        <w:rPr>
          <w:lang w:val="en-GB"/>
        </w:rPr>
        <w:t>sources and sinks are better known.</w:t>
      </w:r>
    </w:p>
    <w:p w:rsidR="00C005A0" w:rsidRDefault="00C005A0" w:rsidP="00C005A0">
      <w:pPr>
        <w:rPr>
          <w:lang w:val="en-GB"/>
        </w:rPr>
      </w:pPr>
    </w:p>
    <w:p w:rsidR="00C005A0" w:rsidRPr="00377AD1" w:rsidRDefault="00C005A0" w:rsidP="00C005A0">
      <w:pPr>
        <w:rPr>
          <w:lang w:val="en-GB"/>
        </w:rPr>
      </w:pPr>
      <w:r>
        <w:rPr>
          <w:lang w:val="en-GB"/>
        </w:rPr>
        <w:t>In general, chapter 4.1 is not clear on which costs of projects are eligible for funding. In our view, it is indispensable that both capital expenditure (CAPEX) and operating costs (OPEX) of decarbonisation projects can be funded under chapter 4.1. This should be clarified.</w:t>
      </w:r>
    </w:p>
    <w:p w:rsidR="00C005A0" w:rsidRDefault="00C005A0" w:rsidP="00C005A0">
      <w:pPr>
        <w:spacing w:after="200" w:line="276" w:lineRule="auto"/>
        <w:ind w:right="0"/>
        <w:rPr>
          <w:b/>
          <w:lang w:val="en-GB"/>
        </w:rPr>
      </w:pPr>
      <w:r>
        <w:rPr>
          <w:b/>
          <w:lang w:val="en-GB"/>
        </w:rPr>
        <w:br w:type="page"/>
      </w:r>
    </w:p>
    <w:p w:rsidR="00C005A0" w:rsidRPr="00511250" w:rsidRDefault="00C005A0" w:rsidP="00C005A0">
      <w:pPr>
        <w:rPr>
          <w:b/>
          <w:lang w:val="en-GB"/>
        </w:rPr>
      </w:pPr>
      <w:r w:rsidRPr="00511250">
        <w:rPr>
          <w:b/>
          <w:lang w:val="en-GB"/>
        </w:rPr>
        <w:lastRenderedPageBreak/>
        <w:t>Chapter 4.2 Aid for the improvement of the energy and environmental performance of buil</w:t>
      </w:r>
      <w:r w:rsidRPr="00511250">
        <w:rPr>
          <w:b/>
          <w:lang w:val="en-GB"/>
        </w:rPr>
        <w:t>d</w:t>
      </w:r>
      <w:r w:rsidRPr="00511250">
        <w:rPr>
          <w:b/>
          <w:lang w:val="en-GB"/>
        </w:rPr>
        <w:t>ings</w:t>
      </w:r>
    </w:p>
    <w:p w:rsidR="00C005A0" w:rsidRDefault="00C005A0" w:rsidP="00C005A0">
      <w:pPr>
        <w:rPr>
          <w:lang w:val="en-GB"/>
        </w:rPr>
      </w:pPr>
    </w:p>
    <w:p w:rsidR="00C74B94" w:rsidRDefault="00C74B94" w:rsidP="00C74B94">
      <w:pPr>
        <w:rPr>
          <w:lang w:val="en-GB"/>
        </w:rPr>
      </w:pPr>
      <w:r>
        <w:rPr>
          <w:lang w:val="en-GB"/>
        </w:rPr>
        <w:t xml:space="preserve">In general, national or regional funding programs for energy efficiency in buildings have no impact on competition on the EU internal market as long as they are designed in a technology-neutral way. Against this background, they do not qualify as state aid in the meaning of Art. </w:t>
      </w:r>
      <w:proofErr w:type="gramStart"/>
      <w:r>
        <w:rPr>
          <w:lang w:val="en-GB"/>
        </w:rPr>
        <w:t>107 (1) TFEU.</w:t>
      </w:r>
      <w:proofErr w:type="gramEnd"/>
      <w:r>
        <w:rPr>
          <w:lang w:val="en-GB"/>
        </w:rPr>
        <w:t xml:space="preserve"> The building sector should therefore not be covered by the CEEAG. Should the Commission deem that European rules on energy efficiency in the building sector are needed, these rules should be laid down in the appropriate directives, namely the </w:t>
      </w:r>
      <w:r w:rsidRPr="00C74B94">
        <w:rPr>
          <w:lang w:val="en-GB"/>
        </w:rPr>
        <w:t>Directive on the Energy Performance of Buildings</w:t>
      </w:r>
      <w:r>
        <w:rPr>
          <w:lang w:val="en-GB"/>
        </w:rPr>
        <w:t xml:space="preserve"> and the </w:t>
      </w:r>
      <w:proofErr w:type="spellStart"/>
      <w:r>
        <w:rPr>
          <w:lang w:val="en-GB"/>
        </w:rPr>
        <w:t>Energie</w:t>
      </w:r>
      <w:proofErr w:type="spellEnd"/>
      <w:r>
        <w:rPr>
          <w:lang w:val="en-GB"/>
        </w:rPr>
        <w:t xml:space="preserve"> Efficiency Directive.</w:t>
      </w:r>
    </w:p>
    <w:p w:rsidR="00C74B94" w:rsidRDefault="00C74B94" w:rsidP="00C005A0">
      <w:pPr>
        <w:rPr>
          <w:lang w:val="en-GB"/>
        </w:rPr>
      </w:pPr>
    </w:p>
    <w:p w:rsidR="00056E45" w:rsidRPr="00056E45" w:rsidRDefault="00056E45" w:rsidP="00C005A0">
      <w:pPr>
        <w:rPr>
          <w:i/>
          <w:lang w:val="en-GB"/>
        </w:rPr>
      </w:pPr>
      <w:r w:rsidRPr="00056E45">
        <w:rPr>
          <w:i/>
          <w:lang w:val="en-GB"/>
        </w:rPr>
        <w:t>4.2.2 Scope and supported activities</w:t>
      </w:r>
    </w:p>
    <w:p w:rsidR="00794C8E" w:rsidRDefault="00C005A0" w:rsidP="00C005A0">
      <w:pPr>
        <w:rPr>
          <w:lang w:val="en-GB"/>
        </w:rPr>
      </w:pPr>
      <w:r>
        <w:rPr>
          <w:lang w:val="en-GB"/>
        </w:rPr>
        <w:t>We welcome</w:t>
      </w:r>
      <w:r w:rsidRPr="002646D9">
        <w:rPr>
          <w:lang w:val="en-GB"/>
        </w:rPr>
        <w:t xml:space="preserve"> the </w:t>
      </w:r>
      <w:r w:rsidR="00056E45">
        <w:rPr>
          <w:lang w:val="en-GB"/>
        </w:rPr>
        <w:t xml:space="preserve">intention of the Commission to support the energy efficiency of buildings </w:t>
      </w:r>
      <w:r w:rsidR="00794C8E">
        <w:rPr>
          <w:lang w:val="en-GB"/>
        </w:rPr>
        <w:t>(</w:t>
      </w:r>
      <w:r w:rsidR="00794C8E" w:rsidRPr="00794C8E">
        <w:rPr>
          <w:u w:val="single"/>
          <w:lang w:val="en-GB"/>
        </w:rPr>
        <w:t>par</w:t>
      </w:r>
      <w:r w:rsidR="00794C8E" w:rsidRPr="00794C8E">
        <w:rPr>
          <w:u w:val="single"/>
          <w:lang w:val="en-GB"/>
        </w:rPr>
        <w:t>a</w:t>
      </w:r>
      <w:r w:rsidR="00794C8E" w:rsidRPr="00794C8E">
        <w:rPr>
          <w:u w:val="single"/>
          <w:lang w:val="en-GB"/>
        </w:rPr>
        <w:t>graph 115</w:t>
      </w:r>
      <w:r w:rsidR="00794C8E">
        <w:rPr>
          <w:lang w:val="en-GB"/>
        </w:rPr>
        <w:t>). In gen</w:t>
      </w:r>
      <w:r w:rsidR="00056E45">
        <w:rPr>
          <w:lang w:val="en-GB"/>
        </w:rPr>
        <w:t>eral,</w:t>
      </w:r>
      <w:r w:rsidR="00794C8E">
        <w:rPr>
          <w:lang w:val="en-GB"/>
        </w:rPr>
        <w:t xml:space="preserve"> it is also important and correct to favour comprehensive renovation projects. However, we do not support </w:t>
      </w:r>
      <w:r w:rsidR="00056E45">
        <w:rPr>
          <w:lang w:val="en-GB"/>
        </w:rPr>
        <w:t xml:space="preserve">the proposed </w:t>
      </w:r>
      <w:r w:rsidR="00794C8E" w:rsidRPr="00794C8E">
        <w:rPr>
          <w:lang w:val="en-GB"/>
        </w:rPr>
        <w:t>energy performance improvements</w:t>
      </w:r>
      <w:r w:rsidR="00794C8E">
        <w:rPr>
          <w:lang w:val="en-GB"/>
        </w:rPr>
        <w:t xml:space="preserve"> </w:t>
      </w:r>
      <w:r w:rsidR="00056E45">
        <w:rPr>
          <w:lang w:val="en-GB"/>
        </w:rPr>
        <w:t xml:space="preserve">in </w:t>
      </w:r>
      <w:r w:rsidR="00794C8E" w:rsidRPr="00794C8E">
        <w:rPr>
          <w:u w:val="single"/>
          <w:lang w:val="en-GB"/>
        </w:rPr>
        <w:t>paragraph 118</w:t>
      </w:r>
      <w:r w:rsidR="00794C8E">
        <w:rPr>
          <w:lang w:val="en-GB"/>
        </w:rPr>
        <w:t>.</w:t>
      </w:r>
    </w:p>
    <w:p w:rsidR="00794C8E" w:rsidRDefault="00794C8E" w:rsidP="00C005A0">
      <w:pPr>
        <w:rPr>
          <w:lang w:val="en-GB"/>
        </w:rPr>
      </w:pPr>
    </w:p>
    <w:p w:rsidR="00794C8E" w:rsidRDefault="00794C8E" w:rsidP="00C005A0">
      <w:pPr>
        <w:rPr>
          <w:lang w:val="en-GB"/>
        </w:rPr>
      </w:pPr>
      <w:r w:rsidRPr="00EE1DD2">
        <w:rPr>
          <w:u w:val="single"/>
          <w:lang w:val="en-GB"/>
        </w:rPr>
        <w:t>Paragraph 118 (a)</w:t>
      </w:r>
      <w:r>
        <w:rPr>
          <w:lang w:val="en-GB"/>
        </w:rPr>
        <w:t xml:space="preserve">: </w:t>
      </w:r>
      <w:r w:rsidRPr="00794C8E">
        <w:rPr>
          <w:lang w:val="en-GB"/>
        </w:rPr>
        <w:t xml:space="preserve">Compared to comprehensive renovations, individual measures and step-by-step renovations are the preferred approach to energy-efficient renovation for many owners </w:t>
      </w:r>
      <w:r>
        <w:rPr>
          <w:lang w:val="en-GB"/>
        </w:rPr>
        <w:t>–</w:t>
      </w:r>
      <w:r w:rsidRPr="00794C8E">
        <w:rPr>
          <w:lang w:val="en-GB"/>
        </w:rPr>
        <w:t xml:space="preserve"> e.g. due to limited financial options (despite funding) or minimizing restrictions on habitability in construction measures in apartment buildings.</w:t>
      </w:r>
      <w:r>
        <w:rPr>
          <w:lang w:val="en-GB"/>
        </w:rPr>
        <w:t xml:space="preserve"> </w:t>
      </w:r>
      <w:r w:rsidRPr="00794C8E">
        <w:rPr>
          <w:lang w:val="en-GB"/>
        </w:rPr>
        <w:t>The proposed minimum reduction of the energy requirement of 20</w:t>
      </w:r>
      <w:r>
        <w:rPr>
          <w:lang w:val="en-GB"/>
        </w:rPr>
        <w:t xml:space="preserve"> </w:t>
      </w:r>
      <w:r w:rsidRPr="00794C8E">
        <w:rPr>
          <w:lang w:val="en-GB"/>
        </w:rPr>
        <w:t>% would throw too many individual measures out of eligibility, including the individual measures on the building envelope that are important for achieving energy efficiency and climate protection goals, such as the basement ceiling insulation or window replacement, as these usually do not account for</w:t>
      </w:r>
      <w:r>
        <w:rPr>
          <w:lang w:val="en-GB"/>
        </w:rPr>
        <w:t xml:space="preserve"> </w:t>
      </w:r>
      <w:r w:rsidRPr="00794C8E">
        <w:rPr>
          <w:lang w:val="en-GB"/>
        </w:rPr>
        <w:t>&gt; 20</w:t>
      </w:r>
      <w:r>
        <w:rPr>
          <w:lang w:val="en-GB"/>
        </w:rPr>
        <w:t xml:space="preserve"> </w:t>
      </w:r>
      <w:r w:rsidRPr="00794C8E">
        <w:rPr>
          <w:lang w:val="en-GB"/>
        </w:rPr>
        <w:t xml:space="preserve">% of </w:t>
      </w:r>
      <w:r>
        <w:rPr>
          <w:lang w:val="en-GB"/>
        </w:rPr>
        <w:t>energy loss –</w:t>
      </w:r>
      <w:r w:rsidRPr="00794C8E">
        <w:rPr>
          <w:lang w:val="en-GB"/>
        </w:rPr>
        <w:t xml:space="preserve"> and thus could not result in at least 20</w:t>
      </w:r>
      <w:r>
        <w:rPr>
          <w:lang w:val="en-GB"/>
        </w:rPr>
        <w:t xml:space="preserve"> </w:t>
      </w:r>
      <w:r w:rsidRPr="00794C8E">
        <w:rPr>
          <w:lang w:val="en-GB"/>
        </w:rPr>
        <w:t>% energy savings</w:t>
      </w:r>
      <w:r>
        <w:rPr>
          <w:lang w:val="en-GB"/>
        </w:rPr>
        <w:t xml:space="preserve">. </w:t>
      </w:r>
      <w:r w:rsidRPr="00794C8E">
        <w:rPr>
          <w:lang w:val="en-GB"/>
        </w:rPr>
        <w:t xml:space="preserve">We therefore </w:t>
      </w:r>
      <w:r>
        <w:rPr>
          <w:lang w:val="en-GB"/>
        </w:rPr>
        <w:t>call for</w:t>
      </w:r>
      <w:r w:rsidRPr="00794C8E">
        <w:rPr>
          <w:lang w:val="en-GB"/>
        </w:rPr>
        <w:t xml:space="preserve"> the complete removal of the 20% threshold, or at least a reduction to a more appropriate </w:t>
      </w:r>
      <w:r>
        <w:rPr>
          <w:lang w:val="en-GB"/>
        </w:rPr>
        <w:t>–</w:t>
      </w:r>
      <w:r w:rsidRPr="00794C8E">
        <w:rPr>
          <w:lang w:val="en-GB"/>
        </w:rPr>
        <w:t xml:space="preserve"> signi</w:t>
      </w:r>
      <w:r w:rsidRPr="00794C8E">
        <w:rPr>
          <w:lang w:val="en-GB"/>
        </w:rPr>
        <w:t>f</w:t>
      </w:r>
      <w:r w:rsidRPr="00794C8E">
        <w:rPr>
          <w:lang w:val="en-GB"/>
        </w:rPr>
        <w:t xml:space="preserve">icantly lower </w:t>
      </w:r>
      <w:r>
        <w:rPr>
          <w:lang w:val="en-GB"/>
        </w:rPr>
        <w:t>–</w:t>
      </w:r>
      <w:r w:rsidRPr="00794C8E">
        <w:rPr>
          <w:lang w:val="en-GB"/>
        </w:rPr>
        <w:t xml:space="preserve"> threshold value</w:t>
      </w:r>
      <w:r>
        <w:rPr>
          <w:lang w:val="en-GB"/>
        </w:rPr>
        <w:t>.</w:t>
      </w:r>
    </w:p>
    <w:p w:rsidR="00794C8E" w:rsidRDefault="00794C8E" w:rsidP="00C005A0">
      <w:pPr>
        <w:rPr>
          <w:lang w:val="en-GB"/>
        </w:rPr>
      </w:pPr>
    </w:p>
    <w:p w:rsidR="00794C8E" w:rsidRDefault="00794C8E" w:rsidP="00C005A0">
      <w:pPr>
        <w:rPr>
          <w:lang w:val="en-GB"/>
        </w:rPr>
      </w:pPr>
      <w:r>
        <w:rPr>
          <w:lang w:val="en-GB"/>
        </w:rPr>
        <w:t>Furthermore, g</w:t>
      </w:r>
      <w:r w:rsidRPr="00794C8E">
        <w:rPr>
          <w:lang w:val="en-GB"/>
        </w:rPr>
        <w:t>radual renovations</w:t>
      </w:r>
      <w:r w:rsidR="00EE1DD2">
        <w:rPr>
          <w:lang w:val="en-GB"/>
        </w:rPr>
        <w:t xml:space="preserve"> (</w:t>
      </w:r>
      <w:r w:rsidRPr="00794C8E">
        <w:rPr>
          <w:lang w:val="en-GB"/>
        </w:rPr>
        <w:t>in particular using an individual renovation schedule</w:t>
      </w:r>
      <w:r w:rsidR="00EE1DD2">
        <w:rPr>
          <w:lang w:val="en-GB"/>
        </w:rPr>
        <w:t>),</w:t>
      </w:r>
      <w:r w:rsidRPr="00794C8E">
        <w:rPr>
          <w:lang w:val="en-GB"/>
        </w:rPr>
        <w:t xml:space="preserve"> which can ultimately lead to full renovations, are extremely important for the implementation of the climate ta</w:t>
      </w:r>
      <w:r w:rsidRPr="00794C8E">
        <w:rPr>
          <w:lang w:val="en-GB"/>
        </w:rPr>
        <w:t>r</w:t>
      </w:r>
      <w:r w:rsidRPr="00794C8E">
        <w:rPr>
          <w:lang w:val="en-GB"/>
        </w:rPr>
        <w:t xml:space="preserve">gets in the building sector. </w:t>
      </w:r>
      <w:r w:rsidR="00EE1DD2">
        <w:rPr>
          <w:lang w:val="en-GB"/>
        </w:rPr>
        <w:t>In particular for these gradual renovations, t</w:t>
      </w:r>
      <w:r w:rsidRPr="00794C8E">
        <w:rPr>
          <w:lang w:val="en-GB"/>
        </w:rPr>
        <w:t xml:space="preserve">he specifications in </w:t>
      </w:r>
      <w:r w:rsidR="00EE1DD2" w:rsidRPr="00EE1DD2">
        <w:rPr>
          <w:u w:val="single"/>
          <w:lang w:val="en-GB"/>
        </w:rPr>
        <w:t xml:space="preserve">paragraph </w:t>
      </w:r>
      <w:r w:rsidRPr="00EE1DD2">
        <w:rPr>
          <w:u w:val="single"/>
          <w:lang w:val="en-GB"/>
        </w:rPr>
        <w:t>118</w:t>
      </w:r>
      <w:r w:rsidRPr="00794C8E">
        <w:rPr>
          <w:lang w:val="en-GB"/>
        </w:rPr>
        <w:t xml:space="preserve"> </w:t>
      </w:r>
      <w:r w:rsidR="00EE1DD2">
        <w:rPr>
          <w:lang w:val="en-GB"/>
        </w:rPr>
        <w:t xml:space="preserve">of </w:t>
      </w:r>
      <w:r w:rsidRPr="00794C8E">
        <w:rPr>
          <w:lang w:val="en-GB"/>
        </w:rPr>
        <w:t>a reduction in energy demand of at least 30</w:t>
      </w:r>
      <w:r w:rsidR="00EE1DD2">
        <w:rPr>
          <w:lang w:val="en-GB"/>
        </w:rPr>
        <w:t xml:space="preserve"> </w:t>
      </w:r>
      <w:r w:rsidRPr="00794C8E">
        <w:rPr>
          <w:lang w:val="en-GB"/>
        </w:rPr>
        <w:t>% over a maximum of 3 years</w:t>
      </w:r>
      <w:r w:rsidR="00EE1DD2">
        <w:rPr>
          <w:lang w:val="en-GB"/>
        </w:rPr>
        <w:t xml:space="preserve"> </w:t>
      </w:r>
      <w:r w:rsidR="00EE1DD2" w:rsidRPr="00794C8E">
        <w:rPr>
          <w:lang w:val="en-GB"/>
        </w:rPr>
        <w:t>are all the more incomprehensible</w:t>
      </w:r>
      <w:r w:rsidRPr="00794C8E">
        <w:rPr>
          <w:lang w:val="en-GB"/>
        </w:rPr>
        <w:t xml:space="preserve">. Such </w:t>
      </w:r>
      <w:r w:rsidR="00EE1DD2">
        <w:rPr>
          <w:lang w:val="en-GB"/>
        </w:rPr>
        <w:t xml:space="preserve">a combination </w:t>
      </w:r>
      <w:r w:rsidRPr="00794C8E">
        <w:rPr>
          <w:lang w:val="en-GB"/>
        </w:rPr>
        <w:t>take</w:t>
      </w:r>
      <w:r w:rsidR="00EE1DD2">
        <w:rPr>
          <w:lang w:val="en-GB"/>
        </w:rPr>
        <w:t>s</w:t>
      </w:r>
      <w:r w:rsidRPr="00794C8E">
        <w:rPr>
          <w:lang w:val="en-GB"/>
        </w:rPr>
        <w:t xml:space="preserve"> into account </w:t>
      </w:r>
      <w:r w:rsidR="00EE1DD2">
        <w:rPr>
          <w:lang w:val="en-GB"/>
        </w:rPr>
        <w:t xml:space="preserve">neither </w:t>
      </w:r>
      <w:r w:rsidRPr="00794C8E">
        <w:rPr>
          <w:lang w:val="en-GB"/>
        </w:rPr>
        <w:t>the fact that the available financial possibilities are limited, nor the timing in the normal renovation cycle of components and sys</w:t>
      </w:r>
      <w:r w:rsidR="00EE1DD2">
        <w:rPr>
          <w:lang w:val="en-GB"/>
        </w:rPr>
        <w:t xml:space="preserve">tems, which </w:t>
      </w:r>
      <w:r w:rsidRPr="00794C8E">
        <w:rPr>
          <w:lang w:val="en-GB"/>
        </w:rPr>
        <w:t>is sensible for the profitabil</w:t>
      </w:r>
      <w:r w:rsidR="00EE1DD2">
        <w:rPr>
          <w:lang w:val="en-GB"/>
        </w:rPr>
        <w:t>ity of measures</w:t>
      </w:r>
      <w:r w:rsidRPr="00794C8E">
        <w:rPr>
          <w:lang w:val="en-GB"/>
        </w:rPr>
        <w:t>.</w:t>
      </w:r>
      <w:r w:rsidR="00EE1DD2">
        <w:rPr>
          <w:lang w:val="en-GB"/>
        </w:rPr>
        <w:t xml:space="preserve"> Therefore, we ask the Commission to delete the period of 3 years or include the following clarification: “</w:t>
      </w:r>
      <w:r w:rsidR="00EE1DD2" w:rsidRPr="00EE1DD2">
        <w:rPr>
          <w:lang w:val="en-GB"/>
        </w:rPr>
        <w:t>If energetic modernizations are implemented step-by-step as part of an individual renovation schedule, these must be completed within 15 years</w:t>
      </w:r>
      <w:r w:rsidR="00EE1DD2">
        <w:rPr>
          <w:lang w:val="en-GB"/>
        </w:rPr>
        <w:t>.”</w:t>
      </w:r>
      <w:r w:rsidR="00EE1DD2">
        <w:rPr>
          <w:rStyle w:val="Funotenzeichen"/>
          <w:lang w:val="en-GB"/>
        </w:rPr>
        <w:footnoteReference w:id="6"/>
      </w:r>
    </w:p>
    <w:p w:rsidR="00EE1DD2" w:rsidRDefault="00EE1DD2" w:rsidP="00C005A0">
      <w:pPr>
        <w:rPr>
          <w:lang w:val="en-GB"/>
        </w:rPr>
      </w:pPr>
    </w:p>
    <w:p w:rsidR="00EE1DD2" w:rsidRDefault="00EE1DD2" w:rsidP="00C005A0">
      <w:pPr>
        <w:rPr>
          <w:lang w:val="en-GB"/>
        </w:rPr>
      </w:pPr>
      <w:r w:rsidRPr="00EE1DD2">
        <w:rPr>
          <w:u w:val="single"/>
          <w:lang w:val="en-GB"/>
        </w:rPr>
        <w:t>Paragraph 118 (b)</w:t>
      </w:r>
      <w:r>
        <w:rPr>
          <w:lang w:val="en-GB"/>
        </w:rPr>
        <w:t xml:space="preserve">: </w:t>
      </w:r>
      <w:r w:rsidRPr="00EE1DD2">
        <w:rPr>
          <w:lang w:val="en-GB"/>
        </w:rPr>
        <w:t xml:space="preserve">Especially in view of the </w:t>
      </w:r>
      <w:r>
        <w:rPr>
          <w:lang w:val="en-GB"/>
        </w:rPr>
        <w:t>proposed</w:t>
      </w:r>
      <w:r w:rsidRPr="00EE1DD2">
        <w:rPr>
          <w:lang w:val="en-GB"/>
        </w:rPr>
        <w:t xml:space="preserve"> threshold value of 20</w:t>
      </w:r>
      <w:r>
        <w:rPr>
          <w:lang w:val="en-GB"/>
        </w:rPr>
        <w:t xml:space="preserve"> </w:t>
      </w:r>
      <w:r w:rsidRPr="00EE1DD2">
        <w:rPr>
          <w:lang w:val="en-GB"/>
        </w:rPr>
        <w:t xml:space="preserve">% in </w:t>
      </w:r>
      <w:r w:rsidRPr="00EE1DD2">
        <w:rPr>
          <w:u w:val="single"/>
          <w:lang w:val="en-GB"/>
        </w:rPr>
        <w:t>paragraph 118 (a)</w:t>
      </w:r>
      <w:r w:rsidRPr="00EE1DD2">
        <w:rPr>
          <w:lang w:val="en-GB"/>
        </w:rPr>
        <w:t xml:space="preserve">, the proposal </w:t>
      </w:r>
      <w:r>
        <w:rPr>
          <w:lang w:val="en-GB"/>
        </w:rPr>
        <w:t xml:space="preserve">of </w:t>
      </w:r>
      <w:r w:rsidRPr="00EE1DD2">
        <w:rPr>
          <w:lang w:val="en-GB"/>
        </w:rPr>
        <w:t>at least 10</w:t>
      </w:r>
      <w:r>
        <w:rPr>
          <w:lang w:val="en-GB"/>
        </w:rPr>
        <w:t xml:space="preserve"> </w:t>
      </w:r>
      <w:r w:rsidRPr="00EE1DD2">
        <w:rPr>
          <w:lang w:val="en-GB"/>
        </w:rPr>
        <w:t xml:space="preserve">% improvement compared to the specified NZEB for new buildings is incomprehensible and unambitious, since structural and system-technical measures to increase energy efficiency are much simpler and more cost-effective </w:t>
      </w:r>
      <w:r>
        <w:rPr>
          <w:lang w:val="en-GB"/>
        </w:rPr>
        <w:t xml:space="preserve">for new </w:t>
      </w:r>
      <w:r w:rsidRPr="00EE1DD2">
        <w:rPr>
          <w:lang w:val="en-GB"/>
        </w:rPr>
        <w:t>building</w:t>
      </w:r>
      <w:r>
        <w:rPr>
          <w:lang w:val="en-GB"/>
        </w:rPr>
        <w:t>s</w:t>
      </w:r>
      <w:r w:rsidRPr="00EE1DD2">
        <w:rPr>
          <w:lang w:val="en-GB"/>
        </w:rPr>
        <w:t xml:space="preserve"> </w:t>
      </w:r>
      <w:r>
        <w:rPr>
          <w:lang w:val="en-GB"/>
        </w:rPr>
        <w:t>than in renovation</w:t>
      </w:r>
      <w:r w:rsidRPr="00EE1DD2">
        <w:rPr>
          <w:lang w:val="en-GB"/>
        </w:rPr>
        <w:t>. Germany has had good experiences with requirement steps of 20</w:t>
      </w:r>
      <w:r w:rsidR="00056E45">
        <w:rPr>
          <w:lang w:val="en-GB"/>
        </w:rPr>
        <w:t xml:space="preserve"> </w:t>
      </w:r>
      <w:r w:rsidRPr="00EE1DD2">
        <w:rPr>
          <w:lang w:val="en-GB"/>
        </w:rPr>
        <w:t>% and 25</w:t>
      </w:r>
      <w:r w:rsidR="00056E45">
        <w:rPr>
          <w:lang w:val="en-GB"/>
        </w:rPr>
        <w:t xml:space="preserve"> </w:t>
      </w:r>
      <w:r w:rsidRPr="00EE1DD2">
        <w:rPr>
          <w:lang w:val="en-GB"/>
        </w:rPr>
        <w:t xml:space="preserve">% for primary energy </w:t>
      </w:r>
      <w:r w:rsidR="00056E45">
        <w:rPr>
          <w:lang w:val="en-GB"/>
        </w:rPr>
        <w:t>savings,</w:t>
      </w:r>
      <w:r w:rsidRPr="00EE1DD2">
        <w:rPr>
          <w:lang w:val="en-GB"/>
        </w:rPr>
        <w:t xml:space="preserve"> which the EU Commission should use as a guide.</w:t>
      </w:r>
    </w:p>
    <w:p w:rsidR="00056E45" w:rsidRDefault="00056E45" w:rsidP="00C005A0">
      <w:pPr>
        <w:rPr>
          <w:lang w:val="en-GB"/>
        </w:rPr>
      </w:pPr>
    </w:p>
    <w:p w:rsidR="00056E45" w:rsidRDefault="00056E45" w:rsidP="00C005A0">
      <w:pPr>
        <w:rPr>
          <w:lang w:val="en-GB"/>
        </w:rPr>
      </w:pPr>
      <w:r w:rsidRPr="00056E45">
        <w:rPr>
          <w:u w:val="single"/>
          <w:lang w:val="en-GB"/>
        </w:rPr>
        <w:t>Paragraph 116</w:t>
      </w:r>
      <w:r>
        <w:rPr>
          <w:lang w:val="en-GB"/>
        </w:rPr>
        <w:t xml:space="preserve">: In addition to the previously mentioned points we suggest </w:t>
      </w:r>
      <w:r w:rsidRPr="002646D9">
        <w:rPr>
          <w:lang w:val="en-GB"/>
        </w:rPr>
        <w:t xml:space="preserve">to </w:t>
      </w:r>
      <w:r>
        <w:rPr>
          <w:lang w:val="en-GB"/>
        </w:rPr>
        <w:t xml:space="preserve">widen the scope of chapter 4.2 and </w:t>
      </w:r>
      <w:r w:rsidRPr="002646D9">
        <w:rPr>
          <w:lang w:val="en-GB"/>
        </w:rPr>
        <w:t xml:space="preserve">include a reference to thermal mass as part of </w:t>
      </w:r>
      <w:r w:rsidRPr="00056E45">
        <w:rPr>
          <w:u w:val="single"/>
          <w:lang w:val="en-GB"/>
        </w:rPr>
        <w:t>paragraph 116</w:t>
      </w:r>
      <w:r w:rsidRPr="002646D9">
        <w:rPr>
          <w:lang w:val="en-GB"/>
        </w:rPr>
        <w:t xml:space="preserve">. </w:t>
      </w:r>
      <w:r>
        <w:rPr>
          <w:lang w:val="en-GB"/>
        </w:rPr>
        <w:t>S</w:t>
      </w:r>
      <w:r w:rsidRPr="002646D9">
        <w:rPr>
          <w:lang w:val="en-GB"/>
        </w:rPr>
        <w:t xml:space="preserve">tructural thermal energy storage elements have a positive effect on the energy consumption of the built environment and therefore </w:t>
      </w:r>
      <w:r>
        <w:rPr>
          <w:lang w:val="en-GB"/>
        </w:rPr>
        <w:t xml:space="preserve">respective projects </w:t>
      </w:r>
      <w:r w:rsidRPr="002646D9">
        <w:rPr>
          <w:lang w:val="en-GB"/>
        </w:rPr>
        <w:t>should be added as beneficiaries (e.g. Thermally Activated Buil</w:t>
      </w:r>
      <w:r w:rsidRPr="002646D9">
        <w:rPr>
          <w:lang w:val="en-GB"/>
        </w:rPr>
        <w:t>d</w:t>
      </w:r>
      <w:r w:rsidRPr="002646D9">
        <w:rPr>
          <w:lang w:val="en-GB"/>
        </w:rPr>
        <w:lastRenderedPageBreak/>
        <w:t>ing Structures TABS). The thermal storage capac</w:t>
      </w:r>
      <w:r>
        <w:rPr>
          <w:lang w:val="en-GB"/>
        </w:rPr>
        <w:t xml:space="preserve">ity offered by concrete structures </w:t>
      </w:r>
      <w:r w:rsidRPr="002646D9">
        <w:rPr>
          <w:lang w:val="en-GB"/>
        </w:rPr>
        <w:t>provide</w:t>
      </w:r>
      <w:r>
        <w:rPr>
          <w:lang w:val="en-GB"/>
        </w:rPr>
        <w:t>s</w:t>
      </w:r>
      <w:r w:rsidRPr="002646D9">
        <w:rPr>
          <w:lang w:val="en-GB"/>
        </w:rPr>
        <w:t xml:space="preserve"> flexibility in energy grids and </w:t>
      </w:r>
      <w:r>
        <w:rPr>
          <w:lang w:val="en-GB"/>
        </w:rPr>
        <w:t xml:space="preserve">can </w:t>
      </w:r>
      <w:r w:rsidRPr="002646D9">
        <w:rPr>
          <w:lang w:val="en-GB"/>
        </w:rPr>
        <w:t>boost</w:t>
      </w:r>
      <w:r>
        <w:rPr>
          <w:lang w:val="en-GB"/>
        </w:rPr>
        <w:t xml:space="preserve"> the uptake of renewable energy.</w:t>
      </w:r>
      <w:r>
        <w:rPr>
          <w:rStyle w:val="Funotenzeichen"/>
          <w:lang w:val="en-GB"/>
        </w:rPr>
        <w:footnoteReference w:id="7"/>
      </w:r>
    </w:p>
    <w:p w:rsidR="00794C8E" w:rsidRDefault="00794C8E" w:rsidP="00C005A0">
      <w:pPr>
        <w:rPr>
          <w:lang w:val="en-GB"/>
        </w:rPr>
      </w:pPr>
    </w:p>
    <w:p w:rsidR="00794C8E" w:rsidRPr="00056E45" w:rsidRDefault="00056E45" w:rsidP="00C005A0">
      <w:pPr>
        <w:rPr>
          <w:i/>
          <w:lang w:val="en-GB"/>
        </w:rPr>
      </w:pPr>
      <w:r w:rsidRPr="00056E45">
        <w:rPr>
          <w:i/>
          <w:lang w:val="en-GB"/>
        </w:rPr>
        <w:t>4.2.4 Minimisation of distortions on competition and trade</w:t>
      </w:r>
    </w:p>
    <w:p w:rsidR="00056E45" w:rsidRDefault="00056E45" w:rsidP="00C005A0">
      <w:pPr>
        <w:rPr>
          <w:lang w:val="en-GB"/>
        </w:rPr>
      </w:pPr>
      <w:r w:rsidRPr="00056E45">
        <w:rPr>
          <w:lang w:val="en-GB"/>
        </w:rPr>
        <w:t>As already mentioned in the introduction</w:t>
      </w:r>
      <w:r>
        <w:rPr>
          <w:lang w:val="en-GB"/>
        </w:rPr>
        <w:t xml:space="preserve"> to chapter 4.2</w:t>
      </w:r>
      <w:r w:rsidRPr="00056E45">
        <w:rPr>
          <w:lang w:val="en-GB"/>
        </w:rPr>
        <w:t>, it is not clear how technology-neutral n</w:t>
      </w:r>
      <w:r w:rsidRPr="00056E45">
        <w:rPr>
          <w:lang w:val="en-GB"/>
        </w:rPr>
        <w:t>a</w:t>
      </w:r>
      <w:r w:rsidRPr="00056E45">
        <w:rPr>
          <w:lang w:val="en-GB"/>
        </w:rPr>
        <w:t xml:space="preserve">tional or regional funding programs for the energy efficiency of buildings </w:t>
      </w:r>
      <w:r>
        <w:rPr>
          <w:lang w:val="en-GB"/>
        </w:rPr>
        <w:t xml:space="preserve">could </w:t>
      </w:r>
      <w:r w:rsidRPr="00056E45">
        <w:rPr>
          <w:lang w:val="en-GB"/>
        </w:rPr>
        <w:t xml:space="preserve">have an impact on international trade and thus on competition in the European internal market. As a result, they should not be classified as aid within the meaning of Article 107 (1) of the Treaty on the Functioning of the European Union (TFEU). The entire </w:t>
      </w:r>
      <w:r w:rsidR="00B569BD">
        <w:rPr>
          <w:lang w:val="en-GB"/>
        </w:rPr>
        <w:t xml:space="preserve">section </w:t>
      </w:r>
      <w:r w:rsidRPr="00056E45">
        <w:rPr>
          <w:lang w:val="en-GB"/>
        </w:rPr>
        <w:t>4.2.</w:t>
      </w:r>
      <w:r>
        <w:rPr>
          <w:lang w:val="en-GB"/>
        </w:rPr>
        <w:t>4</w:t>
      </w:r>
      <w:r w:rsidRPr="00056E45">
        <w:rPr>
          <w:lang w:val="en-GB"/>
        </w:rPr>
        <w:t xml:space="preserve"> should therefore be deleted from the guidelines</w:t>
      </w:r>
      <w:r>
        <w:rPr>
          <w:lang w:val="en-GB"/>
        </w:rPr>
        <w:t>.</w:t>
      </w:r>
    </w:p>
    <w:p w:rsidR="00056E45" w:rsidRDefault="00056E45" w:rsidP="00C005A0">
      <w:pPr>
        <w:rPr>
          <w:lang w:val="en-GB"/>
        </w:rPr>
      </w:pPr>
    </w:p>
    <w:p w:rsidR="00B569BD" w:rsidRPr="00B569BD" w:rsidRDefault="00B569BD" w:rsidP="00C005A0">
      <w:pPr>
        <w:rPr>
          <w:i/>
          <w:lang w:val="en-GB"/>
        </w:rPr>
      </w:pPr>
      <w:r w:rsidRPr="00B569BD">
        <w:rPr>
          <w:i/>
          <w:lang w:val="en-GB"/>
        </w:rPr>
        <w:t>4.2.4.2 Proportionality</w:t>
      </w:r>
    </w:p>
    <w:p w:rsidR="00B569BD" w:rsidRDefault="00B569BD" w:rsidP="00C005A0">
      <w:pPr>
        <w:rPr>
          <w:lang w:val="en-GB"/>
        </w:rPr>
      </w:pPr>
      <w:r w:rsidRPr="00B569BD">
        <w:rPr>
          <w:lang w:val="en-GB"/>
        </w:rPr>
        <w:t xml:space="preserve">The </w:t>
      </w:r>
      <w:r>
        <w:rPr>
          <w:lang w:val="en-GB"/>
        </w:rPr>
        <w:t xml:space="preserve">proposed specifications in </w:t>
      </w:r>
      <w:commentRangeStart w:id="4"/>
      <w:r>
        <w:rPr>
          <w:lang w:val="en-GB"/>
        </w:rPr>
        <w:t>section 4.2.4.2</w:t>
      </w:r>
      <w:commentRangeEnd w:id="4"/>
      <w:r>
        <w:rPr>
          <w:rStyle w:val="Kommentarzeichen"/>
        </w:rPr>
        <w:commentReference w:id="4"/>
      </w:r>
      <w:r w:rsidRPr="00B569BD">
        <w:rPr>
          <w:lang w:val="en-GB"/>
        </w:rPr>
        <w:t xml:space="preserve"> show once again that the aid criteria usually applied to companies are not expedient or meaningful for the energy efficiency of buildings.</w:t>
      </w:r>
      <w:r>
        <w:rPr>
          <w:lang w:val="en-GB"/>
        </w:rPr>
        <w:t xml:space="preserve"> Already in se</w:t>
      </w:r>
      <w:r>
        <w:rPr>
          <w:lang w:val="en-GB"/>
        </w:rPr>
        <w:t>c</w:t>
      </w:r>
      <w:r>
        <w:rPr>
          <w:lang w:val="en-GB"/>
        </w:rPr>
        <w:t>tion 4</w:t>
      </w:r>
      <w:r w:rsidRPr="00B569BD">
        <w:rPr>
          <w:lang w:val="en-GB"/>
        </w:rPr>
        <w:t>.2.1 “Rationale for the aid”, some reasons for support measures in the building sector are e</w:t>
      </w:r>
      <w:r w:rsidRPr="00B569BD">
        <w:rPr>
          <w:lang w:val="en-GB"/>
        </w:rPr>
        <w:t>x</w:t>
      </w:r>
      <w:r w:rsidRPr="00B569BD">
        <w:rPr>
          <w:lang w:val="en-GB"/>
        </w:rPr>
        <w:t>plained, but the most important ones are excluded from the list.</w:t>
      </w:r>
      <w:r>
        <w:rPr>
          <w:lang w:val="en-GB"/>
        </w:rPr>
        <w:t xml:space="preserve"> B</w:t>
      </w:r>
      <w:r w:rsidRPr="00B569BD">
        <w:rPr>
          <w:lang w:val="en-GB"/>
        </w:rPr>
        <w:t>uilding</w:t>
      </w:r>
      <w:r>
        <w:rPr>
          <w:lang w:val="en-GB"/>
        </w:rPr>
        <w:t>s</w:t>
      </w:r>
      <w:r w:rsidRPr="00B569BD">
        <w:rPr>
          <w:lang w:val="en-GB"/>
        </w:rPr>
        <w:t xml:space="preserve"> are predominantly </w:t>
      </w:r>
      <w:r>
        <w:rPr>
          <w:lang w:val="en-GB"/>
        </w:rPr>
        <w:t xml:space="preserve">owned by </w:t>
      </w:r>
      <w:r w:rsidRPr="00B569BD">
        <w:rPr>
          <w:lang w:val="en-GB"/>
        </w:rPr>
        <w:t xml:space="preserve">private </w:t>
      </w:r>
      <w:r>
        <w:rPr>
          <w:lang w:val="en-GB"/>
        </w:rPr>
        <w:t>persons –</w:t>
      </w:r>
      <w:r w:rsidRPr="00B569BD">
        <w:rPr>
          <w:lang w:val="en-GB"/>
        </w:rPr>
        <w:t xml:space="preserve"> mainly owner-occupiers. The promotion of energetic building modernization on the one hand </w:t>
      </w:r>
      <w:r>
        <w:rPr>
          <w:lang w:val="en-GB"/>
        </w:rPr>
        <w:t xml:space="preserve">is meant to </w:t>
      </w:r>
      <w:r w:rsidRPr="00B569BD">
        <w:rPr>
          <w:lang w:val="en-GB"/>
        </w:rPr>
        <w:t xml:space="preserve">activate them to take these measures, but above all it </w:t>
      </w:r>
      <w:r>
        <w:rPr>
          <w:lang w:val="en-GB"/>
        </w:rPr>
        <w:t xml:space="preserve">is aimed at </w:t>
      </w:r>
      <w:r w:rsidRPr="00B569BD">
        <w:rPr>
          <w:lang w:val="en-GB"/>
        </w:rPr>
        <w:t>clos</w:t>
      </w:r>
      <w:r>
        <w:rPr>
          <w:lang w:val="en-GB"/>
        </w:rPr>
        <w:t>ing</w:t>
      </w:r>
      <w:r w:rsidRPr="00B569BD">
        <w:rPr>
          <w:lang w:val="en-GB"/>
        </w:rPr>
        <w:t xml:space="preserve"> the gap to the individual profitability of measures. An attempt is made to take account of this fact in </w:t>
      </w:r>
      <w:r w:rsidRPr="00B569BD">
        <w:rPr>
          <w:u w:val="single"/>
          <w:lang w:val="en-GB"/>
        </w:rPr>
        <w:t>paragraph 130</w:t>
      </w:r>
      <w:r w:rsidRPr="00B569BD">
        <w:rPr>
          <w:lang w:val="en-GB"/>
        </w:rPr>
        <w:t xml:space="preserve"> with an exception regulation for the member states, but this form of exception regul</w:t>
      </w:r>
      <w:r w:rsidRPr="00B569BD">
        <w:rPr>
          <w:lang w:val="en-GB"/>
        </w:rPr>
        <w:t>a</w:t>
      </w:r>
      <w:r w:rsidRPr="00B569BD">
        <w:rPr>
          <w:lang w:val="en-GB"/>
        </w:rPr>
        <w:t>tion represents a fur</w:t>
      </w:r>
      <w:r w:rsidR="001B7E44">
        <w:rPr>
          <w:lang w:val="en-GB"/>
        </w:rPr>
        <w:t>ther</w:t>
      </w:r>
      <w:r w:rsidRPr="00B569BD">
        <w:rPr>
          <w:lang w:val="en-GB"/>
        </w:rPr>
        <w:t xml:space="preserve"> unnecessary hurdle </w:t>
      </w:r>
      <w:r w:rsidR="001B7E44">
        <w:rPr>
          <w:lang w:val="en-GB"/>
        </w:rPr>
        <w:t>for</w:t>
      </w:r>
      <w:r w:rsidRPr="00B569BD">
        <w:rPr>
          <w:lang w:val="en-GB"/>
        </w:rPr>
        <w:t xml:space="preserve"> the incentives </w:t>
      </w:r>
      <w:r w:rsidR="001B7E44">
        <w:rPr>
          <w:lang w:val="en-GB"/>
        </w:rPr>
        <w:t xml:space="preserve">in </w:t>
      </w:r>
      <w:r w:rsidRPr="00B569BD">
        <w:rPr>
          <w:lang w:val="en-GB"/>
        </w:rPr>
        <w:t>building renovation</w:t>
      </w:r>
      <w:r w:rsidR="001B7E44">
        <w:rPr>
          <w:lang w:val="en-GB"/>
        </w:rPr>
        <w:t>.</w:t>
      </w:r>
    </w:p>
    <w:p w:rsidR="001B7E44" w:rsidRDefault="001B7E44" w:rsidP="00C005A0">
      <w:pPr>
        <w:rPr>
          <w:lang w:val="en-GB"/>
        </w:rPr>
      </w:pPr>
    </w:p>
    <w:p w:rsidR="001B7E44" w:rsidRDefault="001B7E44" w:rsidP="00C005A0">
      <w:pPr>
        <w:rPr>
          <w:lang w:val="en-GB"/>
        </w:rPr>
      </w:pPr>
      <w:r>
        <w:rPr>
          <w:lang w:val="en-GB"/>
        </w:rPr>
        <w:t>For these</w:t>
      </w:r>
      <w:r w:rsidRPr="001B7E44">
        <w:rPr>
          <w:lang w:val="en-GB"/>
        </w:rPr>
        <w:t xml:space="preserve"> reason</w:t>
      </w:r>
      <w:r>
        <w:rPr>
          <w:lang w:val="en-GB"/>
        </w:rPr>
        <w:t>s</w:t>
      </w:r>
      <w:r w:rsidRPr="001B7E44">
        <w:rPr>
          <w:lang w:val="en-GB"/>
        </w:rPr>
        <w:t xml:space="preserve">, </w:t>
      </w:r>
      <w:r>
        <w:rPr>
          <w:lang w:val="en-GB"/>
        </w:rPr>
        <w:t xml:space="preserve">we reject </w:t>
      </w:r>
      <w:r w:rsidRPr="001B7E44">
        <w:rPr>
          <w:u w:val="single"/>
          <w:lang w:val="en-GB"/>
        </w:rPr>
        <w:t>paragraphs 126-129</w:t>
      </w:r>
      <w:r w:rsidRPr="001B7E44">
        <w:rPr>
          <w:lang w:val="en-GB"/>
        </w:rPr>
        <w:t xml:space="preserve"> </w:t>
      </w:r>
      <w:r>
        <w:rPr>
          <w:lang w:val="en-GB"/>
        </w:rPr>
        <w:t xml:space="preserve">on </w:t>
      </w:r>
      <w:r w:rsidRPr="001B7E44">
        <w:rPr>
          <w:lang w:val="en-GB"/>
        </w:rPr>
        <w:t xml:space="preserve">the requirements for maximum funding </w:t>
      </w:r>
      <w:r>
        <w:rPr>
          <w:lang w:val="en-GB"/>
        </w:rPr>
        <w:t>and ask the Commission to delete them. Alternatively they can be</w:t>
      </w:r>
      <w:r w:rsidRPr="001B7E44">
        <w:rPr>
          <w:lang w:val="en-GB"/>
        </w:rPr>
        <w:t xml:space="preserve"> replaced by requirements that generally enable the funding </w:t>
      </w:r>
      <w:r>
        <w:rPr>
          <w:lang w:val="en-GB"/>
        </w:rPr>
        <w:t xml:space="preserve">body </w:t>
      </w:r>
      <w:r w:rsidRPr="001B7E44">
        <w:rPr>
          <w:lang w:val="en-GB"/>
        </w:rPr>
        <w:t>to bridge the gap to economic viability in accordance with the national / local situation.</w:t>
      </w:r>
    </w:p>
    <w:p w:rsidR="001B7E44" w:rsidRDefault="001B7E44" w:rsidP="00C005A0">
      <w:pPr>
        <w:rPr>
          <w:lang w:val="en-GB"/>
        </w:rPr>
      </w:pPr>
    </w:p>
    <w:p w:rsidR="001B7E44" w:rsidRDefault="001B7E44" w:rsidP="00C005A0">
      <w:pPr>
        <w:rPr>
          <w:lang w:val="en-GB"/>
        </w:rPr>
      </w:pPr>
      <w:r w:rsidRPr="001B7E44">
        <w:rPr>
          <w:lang w:val="en-GB"/>
        </w:rPr>
        <w:t xml:space="preserve">If the Commission </w:t>
      </w:r>
      <w:r>
        <w:rPr>
          <w:lang w:val="en-GB"/>
        </w:rPr>
        <w:t xml:space="preserve">deems necessary to </w:t>
      </w:r>
      <w:r w:rsidRPr="001B7E44">
        <w:rPr>
          <w:lang w:val="en-GB"/>
        </w:rPr>
        <w:t>define something in this context, it could be the definition of amorti</w:t>
      </w:r>
      <w:r>
        <w:rPr>
          <w:lang w:val="en-GB"/>
        </w:rPr>
        <w:t>s</w:t>
      </w:r>
      <w:r w:rsidRPr="001B7E44">
        <w:rPr>
          <w:lang w:val="en-GB"/>
        </w:rPr>
        <w:t>ation f</w:t>
      </w:r>
      <w:r>
        <w:rPr>
          <w:lang w:val="en-GB"/>
        </w:rPr>
        <w:t xml:space="preserve">or building renovation measures. This definition could be used to </w:t>
      </w:r>
      <w:r w:rsidRPr="001B7E44">
        <w:rPr>
          <w:lang w:val="en-GB"/>
        </w:rPr>
        <w:t>measure the profit</w:t>
      </w:r>
      <w:r w:rsidRPr="001B7E44">
        <w:rPr>
          <w:lang w:val="en-GB"/>
        </w:rPr>
        <w:t>a</w:t>
      </w:r>
      <w:r w:rsidRPr="001B7E44">
        <w:rPr>
          <w:lang w:val="en-GB"/>
        </w:rPr>
        <w:t xml:space="preserve">bility gap according to binding standards. The potential economic lifespan of a funded measure should also play a role in </w:t>
      </w:r>
      <w:r>
        <w:rPr>
          <w:lang w:val="en-GB"/>
        </w:rPr>
        <w:t>determining this definition</w:t>
      </w:r>
      <w:r w:rsidRPr="001B7E44">
        <w:rPr>
          <w:lang w:val="en-GB"/>
        </w:rPr>
        <w:t>.</w:t>
      </w:r>
    </w:p>
    <w:p w:rsidR="00056E45" w:rsidRDefault="00056E45" w:rsidP="00C005A0">
      <w:pPr>
        <w:rPr>
          <w:lang w:val="en-GB"/>
        </w:rPr>
      </w:pPr>
    </w:p>
    <w:p w:rsidR="00C74B94" w:rsidRDefault="001B7E44" w:rsidP="00C005A0">
      <w:pPr>
        <w:rPr>
          <w:lang w:val="en-GB"/>
        </w:rPr>
      </w:pPr>
      <w:r w:rsidRPr="001B7E44">
        <w:rPr>
          <w:lang w:val="en-GB"/>
        </w:rPr>
        <w:t xml:space="preserve">The provision in </w:t>
      </w:r>
      <w:r w:rsidRPr="001B7E44">
        <w:rPr>
          <w:u w:val="single"/>
          <w:lang w:val="en-GB"/>
        </w:rPr>
        <w:t>paragraph 129</w:t>
      </w:r>
      <w:r w:rsidRPr="001B7E44">
        <w:rPr>
          <w:lang w:val="en-GB"/>
        </w:rPr>
        <w:t>, which</w:t>
      </w:r>
      <w:r>
        <w:rPr>
          <w:lang w:val="en-GB"/>
        </w:rPr>
        <w:t xml:space="preserve"> in our view</w:t>
      </w:r>
      <w:r w:rsidRPr="001B7E44">
        <w:rPr>
          <w:lang w:val="en-GB"/>
        </w:rPr>
        <w:t xml:space="preserve"> is completely incomprehensible </w:t>
      </w:r>
      <w:r>
        <w:rPr>
          <w:lang w:val="en-GB"/>
        </w:rPr>
        <w:t xml:space="preserve">and improper </w:t>
      </w:r>
      <w:r w:rsidRPr="001B7E44">
        <w:rPr>
          <w:lang w:val="en-GB"/>
        </w:rPr>
        <w:t xml:space="preserve">in connection with buildings, </w:t>
      </w:r>
      <w:r w:rsidR="00095C4A">
        <w:rPr>
          <w:lang w:val="en-GB"/>
        </w:rPr>
        <w:t xml:space="preserve">should </w:t>
      </w:r>
      <w:r w:rsidRPr="001B7E44">
        <w:rPr>
          <w:lang w:val="en-GB"/>
        </w:rPr>
        <w:t>be deleted.</w:t>
      </w:r>
    </w:p>
    <w:p w:rsidR="00C005A0" w:rsidRDefault="00C005A0" w:rsidP="00C005A0">
      <w:pPr>
        <w:ind w:right="0"/>
        <w:rPr>
          <w:lang w:val="en-GB"/>
        </w:rPr>
      </w:pPr>
    </w:p>
    <w:p w:rsidR="00C005A0" w:rsidRDefault="00C005A0" w:rsidP="00C005A0">
      <w:pPr>
        <w:ind w:right="0"/>
        <w:rPr>
          <w:lang w:val="en-GB"/>
        </w:rPr>
      </w:pPr>
    </w:p>
    <w:p w:rsidR="00C005A0" w:rsidRPr="00DC4D9A" w:rsidRDefault="00C005A0" w:rsidP="00C005A0">
      <w:pPr>
        <w:ind w:right="0"/>
        <w:rPr>
          <w:b/>
          <w:lang w:val="en-GB"/>
        </w:rPr>
      </w:pPr>
      <w:r w:rsidRPr="00DC4D9A">
        <w:rPr>
          <w:b/>
          <w:lang w:val="en-GB"/>
        </w:rPr>
        <w:t>Chapter 4.9 Aid for energy infrastructure</w:t>
      </w:r>
    </w:p>
    <w:p w:rsidR="00C005A0" w:rsidRDefault="00C005A0" w:rsidP="00C005A0">
      <w:pPr>
        <w:rPr>
          <w:lang w:val="en-GB"/>
        </w:rPr>
      </w:pPr>
    </w:p>
    <w:p w:rsidR="00C005A0" w:rsidRDefault="00C005A0" w:rsidP="00C005A0">
      <w:pPr>
        <w:rPr>
          <w:lang w:val="en-GB"/>
        </w:rPr>
      </w:pPr>
      <w:r w:rsidRPr="00693A70">
        <w:rPr>
          <w:u w:val="single"/>
          <w:lang w:val="en-GB"/>
        </w:rPr>
        <w:t>Paragraph 354</w:t>
      </w:r>
      <w:r>
        <w:rPr>
          <w:lang w:val="en-GB"/>
        </w:rPr>
        <w:t xml:space="preserve"> of the draft CEEAG specifically excludes network charges from the scope of chapter 4.11. This falls short on visible developments on the electricity market in Germany during the past years. Given the advanced transition from both coal and nuclear power plants to fluctuating renew</w:t>
      </w:r>
      <w:r>
        <w:rPr>
          <w:lang w:val="en-GB"/>
        </w:rPr>
        <w:t>a</w:t>
      </w:r>
      <w:r>
        <w:rPr>
          <w:lang w:val="en-GB"/>
        </w:rPr>
        <w:t>bles like wind and solar energy, the need for both active grid management and grid expansion co</w:t>
      </w:r>
      <w:r>
        <w:rPr>
          <w:lang w:val="en-GB"/>
        </w:rPr>
        <w:t>n</w:t>
      </w:r>
      <w:r>
        <w:rPr>
          <w:lang w:val="en-GB"/>
        </w:rPr>
        <w:t>tinuously increases. Transmission system operators (TSOs) already pass on these additional costs to electricity consumers and will cont</w:t>
      </w:r>
      <w:bookmarkStart w:id="5" w:name="_GoBack"/>
      <w:bookmarkEnd w:id="5"/>
      <w:r>
        <w:rPr>
          <w:lang w:val="en-GB"/>
        </w:rPr>
        <w:t>inue to do so. Network charges therefore threaten to become the “new major cost burden associated with renewable energies” and in that respect seamlessly take over from the levies financing the direct funding of renewables. This development is already for</w:t>
      </w:r>
      <w:r>
        <w:rPr>
          <w:lang w:val="en-GB"/>
        </w:rPr>
        <w:t>e</w:t>
      </w:r>
      <w:r>
        <w:rPr>
          <w:lang w:val="en-GB"/>
        </w:rPr>
        <w:t>seeable today and will likely be shared in many other EU member states as soon as fluctuating r</w:t>
      </w:r>
      <w:r>
        <w:rPr>
          <w:lang w:val="en-GB"/>
        </w:rPr>
        <w:t>e</w:t>
      </w:r>
      <w:r>
        <w:rPr>
          <w:lang w:val="en-GB"/>
        </w:rPr>
        <w:t>newable energies provide a major share of electricity. In view of the long-term applicability of the CEEAG for the upcoming years, this issue should be addressed – either in chapter 4.11 or in cha</w:t>
      </w:r>
      <w:r>
        <w:rPr>
          <w:lang w:val="en-GB"/>
        </w:rPr>
        <w:t>p</w:t>
      </w:r>
      <w:r>
        <w:rPr>
          <w:lang w:val="en-GB"/>
        </w:rPr>
        <w:t xml:space="preserve">ter 4.9. However, in the draft CEEAG </w:t>
      </w:r>
      <w:r w:rsidRPr="001C54AA">
        <w:rPr>
          <w:u w:val="single"/>
          <w:lang w:val="en-GB"/>
        </w:rPr>
        <w:t>paragraph 334</w:t>
      </w:r>
      <w:r>
        <w:rPr>
          <w:lang w:val="en-GB"/>
        </w:rPr>
        <w:t xml:space="preserve"> of chapter 4.9 also excludes indirect relief of </w:t>
      </w:r>
      <w:r>
        <w:rPr>
          <w:lang w:val="en-GB"/>
        </w:rPr>
        <w:lastRenderedPageBreak/>
        <w:t>electricity users by way of infrastructure funding. We ask the Commission to include a reduction in network charges for energy-intensive industries in either chapter 4.11 or chapter 4.9.</w:t>
      </w:r>
    </w:p>
    <w:p w:rsidR="00C005A0" w:rsidRDefault="00C005A0" w:rsidP="00C005A0">
      <w:pPr>
        <w:rPr>
          <w:lang w:val="en-GB"/>
        </w:rPr>
      </w:pPr>
    </w:p>
    <w:p w:rsidR="00C005A0" w:rsidRDefault="00C005A0" w:rsidP="00C005A0">
      <w:pPr>
        <w:rPr>
          <w:lang w:val="en-GB"/>
        </w:rPr>
      </w:pPr>
      <w:r>
        <w:rPr>
          <w:lang w:val="en-GB"/>
        </w:rPr>
        <w:t xml:space="preserve">We welcome the consideration of </w:t>
      </w:r>
      <w:r w:rsidRPr="00F20D5C">
        <w:rPr>
          <w:lang w:val="en-GB"/>
        </w:rPr>
        <w:t>CO</w:t>
      </w:r>
      <w:r w:rsidRPr="00F20D5C">
        <w:rPr>
          <w:vertAlign w:val="subscript"/>
          <w:lang w:val="en-GB"/>
        </w:rPr>
        <w:t>2</w:t>
      </w:r>
      <w:r w:rsidRPr="00F20D5C">
        <w:rPr>
          <w:lang w:val="en-GB"/>
        </w:rPr>
        <w:t xml:space="preserve"> </w:t>
      </w:r>
      <w:r>
        <w:rPr>
          <w:lang w:val="en-GB"/>
        </w:rPr>
        <w:t>pipelines in the context of energy infrastructure. However, we reiterate our concern with regard to third-party access mentioned above in relation to the definition of energy infrastructure as well as in relation to dedicated infrastructure in chapter 4.1.</w:t>
      </w:r>
    </w:p>
    <w:p w:rsidR="00C23F33" w:rsidRPr="001C520B" w:rsidRDefault="00C23F33" w:rsidP="001C520B"/>
    <w:sectPr w:rsidR="00C23F33" w:rsidRPr="001C520B">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meike, Jens" w:date="2021-07-07T08:31:00Z" w:initials="RoJ">
    <w:p w:rsidR="00C74B94" w:rsidRDefault="00C74B94" w:rsidP="00C005A0">
      <w:pPr>
        <w:pStyle w:val="Kommentartext"/>
      </w:pPr>
      <w:r>
        <w:rPr>
          <w:rStyle w:val="Kommentarzeichen"/>
        </w:rPr>
        <w:annotationRef/>
      </w:r>
      <w:r>
        <w:t>Inzwischen wurde eine Folgenabschätzung b</w:t>
      </w:r>
      <w:r>
        <w:t>e</w:t>
      </w:r>
      <w:r>
        <w:t>kannt, aus der die Methodik vermutlich klarer hervorgeht. Falls sich daraus neue Erkenntnisse ergeben, werden wir diesen Absatz entsprechend a</w:t>
      </w:r>
      <w:r>
        <w:t>n</w:t>
      </w:r>
      <w:r>
        <w:t>passen.</w:t>
      </w:r>
    </w:p>
  </w:comment>
  <w:comment w:id="1" w:author="Romeike, Jens" w:date="2021-07-07T08:31:00Z" w:initials="RoJ">
    <w:p w:rsidR="00C74B94" w:rsidRDefault="00C74B94" w:rsidP="00C005A0">
      <w:pPr>
        <w:pStyle w:val="Kommentartext"/>
      </w:pPr>
      <w:r>
        <w:rPr>
          <w:rStyle w:val="Kommentarzeichen"/>
        </w:rPr>
        <w:annotationRef/>
      </w:r>
      <w:r>
        <w:t>Bitte um Fee</w:t>
      </w:r>
      <w:r>
        <w:t>d</w:t>
      </w:r>
      <w:r>
        <w:t>back. In anderen energieintensiven Industrien in Deutschland wird derzeit ein Industriestrompreis in Höhe von 40 Euro/</w:t>
      </w:r>
      <w:proofErr w:type="spellStart"/>
      <w:r>
        <w:t>MWh</w:t>
      </w:r>
      <w:proofErr w:type="spellEnd"/>
      <w:r>
        <w:t xml:space="preserve"> diskutiert.</w:t>
      </w:r>
    </w:p>
  </w:comment>
  <w:comment w:id="2" w:author="Romeike, Jens" w:date="2021-07-07T08:31:00Z" w:initials="RoJ">
    <w:p w:rsidR="00C74B94" w:rsidRDefault="00C74B94" w:rsidP="00C005A0">
      <w:pPr>
        <w:pStyle w:val="Kommentartext"/>
      </w:pPr>
      <w:r>
        <w:rPr>
          <w:rStyle w:val="Kommentarzeichen"/>
        </w:rPr>
        <w:annotationRef/>
      </w:r>
      <w:r>
        <w:t>Bitte um Fee</w:t>
      </w:r>
      <w:r>
        <w:t>d</w:t>
      </w:r>
      <w:r>
        <w:t>back. Siehe oben.</w:t>
      </w:r>
    </w:p>
  </w:comment>
  <w:comment w:id="3" w:author="Romeike, Jens" w:date="2021-07-09T15:24:00Z" w:initials="RoJ">
    <w:p w:rsidR="00C74B94" w:rsidRDefault="00C74B94">
      <w:pPr>
        <w:pStyle w:val="Kommentartext"/>
      </w:pPr>
      <w:r>
        <w:rPr>
          <w:rStyle w:val="Kommentarzeichen"/>
        </w:rPr>
        <w:annotationRef/>
      </w:r>
      <w:r w:rsidR="00095C4A">
        <w:t xml:space="preserve">Werner Fuchs: </w:t>
      </w:r>
      <w:r>
        <w:t>Stimmt das so?</w:t>
      </w:r>
    </w:p>
  </w:comment>
  <w:comment w:id="4" w:author="Romeike, Jens" w:date="2021-07-09T14:47:00Z" w:initials="RoJ">
    <w:p w:rsidR="00B569BD" w:rsidRDefault="00B569BD">
      <w:pPr>
        <w:pStyle w:val="Kommentartext"/>
      </w:pPr>
      <w:r>
        <w:rPr>
          <w:rStyle w:val="Kommentarzeichen"/>
        </w:rPr>
        <w:annotationRef/>
      </w:r>
      <w:r>
        <w:t>Korrekter Ve</w:t>
      </w:r>
      <w:r>
        <w:t>r</w:t>
      </w:r>
      <w:r>
        <w:t>weis?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B94" w:rsidRDefault="00C74B94" w:rsidP="00C005A0">
      <w:pPr>
        <w:spacing w:line="240" w:lineRule="auto"/>
      </w:pPr>
      <w:r>
        <w:separator/>
      </w:r>
    </w:p>
  </w:endnote>
  <w:endnote w:type="continuationSeparator" w:id="0">
    <w:p w:rsidR="00C74B94" w:rsidRDefault="00C74B94" w:rsidP="00C00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B94" w:rsidRDefault="00C74B94" w:rsidP="00C005A0">
      <w:pPr>
        <w:spacing w:line="240" w:lineRule="auto"/>
      </w:pPr>
      <w:r>
        <w:separator/>
      </w:r>
    </w:p>
  </w:footnote>
  <w:footnote w:type="continuationSeparator" w:id="0">
    <w:p w:rsidR="00C74B94" w:rsidRDefault="00C74B94" w:rsidP="00C005A0">
      <w:pPr>
        <w:spacing w:line="240" w:lineRule="auto"/>
      </w:pPr>
      <w:r>
        <w:continuationSeparator/>
      </w:r>
    </w:p>
  </w:footnote>
  <w:footnote w:id="1">
    <w:p w:rsidR="00C74B94" w:rsidRDefault="00C74B94" w:rsidP="00C005A0">
      <w:pPr>
        <w:pStyle w:val="Funotentext"/>
      </w:pPr>
      <w:r w:rsidRPr="009355C4">
        <w:rPr>
          <w:rStyle w:val="Funotenzeichen"/>
          <w:sz w:val="16"/>
        </w:rPr>
        <w:footnoteRef/>
      </w:r>
      <w:r w:rsidRPr="009355C4">
        <w:rPr>
          <w:sz w:val="16"/>
        </w:rPr>
        <w:t xml:space="preserve"> </w:t>
      </w:r>
      <w:proofErr w:type="spellStart"/>
      <w:r w:rsidRPr="009355C4">
        <w:rPr>
          <w:sz w:val="16"/>
        </w:rPr>
        <w:t>Taking</w:t>
      </w:r>
      <w:proofErr w:type="spellEnd"/>
      <w:r w:rsidRPr="009355C4">
        <w:rPr>
          <w:sz w:val="16"/>
        </w:rPr>
        <w:t xml:space="preserve"> </w:t>
      </w:r>
      <w:proofErr w:type="spellStart"/>
      <w:r w:rsidRPr="009355C4">
        <w:rPr>
          <w:sz w:val="16"/>
        </w:rPr>
        <w:t>into</w:t>
      </w:r>
      <w:proofErr w:type="spellEnd"/>
      <w:r w:rsidRPr="009355C4">
        <w:rPr>
          <w:sz w:val="16"/>
        </w:rPr>
        <w:t xml:space="preserve"> </w:t>
      </w:r>
      <w:proofErr w:type="spellStart"/>
      <w:r w:rsidRPr="009355C4">
        <w:rPr>
          <w:sz w:val="16"/>
        </w:rPr>
        <w:t>account</w:t>
      </w:r>
      <w:proofErr w:type="spellEnd"/>
      <w:r w:rsidRPr="009355C4">
        <w:rPr>
          <w:sz w:val="16"/>
        </w:rPr>
        <w:t xml:space="preserve"> </w:t>
      </w:r>
      <w:proofErr w:type="spellStart"/>
      <w:r w:rsidRPr="009355C4">
        <w:rPr>
          <w:sz w:val="16"/>
        </w:rPr>
        <w:t>both</w:t>
      </w:r>
      <w:proofErr w:type="spellEnd"/>
      <w:r w:rsidRPr="009355C4">
        <w:rPr>
          <w:sz w:val="16"/>
        </w:rPr>
        <w:t xml:space="preserve"> </w:t>
      </w:r>
      <w:proofErr w:type="spellStart"/>
      <w:r w:rsidRPr="009355C4">
        <w:rPr>
          <w:sz w:val="16"/>
        </w:rPr>
        <w:t>annex</w:t>
      </w:r>
      <w:proofErr w:type="spellEnd"/>
      <w:r w:rsidRPr="009355C4">
        <w:rPr>
          <w:sz w:val="16"/>
        </w:rPr>
        <w:t xml:space="preserve"> 3 </w:t>
      </w:r>
      <w:proofErr w:type="spellStart"/>
      <w:r w:rsidRPr="009355C4">
        <w:rPr>
          <w:sz w:val="16"/>
        </w:rPr>
        <w:t>and</w:t>
      </w:r>
      <w:proofErr w:type="spellEnd"/>
      <w:r w:rsidRPr="009355C4">
        <w:rPr>
          <w:sz w:val="16"/>
        </w:rPr>
        <w:t xml:space="preserve"> </w:t>
      </w:r>
      <w:proofErr w:type="spellStart"/>
      <w:r w:rsidRPr="009355C4">
        <w:rPr>
          <w:sz w:val="16"/>
        </w:rPr>
        <w:t>annex</w:t>
      </w:r>
      <w:proofErr w:type="spellEnd"/>
      <w:r w:rsidRPr="009355C4">
        <w:rPr>
          <w:sz w:val="16"/>
        </w:rPr>
        <w:t xml:space="preserve"> 5 </w:t>
      </w:r>
      <w:proofErr w:type="spellStart"/>
      <w:r w:rsidRPr="009355C4">
        <w:rPr>
          <w:sz w:val="16"/>
        </w:rPr>
        <w:t>of</w:t>
      </w:r>
      <w:proofErr w:type="spellEnd"/>
      <w:r w:rsidRPr="009355C4">
        <w:rPr>
          <w:sz w:val="16"/>
        </w:rPr>
        <w:t xml:space="preserve"> </w:t>
      </w:r>
      <w:proofErr w:type="spellStart"/>
      <w:r w:rsidRPr="009355C4">
        <w:rPr>
          <w:sz w:val="16"/>
        </w:rPr>
        <w:t>the</w:t>
      </w:r>
      <w:proofErr w:type="spellEnd"/>
      <w:r w:rsidRPr="009355C4">
        <w:rPr>
          <w:sz w:val="16"/>
        </w:rPr>
        <w:t xml:space="preserve"> </w:t>
      </w:r>
      <w:proofErr w:type="spellStart"/>
      <w:r w:rsidRPr="009355C4">
        <w:rPr>
          <w:sz w:val="16"/>
        </w:rPr>
        <w:t>current</w:t>
      </w:r>
      <w:proofErr w:type="spellEnd"/>
      <w:r w:rsidRPr="009355C4">
        <w:rPr>
          <w:sz w:val="16"/>
        </w:rPr>
        <w:t xml:space="preserve"> EEAG.</w:t>
      </w:r>
    </w:p>
  </w:footnote>
  <w:footnote w:id="2">
    <w:p w:rsidR="00C74B94" w:rsidRDefault="00C74B94" w:rsidP="00C005A0">
      <w:pPr>
        <w:pStyle w:val="Funotentext"/>
      </w:pPr>
      <w:r w:rsidRPr="0066508D">
        <w:rPr>
          <w:rStyle w:val="Funotenzeichen"/>
          <w:sz w:val="16"/>
        </w:rPr>
        <w:footnoteRef/>
      </w:r>
      <w:r w:rsidRPr="0066508D">
        <w:rPr>
          <w:sz w:val="16"/>
        </w:rPr>
        <w:t xml:space="preserve"> </w:t>
      </w:r>
      <w:proofErr w:type="spellStart"/>
      <w:r w:rsidRPr="0066508D">
        <w:rPr>
          <w:sz w:val="16"/>
        </w:rPr>
        <w:t>Compare</w:t>
      </w:r>
      <w:proofErr w:type="spellEnd"/>
      <w:r w:rsidRPr="0066508D">
        <w:rPr>
          <w:sz w:val="16"/>
        </w:rPr>
        <w:t xml:space="preserve"> COM(2</w:t>
      </w:r>
      <w:r>
        <w:rPr>
          <w:sz w:val="16"/>
        </w:rPr>
        <w:t xml:space="preserve">020) 102: „A New Industrial </w:t>
      </w:r>
      <w:proofErr w:type="spellStart"/>
      <w:r>
        <w:rPr>
          <w:sz w:val="16"/>
        </w:rPr>
        <w:t>Strategy</w:t>
      </w:r>
      <w:proofErr w:type="spellEnd"/>
      <w:r>
        <w:rPr>
          <w:sz w:val="16"/>
        </w:rPr>
        <w:t xml:space="preserve"> </w:t>
      </w:r>
      <w:proofErr w:type="spellStart"/>
      <w:r>
        <w:rPr>
          <w:sz w:val="16"/>
        </w:rPr>
        <w:t>for</w:t>
      </w:r>
      <w:proofErr w:type="spellEnd"/>
      <w:r>
        <w:rPr>
          <w:sz w:val="16"/>
        </w:rPr>
        <w:t xml:space="preserve"> Europe“.</w:t>
      </w:r>
    </w:p>
  </w:footnote>
  <w:footnote w:id="3">
    <w:p w:rsidR="00C74B94" w:rsidRPr="001D3379" w:rsidRDefault="00C74B94" w:rsidP="00C005A0">
      <w:pPr>
        <w:pStyle w:val="Default"/>
        <w:rPr>
          <w:sz w:val="23"/>
          <w:szCs w:val="23"/>
        </w:rPr>
      </w:pPr>
      <w:r w:rsidRPr="001D3379">
        <w:rPr>
          <w:rFonts w:asciiTheme="minorHAnsi" w:hAnsiTheme="minorHAnsi" w:cstheme="minorBidi"/>
          <w:color w:val="auto"/>
          <w:sz w:val="16"/>
          <w:szCs w:val="20"/>
          <w:vertAlign w:val="superscript"/>
          <w:lang w:val="de-DE"/>
        </w:rPr>
        <w:footnoteRef/>
      </w:r>
      <w:r w:rsidRPr="001D3379">
        <w:rPr>
          <w:rFonts w:asciiTheme="minorHAnsi" w:hAnsiTheme="minorHAnsi" w:cstheme="minorBidi"/>
          <w:color w:val="auto"/>
          <w:sz w:val="16"/>
          <w:szCs w:val="20"/>
          <w:lang w:val="de-DE"/>
        </w:rPr>
        <w:t xml:space="preserve"> The </w:t>
      </w:r>
      <w:proofErr w:type="spellStart"/>
      <w:r w:rsidRPr="001D3379">
        <w:rPr>
          <w:rFonts w:asciiTheme="minorHAnsi" w:hAnsiTheme="minorHAnsi" w:cstheme="minorBidi"/>
          <w:color w:val="auto"/>
          <w:sz w:val="16"/>
          <w:szCs w:val="20"/>
          <w:lang w:val="de-DE"/>
        </w:rPr>
        <w:t>formulation</w:t>
      </w:r>
      <w:proofErr w:type="spellEnd"/>
      <w:r w:rsidRPr="001D3379">
        <w:rPr>
          <w:rFonts w:asciiTheme="minorHAnsi" w:hAnsiTheme="minorHAnsi" w:cstheme="minorBidi"/>
          <w:color w:val="auto"/>
          <w:sz w:val="16"/>
          <w:szCs w:val="20"/>
          <w:lang w:val="de-DE"/>
        </w:rPr>
        <w:t xml:space="preserve"> in </w:t>
      </w:r>
      <w:proofErr w:type="spellStart"/>
      <w:r w:rsidRPr="001D3379">
        <w:rPr>
          <w:rFonts w:asciiTheme="minorHAnsi" w:hAnsiTheme="minorHAnsi" w:cstheme="minorBidi"/>
          <w:color w:val="auto"/>
          <w:sz w:val="16"/>
          <w:szCs w:val="20"/>
          <w:lang w:val="de-DE"/>
        </w:rPr>
        <w:t>the</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definition</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of</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energy</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infrastructures</w:t>
      </w:r>
      <w:proofErr w:type="spellEnd"/>
      <w:r w:rsidRPr="001D3379">
        <w:rPr>
          <w:rFonts w:asciiTheme="minorHAnsi" w:hAnsiTheme="minorHAnsi" w:cstheme="minorBidi"/>
          <w:color w:val="auto"/>
          <w:sz w:val="16"/>
          <w:szCs w:val="20"/>
          <w:lang w:val="de-DE"/>
        </w:rPr>
        <w:t xml:space="preserve"> in </w:t>
      </w:r>
      <w:proofErr w:type="spellStart"/>
      <w:r w:rsidRPr="001D3379">
        <w:rPr>
          <w:rFonts w:asciiTheme="minorHAnsi" w:hAnsiTheme="minorHAnsi" w:cstheme="minorBidi"/>
          <w:color w:val="auto"/>
          <w:sz w:val="16"/>
          <w:szCs w:val="20"/>
          <w:lang w:val="de-DE"/>
        </w:rPr>
        <w:t>paragraph</w:t>
      </w:r>
      <w:proofErr w:type="spellEnd"/>
      <w:r w:rsidRPr="001D3379">
        <w:rPr>
          <w:rFonts w:asciiTheme="minorHAnsi" w:hAnsiTheme="minorHAnsi" w:cstheme="minorBidi"/>
          <w:color w:val="auto"/>
          <w:sz w:val="16"/>
          <w:szCs w:val="20"/>
          <w:lang w:val="de-DE"/>
        </w:rPr>
        <w:t xml:space="preserve"> 18 (35) (d) (i) </w:t>
      </w:r>
      <w:proofErr w:type="spellStart"/>
      <w:r w:rsidRPr="001D3379">
        <w:rPr>
          <w:rFonts w:asciiTheme="minorHAnsi" w:hAnsiTheme="minorHAnsi" w:cstheme="minorBidi"/>
          <w:color w:val="auto"/>
          <w:sz w:val="16"/>
          <w:szCs w:val="20"/>
          <w:lang w:val="de-DE"/>
        </w:rPr>
        <w:t>is</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better</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suited</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to</w:t>
      </w:r>
      <w:proofErr w:type="spellEnd"/>
      <w:r w:rsidRPr="001D3379">
        <w:rPr>
          <w:rFonts w:asciiTheme="minorHAnsi" w:hAnsiTheme="minorHAnsi" w:cstheme="minorBidi"/>
          <w:color w:val="auto"/>
          <w:sz w:val="16"/>
          <w:szCs w:val="20"/>
          <w:lang w:val="de-DE"/>
        </w:rPr>
        <w:t xml:space="preserve"> </w:t>
      </w:r>
      <w:proofErr w:type="spellStart"/>
      <w:r>
        <w:rPr>
          <w:rFonts w:asciiTheme="minorHAnsi" w:hAnsiTheme="minorHAnsi" w:cstheme="minorBidi"/>
          <w:color w:val="auto"/>
          <w:sz w:val="16"/>
          <w:szCs w:val="20"/>
          <w:lang w:val="de-DE"/>
        </w:rPr>
        <w:t>cover</w:t>
      </w:r>
      <w:proofErr w:type="spellEnd"/>
      <w:r w:rsidRPr="001D3379">
        <w:rPr>
          <w:rFonts w:asciiTheme="minorHAnsi" w:hAnsiTheme="minorHAnsi" w:cstheme="minorBidi"/>
          <w:color w:val="auto"/>
          <w:sz w:val="16"/>
          <w:szCs w:val="20"/>
          <w:lang w:val="de-DE"/>
        </w:rPr>
        <w:t xml:space="preserve"> also </w:t>
      </w:r>
      <w:proofErr w:type="spellStart"/>
      <w:r w:rsidRPr="001D3379">
        <w:rPr>
          <w:rFonts w:asciiTheme="minorHAnsi" w:hAnsiTheme="minorHAnsi" w:cstheme="minorBidi"/>
          <w:color w:val="auto"/>
          <w:sz w:val="16"/>
          <w:szCs w:val="20"/>
          <w:lang w:val="de-DE"/>
        </w:rPr>
        <w:t>process</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emissions</w:t>
      </w:r>
      <w:proofErr w:type="spellEnd"/>
      <w:r w:rsidRPr="001D3379">
        <w:rPr>
          <w:rFonts w:asciiTheme="minorHAnsi" w:hAnsiTheme="minorHAnsi" w:cstheme="minorBidi"/>
          <w:color w:val="auto"/>
          <w:sz w:val="16"/>
          <w:szCs w:val="20"/>
          <w:lang w:val="de-DE"/>
        </w:rPr>
        <w:t>: „</w:t>
      </w:r>
      <w:proofErr w:type="spellStart"/>
      <w:r w:rsidRPr="001D3379">
        <w:rPr>
          <w:rFonts w:asciiTheme="minorHAnsi" w:hAnsiTheme="minorHAnsi" w:cstheme="minorBidi"/>
          <w:color w:val="auto"/>
          <w:sz w:val="16"/>
          <w:szCs w:val="20"/>
          <w:lang w:val="de-DE"/>
        </w:rPr>
        <w:t>industrial</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installations</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including</w:t>
      </w:r>
      <w:proofErr w:type="spellEnd"/>
      <w:r w:rsidRPr="001D3379">
        <w:rPr>
          <w:rFonts w:asciiTheme="minorHAnsi" w:hAnsiTheme="minorHAnsi" w:cstheme="minorBidi"/>
          <w:color w:val="auto"/>
          <w:sz w:val="16"/>
          <w:szCs w:val="20"/>
          <w:lang w:val="de-DE"/>
        </w:rPr>
        <w:t xml:space="preserve"> power </w:t>
      </w:r>
      <w:proofErr w:type="spellStart"/>
      <w:r w:rsidRPr="001D3379">
        <w:rPr>
          <w:rFonts w:asciiTheme="minorHAnsi" w:hAnsiTheme="minorHAnsi" w:cstheme="minorBidi"/>
          <w:color w:val="auto"/>
          <w:sz w:val="16"/>
          <w:szCs w:val="20"/>
          <w:lang w:val="de-DE"/>
        </w:rPr>
        <w:t>plants</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that</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produce</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carbon</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dioxide</w:t>
      </w:r>
      <w:proofErr w:type="spellEnd"/>
      <w:r w:rsidRPr="001D3379">
        <w:rPr>
          <w:rFonts w:asciiTheme="minorHAnsi" w:hAnsiTheme="minorHAnsi" w:cstheme="minorBidi"/>
          <w:color w:val="auto"/>
          <w:sz w:val="16"/>
          <w:szCs w:val="20"/>
          <w:lang w:val="de-DE"/>
        </w:rPr>
        <w:t xml:space="preserve"> gas </w:t>
      </w:r>
      <w:proofErr w:type="spellStart"/>
      <w:r w:rsidRPr="001D3379">
        <w:rPr>
          <w:rFonts w:asciiTheme="minorHAnsi" w:hAnsiTheme="minorHAnsi" w:cstheme="minorBidi"/>
          <w:color w:val="auto"/>
          <w:sz w:val="16"/>
          <w:szCs w:val="20"/>
          <w:lang w:val="de-DE"/>
        </w:rPr>
        <w:t>from</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combustion</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or</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other</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chemical</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reactions</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involving</w:t>
      </w:r>
      <w:proofErr w:type="spellEnd"/>
      <w:r w:rsidRPr="001D3379">
        <w:rPr>
          <w:rFonts w:asciiTheme="minorHAnsi" w:hAnsiTheme="minorHAnsi" w:cstheme="minorBidi"/>
          <w:color w:val="auto"/>
          <w:sz w:val="16"/>
          <w:szCs w:val="20"/>
          <w:lang w:val="de-DE"/>
        </w:rPr>
        <w:t xml:space="preserve"> fossil </w:t>
      </w:r>
      <w:proofErr w:type="spellStart"/>
      <w:r w:rsidRPr="001D3379">
        <w:rPr>
          <w:rFonts w:asciiTheme="minorHAnsi" w:hAnsiTheme="minorHAnsi" w:cstheme="minorBidi"/>
          <w:color w:val="auto"/>
          <w:sz w:val="16"/>
          <w:szCs w:val="20"/>
          <w:lang w:val="de-DE"/>
        </w:rPr>
        <w:t>or</w:t>
      </w:r>
      <w:proofErr w:type="spellEnd"/>
      <w:r w:rsidRPr="001D3379">
        <w:rPr>
          <w:rFonts w:asciiTheme="minorHAnsi" w:hAnsiTheme="minorHAnsi" w:cstheme="minorBidi"/>
          <w:color w:val="auto"/>
          <w:sz w:val="16"/>
          <w:szCs w:val="20"/>
          <w:lang w:val="de-DE"/>
        </w:rPr>
        <w:t xml:space="preserve"> non-fossil </w:t>
      </w:r>
      <w:proofErr w:type="spellStart"/>
      <w:r w:rsidRPr="001D3379">
        <w:rPr>
          <w:rFonts w:asciiTheme="minorHAnsi" w:hAnsiTheme="minorHAnsi" w:cstheme="minorBidi"/>
          <w:color w:val="auto"/>
          <w:sz w:val="16"/>
          <w:szCs w:val="20"/>
          <w:lang w:val="de-DE"/>
        </w:rPr>
        <w:t>carbon-containing</w:t>
      </w:r>
      <w:proofErr w:type="spellEnd"/>
      <w:r w:rsidRPr="001D3379">
        <w:rPr>
          <w:rFonts w:asciiTheme="minorHAnsi" w:hAnsiTheme="minorHAnsi" w:cstheme="minorBidi"/>
          <w:color w:val="auto"/>
          <w:sz w:val="16"/>
          <w:szCs w:val="20"/>
          <w:lang w:val="de-DE"/>
        </w:rPr>
        <w:t xml:space="preserve"> </w:t>
      </w:r>
      <w:proofErr w:type="spellStart"/>
      <w:r w:rsidRPr="001D3379">
        <w:rPr>
          <w:rFonts w:asciiTheme="minorHAnsi" w:hAnsiTheme="minorHAnsi" w:cstheme="minorBidi"/>
          <w:color w:val="auto"/>
          <w:sz w:val="16"/>
          <w:szCs w:val="20"/>
          <w:lang w:val="de-DE"/>
        </w:rPr>
        <w:t>compounds</w:t>
      </w:r>
      <w:proofErr w:type="spellEnd"/>
      <w:r w:rsidRPr="001D3379">
        <w:rPr>
          <w:rFonts w:asciiTheme="minorHAnsi" w:hAnsiTheme="minorHAnsi" w:cstheme="minorBidi"/>
          <w:color w:val="auto"/>
          <w:sz w:val="16"/>
          <w:szCs w:val="20"/>
          <w:lang w:val="de-DE"/>
        </w:rPr>
        <w:t>”</w:t>
      </w:r>
      <w:r>
        <w:rPr>
          <w:rFonts w:asciiTheme="minorHAnsi" w:hAnsiTheme="minorHAnsi" w:cstheme="minorBidi"/>
          <w:color w:val="auto"/>
          <w:sz w:val="16"/>
          <w:szCs w:val="20"/>
          <w:lang w:val="de-DE"/>
        </w:rPr>
        <w:t>.</w:t>
      </w:r>
    </w:p>
  </w:footnote>
  <w:footnote w:id="4">
    <w:p w:rsidR="00C74B94" w:rsidRDefault="00C74B94" w:rsidP="00C005A0">
      <w:pPr>
        <w:pStyle w:val="Funotentext"/>
      </w:pPr>
      <w:r w:rsidRPr="00CF441B">
        <w:rPr>
          <w:rStyle w:val="Funotenzeichen"/>
          <w:sz w:val="16"/>
        </w:rPr>
        <w:footnoteRef/>
      </w:r>
      <w:r w:rsidRPr="00CF441B">
        <w:rPr>
          <w:sz w:val="16"/>
        </w:rPr>
        <w:t xml:space="preserve"> </w:t>
      </w:r>
      <w:proofErr w:type="spellStart"/>
      <w:r w:rsidRPr="00CF441B">
        <w:rPr>
          <w:sz w:val="16"/>
        </w:rPr>
        <w:t>For</w:t>
      </w:r>
      <w:proofErr w:type="spellEnd"/>
      <w:r w:rsidRPr="00CF441B">
        <w:rPr>
          <w:sz w:val="16"/>
        </w:rPr>
        <w:t xml:space="preserve"> a </w:t>
      </w:r>
      <w:proofErr w:type="spellStart"/>
      <w:r w:rsidRPr="00CF441B">
        <w:rPr>
          <w:sz w:val="16"/>
        </w:rPr>
        <w:t>comprehensive</w:t>
      </w:r>
      <w:proofErr w:type="spellEnd"/>
      <w:r w:rsidRPr="00CF441B">
        <w:rPr>
          <w:sz w:val="16"/>
        </w:rPr>
        <w:t xml:space="preserve"> </w:t>
      </w:r>
      <w:proofErr w:type="spellStart"/>
      <w:r w:rsidRPr="00CF441B">
        <w:rPr>
          <w:sz w:val="16"/>
        </w:rPr>
        <w:t>study</w:t>
      </w:r>
      <w:proofErr w:type="spellEnd"/>
      <w:r w:rsidRPr="00CF441B">
        <w:rPr>
          <w:sz w:val="16"/>
        </w:rPr>
        <w:t xml:space="preserve"> on </w:t>
      </w:r>
      <w:proofErr w:type="spellStart"/>
      <w:r w:rsidRPr="00CF441B">
        <w:rPr>
          <w:sz w:val="16"/>
        </w:rPr>
        <w:t>this</w:t>
      </w:r>
      <w:proofErr w:type="spellEnd"/>
      <w:r w:rsidRPr="00CF441B">
        <w:rPr>
          <w:sz w:val="16"/>
        </w:rPr>
        <w:t xml:space="preserve"> </w:t>
      </w:r>
      <w:proofErr w:type="spellStart"/>
      <w:r w:rsidRPr="00CF441B">
        <w:rPr>
          <w:sz w:val="16"/>
        </w:rPr>
        <w:t>effect</w:t>
      </w:r>
      <w:proofErr w:type="spellEnd"/>
      <w:r w:rsidRPr="00CF441B">
        <w:rPr>
          <w:sz w:val="16"/>
        </w:rPr>
        <w:t xml:space="preserve"> </w:t>
      </w:r>
      <w:proofErr w:type="spellStart"/>
      <w:r w:rsidRPr="00CF441B">
        <w:rPr>
          <w:sz w:val="16"/>
        </w:rPr>
        <w:t>see</w:t>
      </w:r>
      <w:proofErr w:type="spellEnd"/>
      <w:r w:rsidRPr="00CF441B">
        <w:rPr>
          <w:sz w:val="16"/>
        </w:rPr>
        <w:t xml:space="preserve">: IVL </w:t>
      </w:r>
      <w:proofErr w:type="spellStart"/>
      <w:r w:rsidRPr="00CF441B">
        <w:rPr>
          <w:sz w:val="16"/>
        </w:rPr>
        <w:t>Swedish</w:t>
      </w:r>
      <w:proofErr w:type="spellEnd"/>
      <w:r w:rsidRPr="00CF441B">
        <w:rPr>
          <w:sz w:val="16"/>
        </w:rPr>
        <w:t xml:space="preserve"> Environmental Research Institute. 2018. „CO</w:t>
      </w:r>
      <w:r w:rsidRPr="00CF441B">
        <w:rPr>
          <w:sz w:val="16"/>
          <w:vertAlign w:val="subscript"/>
        </w:rPr>
        <w:t>2</w:t>
      </w:r>
      <w:r w:rsidRPr="00CF441B">
        <w:rPr>
          <w:sz w:val="16"/>
        </w:rPr>
        <w:t xml:space="preserve"> </w:t>
      </w:r>
      <w:proofErr w:type="spellStart"/>
      <w:r w:rsidRPr="00CF441B">
        <w:rPr>
          <w:sz w:val="16"/>
        </w:rPr>
        <w:t>uptake</w:t>
      </w:r>
      <w:proofErr w:type="spellEnd"/>
      <w:r w:rsidRPr="00CF441B">
        <w:rPr>
          <w:sz w:val="16"/>
        </w:rPr>
        <w:t xml:space="preserve"> in </w:t>
      </w:r>
      <w:proofErr w:type="spellStart"/>
      <w:r w:rsidRPr="00CF441B">
        <w:rPr>
          <w:sz w:val="16"/>
        </w:rPr>
        <w:t>cement-containing</w:t>
      </w:r>
      <w:proofErr w:type="spellEnd"/>
      <w:r w:rsidRPr="00CF441B">
        <w:rPr>
          <w:sz w:val="16"/>
        </w:rPr>
        <w:t xml:space="preserve"> </w:t>
      </w:r>
      <w:proofErr w:type="spellStart"/>
      <w:r w:rsidRPr="00CF441B">
        <w:rPr>
          <w:sz w:val="16"/>
        </w:rPr>
        <w:t>products</w:t>
      </w:r>
      <w:proofErr w:type="spellEnd"/>
      <w:r w:rsidRPr="00CF441B">
        <w:rPr>
          <w:sz w:val="16"/>
        </w:rPr>
        <w:t xml:space="preserve">. Background </w:t>
      </w:r>
      <w:proofErr w:type="spellStart"/>
      <w:r w:rsidRPr="00CF441B">
        <w:rPr>
          <w:sz w:val="16"/>
        </w:rPr>
        <w:t>and</w:t>
      </w:r>
      <w:proofErr w:type="spellEnd"/>
      <w:r w:rsidRPr="00CF441B">
        <w:rPr>
          <w:sz w:val="16"/>
        </w:rPr>
        <w:t xml:space="preserve"> </w:t>
      </w:r>
      <w:proofErr w:type="spellStart"/>
      <w:r w:rsidRPr="00CF441B">
        <w:rPr>
          <w:sz w:val="16"/>
        </w:rPr>
        <w:t>calculation</w:t>
      </w:r>
      <w:proofErr w:type="spellEnd"/>
      <w:r w:rsidRPr="00CF441B">
        <w:rPr>
          <w:sz w:val="16"/>
        </w:rPr>
        <w:t xml:space="preserve"> </w:t>
      </w:r>
      <w:proofErr w:type="spellStart"/>
      <w:r w:rsidRPr="00CF441B">
        <w:rPr>
          <w:sz w:val="16"/>
        </w:rPr>
        <w:t>modelsfor</w:t>
      </w:r>
      <w:proofErr w:type="spellEnd"/>
      <w:r w:rsidRPr="00CF441B">
        <w:rPr>
          <w:sz w:val="16"/>
        </w:rPr>
        <w:t xml:space="preserve"> IPCC </w:t>
      </w:r>
      <w:proofErr w:type="spellStart"/>
      <w:r w:rsidRPr="00CF441B">
        <w:rPr>
          <w:sz w:val="16"/>
        </w:rPr>
        <w:t>implementation</w:t>
      </w:r>
      <w:proofErr w:type="spellEnd"/>
      <w:r w:rsidRPr="00CF441B">
        <w:rPr>
          <w:sz w:val="16"/>
        </w:rPr>
        <w:t xml:space="preserve">.“ </w:t>
      </w:r>
      <w:hyperlink r:id="rId1" w:history="1">
        <w:r w:rsidRPr="00CF441B">
          <w:rPr>
            <w:rStyle w:val="Hyperlink"/>
            <w:sz w:val="16"/>
          </w:rPr>
          <w:t>Link</w:t>
        </w:r>
      </w:hyperlink>
    </w:p>
  </w:footnote>
  <w:footnote w:id="5">
    <w:p w:rsidR="00C74B94" w:rsidRDefault="00C74B94" w:rsidP="00C005A0">
      <w:pPr>
        <w:pStyle w:val="Funotentext"/>
      </w:pPr>
      <w:r w:rsidRPr="008504EC">
        <w:rPr>
          <w:rStyle w:val="Funotenzeichen"/>
          <w:sz w:val="16"/>
        </w:rPr>
        <w:footnoteRef/>
      </w:r>
      <w:r w:rsidRPr="008504EC">
        <w:rPr>
          <w:sz w:val="16"/>
        </w:rPr>
        <w:t xml:space="preserve"> </w:t>
      </w:r>
      <w:r w:rsidRPr="008504EC">
        <w:rPr>
          <w:sz w:val="16"/>
          <w:lang w:val="en-GB"/>
        </w:rPr>
        <w:t>In our recent VDZ decarbonisation roadmap we have conservatively estimated based on available literature on this subject that about 20 % of the process CO</w:t>
      </w:r>
      <w:r w:rsidRPr="008504EC">
        <w:rPr>
          <w:sz w:val="16"/>
          <w:vertAlign w:val="subscript"/>
          <w:lang w:val="en-GB"/>
        </w:rPr>
        <w:t>2</w:t>
      </w:r>
      <w:r w:rsidRPr="008504EC">
        <w:rPr>
          <w:sz w:val="16"/>
          <w:lang w:val="en-GB"/>
        </w:rPr>
        <w:t xml:space="preserve"> emitted during the manufacturing of cement is taken up naturally during the service life of a concrete structure.</w:t>
      </w:r>
    </w:p>
  </w:footnote>
  <w:footnote w:id="6">
    <w:p w:rsidR="00EE1DD2" w:rsidRDefault="00EE1DD2">
      <w:pPr>
        <w:pStyle w:val="Funotentext"/>
      </w:pPr>
      <w:r w:rsidRPr="00EE1DD2">
        <w:rPr>
          <w:rStyle w:val="Funotenzeichen"/>
          <w:sz w:val="16"/>
        </w:rPr>
        <w:footnoteRef/>
      </w:r>
      <w:r w:rsidRPr="00EE1DD2">
        <w:rPr>
          <w:sz w:val="16"/>
        </w:rPr>
        <w:t xml:space="preserve"> </w:t>
      </w:r>
      <w:proofErr w:type="spellStart"/>
      <w:r>
        <w:rPr>
          <w:sz w:val="16"/>
        </w:rPr>
        <w:t>Compare</w:t>
      </w:r>
      <w:proofErr w:type="spellEnd"/>
      <w:r>
        <w:rPr>
          <w:sz w:val="16"/>
        </w:rPr>
        <w:t xml:space="preserve"> German</w:t>
      </w:r>
      <w:r w:rsidRPr="00EE1DD2">
        <w:rPr>
          <w:sz w:val="16"/>
        </w:rPr>
        <w:t xml:space="preserve"> </w:t>
      </w:r>
      <w:proofErr w:type="spellStart"/>
      <w:r>
        <w:rPr>
          <w:sz w:val="16"/>
        </w:rPr>
        <w:t>f</w:t>
      </w:r>
      <w:r w:rsidRPr="00EE1DD2">
        <w:rPr>
          <w:sz w:val="16"/>
        </w:rPr>
        <w:t>unding</w:t>
      </w:r>
      <w:proofErr w:type="spellEnd"/>
      <w:r w:rsidRPr="00EE1DD2">
        <w:rPr>
          <w:sz w:val="16"/>
        </w:rPr>
        <w:t xml:space="preserve"> </w:t>
      </w:r>
      <w:proofErr w:type="spellStart"/>
      <w:r w:rsidRPr="00EE1DD2">
        <w:rPr>
          <w:sz w:val="16"/>
        </w:rPr>
        <w:t>guidelines</w:t>
      </w:r>
      <w:proofErr w:type="spellEnd"/>
      <w:r w:rsidRPr="00EE1DD2">
        <w:rPr>
          <w:sz w:val="16"/>
        </w:rPr>
        <w:t xml:space="preserve"> </w:t>
      </w:r>
      <w:proofErr w:type="spellStart"/>
      <w:r w:rsidRPr="00EE1DD2">
        <w:rPr>
          <w:sz w:val="16"/>
        </w:rPr>
        <w:t>for</w:t>
      </w:r>
      <w:proofErr w:type="spellEnd"/>
      <w:r w:rsidRPr="00EE1DD2">
        <w:rPr>
          <w:sz w:val="16"/>
        </w:rPr>
        <w:t xml:space="preserve"> </w:t>
      </w:r>
      <w:proofErr w:type="spellStart"/>
      <w:r w:rsidRPr="00EE1DD2">
        <w:rPr>
          <w:sz w:val="16"/>
        </w:rPr>
        <w:t>federal</w:t>
      </w:r>
      <w:proofErr w:type="spellEnd"/>
      <w:r w:rsidRPr="00EE1DD2">
        <w:rPr>
          <w:sz w:val="16"/>
        </w:rPr>
        <w:t xml:space="preserve"> </w:t>
      </w:r>
      <w:proofErr w:type="spellStart"/>
      <w:r w:rsidRPr="00EE1DD2">
        <w:rPr>
          <w:sz w:val="16"/>
        </w:rPr>
        <w:t>funding</w:t>
      </w:r>
      <w:proofErr w:type="spellEnd"/>
      <w:r w:rsidRPr="00EE1DD2">
        <w:rPr>
          <w:sz w:val="16"/>
        </w:rPr>
        <w:t xml:space="preserve"> </w:t>
      </w:r>
      <w:proofErr w:type="spellStart"/>
      <w:r w:rsidRPr="00EE1DD2">
        <w:rPr>
          <w:sz w:val="16"/>
        </w:rPr>
        <w:t>for</w:t>
      </w:r>
      <w:proofErr w:type="spellEnd"/>
      <w:r w:rsidRPr="00EE1DD2">
        <w:rPr>
          <w:sz w:val="16"/>
        </w:rPr>
        <w:t xml:space="preserve"> </w:t>
      </w:r>
      <w:proofErr w:type="spellStart"/>
      <w:r w:rsidRPr="00EE1DD2">
        <w:rPr>
          <w:sz w:val="16"/>
        </w:rPr>
        <w:t>efficient</w:t>
      </w:r>
      <w:proofErr w:type="spellEnd"/>
      <w:r w:rsidRPr="00EE1DD2">
        <w:rPr>
          <w:sz w:val="16"/>
        </w:rPr>
        <w:t xml:space="preserve"> </w:t>
      </w:r>
      <w:proofErr w:type="spellStart"/>
      <w:r w:rsidRPr="00EE1DD2">
        <w:rPr>
          <w:sz w:val="16"/>
        </w:rPr>
        <w:t>buildings</w:t>
      </w:r>
      <w:proofErr w:type="spellEnd"/>
      <w:r w:rsidRPr="00EE1DD2">
        <w:rPr>
          <w:sz w:val="16"/>
        </w:rPr>
        <w:t xml:space="preserve"> (BEG), </w:t>
      </w:r>
      <w:proofErr w:type="spellStart"/>
      <w:r w:rsidRPr="00EE1DD2">
        <w:rPr>
          <w:sz w:val="16"/>
        </w:rPr>
        <w:t>residential</w:t>
      </w:r>
      <w:proofErr w:type="spellEnd"/>
      <w:r w:rsidRPr="00EE1DD2">
        <w:rPr>
          <w:sz w:val="16"/>
        </w:rPr>
        <w:t xml:space="preserve"> </w:t>
      </w:r>
      <w:proofErr w:type="spellStart"/>
      <w:r w:rsidRPr="00EE1DD2">
        <w:rPr>
          <w:sz w:val="16"/>
        </w:rPr>
        <w:t>buildings</w:t>
      </w:r>
      <w:proofErr w:type="spellEnd"/>
      <w:r w:rsidRPr="00EE1DD2">
        <w:rPr>
          <w:sz w:val="16"/>
        </w:rPr>
        <w:t xml:space="preserve"> </w:t>
      </w:r>
      <w:proofErr w:type="spellStart"/>
      <w:r w:rsidRPr="00EE1DD2">
        <w:rPr>
          <w:sz w:val="16"/>
        </w:rPr>
        <w:t>and</w:t>
      </w:r>
      <w:proofErr w:type="spellEnd"/>
      <w:r w:rsidRPr="00EE1DD2">
        <w:rPr>
          <w:sz w:val="16"/>
        </w:rPr>
        <w:t xml:space="preserve"> individual </w:t>
      </w:r>
      <w:proofErr w:type="spellStart"/>
      <w:r w:rsidRPr="00EE1DD2">
        <w:rPr>
          <w:sz w:val="16"/>
        </w:rPr>
        <w:t>measures</w:t>
      </w:r>
      <w:proofErr w:type="spellEnd"/>
      <w:r>
        <w:rPr>
          <w:sz w:val="16"/>
        </w:rPr>
        <w:t>.</w:t>
      </w:r>
    </w:p>
  </w:footnote>
  <w:footnote w:id="7">
    <w:p w:rsidR="00056E45" w:rsidRDefault="00056E45">
      <w:pPr>
        <w:pStyle w:val="Funotentext"/>
      </w:pPr>
      <w:r w:rsidRPr="00056E45">
        <w:rPr>
          <w:rStyle w:val="Funotenzeichen"/>
          <w:sz w:val="16"/>
        </w:rPr>
        <w:footnoteRef/>
      </w:r>
      <w:r w:rsidRPr="00056E45">
        <w:rPr>
          <w:sz w:val="16"/>
        </w:rPr>
        <w:t xml:space="preserve"> </w:t>
      </w:r>
      <w:proofErr w:type="spellStart"/>
      <w:r w:rsidRPr="00056E45">
        <w:rPr>
          <w:sz w:val="16"/>
        </w:rPr>
        <w:t>Compare</w:t>
      </w:r>
      <w:proofErr w:type="spellEnd"/>
      <w:r w:rsidRPr="00056E45">
        <w:rPr>
          <w:sz w:val="16"/>
        </w:rPr>
        <w:t xml:space="preserve">: </w:t>
      </w:r>
      <w:hyperlink r:id="rId2" w:history="1">
        <w:r w:rsidRPr="00056E45">
          <w:rPr>
            <w:rStyle w:val="Hyperlink"/>
            <w:sz w:val="16"/>
          </w:rPr>
          <w:t>https://www.theconcreteinitiative.eu/images/TheConcreteInitiative_-_Draft_-_PositionPaper_-_3E_-_2016-10-25.pdf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174E"/>
    <w:multiLevelType w:val="hybridMultilevel"/>
    <w:tmpl w:val="7ECCE1B0"/>
    <w:lvl w:ilvl="0" w:tplc="246C9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8732F6"/>
    <w:multiLevelType w:val="multilevel"/>
    <w:tmpl w:val="A80EB158"/>
    <w:styleLink w:val="oListeAufzhlung"/>
    <w:lvl w:ilvl="0">
      <w:start w:val="1"/>
      <w:numFmt w:val="bullet"/>
      <w:pStyle w:val="oAufzhlung1AltA"/>
      <w:lvlText w:val="-"/>
      <w:lvlJc w:val="left"/>
      <w:pPr>
        <w:ind w:left="425" w:hanging="425"/>
      </w:pPr>
      <w:rPr>
        <w:rFonts w:ascii="Arial" w:hAnsi="Arial" w:hint="default"/>
        <w:color w:val="auto"/>
      </w:rPr>
    </w:lvl>
    <w:lvl w:ilvl="1">
      <w:start w:val="1"/>
      <w:numFmt w:val="bullet"/>
      <w:pStyle w:val="oAufzhlung2"/>
      <w:lvlText w:val="-"/>
      <w:lvlJc w:val="left"/>
      <w:pPr>
        <w:ind w:left="850" w:hanging="425"/>
      </w:pPr>
      <w:rPr>
        <w:rFonts w:ascii="Arial" w:hAnsi="Arial" w:hint="default"/>
        <w:color w:val="auto"/>
      </w:rPr>
    </w:lvl>
    <w:lvl w:ilvl="2">
      <w:start w:val="1"/>
      <w:numFmt w:val="bullet"/>
      <w:pStyle w:val="oAufzhlung3"/>
      <w:lvlText w:val="-"/>
      <w:lvlJc w:val="left"/>
      <w:pPr>
        <w:ind w:left="1275" w:hanging="425"/>
      </w:pPr>
      <w:rPr>
        <w:rFonts w:ascii="Arial" w:hAnsi="Arial" w:hint="default"/>
        <w:color w:val="auto"/>
      </w:rPr>
    </w:lvl>
    <w:lvl w:ilvl="3">
      <w:start w:val="1"/>
      <w:numFmt w:val="bullet"/>
      <w:pStyle w:val="oAufzhlung4"/>
      <w:lvlText w:val="-"/>
      <w:lvlJc w:val="left"/>
      <w:pPr>
        <w:ind w:left="1700" w:hanging="425"/>
      </w:pPr>
      <w:rPr>
        <w:rFonts w:ascii="Arial" w:hAnsi="Arial" w:hint="default"/>
        <w:color w:val="auto"/>
      </w:rPr>
    </w:lvl>
    <w:lvl w:ilvl="4">
      <w:start w:val="1"/>
      <w:numFmt w:val="bullet"/>
      <w:pStyle w:val="oAufzhlung5"/>
      <w:lvlText w:val="-"/>
      <w:lvlJc w:val="left"/>
      <w:pPr>
        <w:ind w:left="2125" w:hanging="425"/>
      </w:pPr>
      <w:rPr>
        <w:rFonts w:ascii="Arial" w:hAnsi="Arial" w:hint="default"/>
        <w:color w:val="auto"/>
      </w:rPr>
    </w:lvl>
    <w:lvl w:ilvl="5">
      <w:start w:val="1"/>
      <w:numFmt w:val="bullet"/>
      <w:pStyle w:val="oAufzhlung6"/>
      <w:lvlText w:val="-"/>
      <w:lvlJc w:val="left"/>
      <w:pPr>
        <w:ind w:left="2550" w:hanging="425"/>
      </w:pPr>
      <w:rPr>
        <w:rFonts w:ascii="Arial" w:hAnsi="Arial" w:hint="default"/>
        <w:color w:val="auto"/>
      </w:rPr>
    </w:lvl>
    <w:lvl w:ilvl="6">
      <w:start w:val="1"/>
      <w:numFmt w:val="bullet"/>
      <w:lvlText w:val="-"/>
      <w:lvlJc w:val="left"/>
      <w:pPr>
        <w:ind w:left="2975" w:hanging="425"/>
      </w:pPr>
      <w:rPr>
        <w:rFonts w:ascii="Arial" w:hAnsi="Arial" w:hint="default"/>
        <w:color w:val="auto"/>
      </w:rPr>
    </w:lvl>
    <w:lvl w:ilvl="7">
      <w:start w:val="1"/>
      <w:numFmt w:val="bullet"/>
      <w:lvlText w:val="-"/>
      <w:lvlJc w:val="left"/>
      <w:pPr>
        <w:ind w:left="3400" w:hanging="425"/>
      </w:pPr>
      <w:rPr>
        <w:rFonts w:ascii="Arial" w:hAnsi="Arial" w:hint="default"/>
        <w:color w:val="auto"/>
      </w:rPr>
    </w:lvl>
    <w:lvl w:ilvl="8">
      <w:start w:val="1"/>
      <w:numFmt w:val="bullet"/>
      <w:lvlText w:val="-"/>
      <w:lvlJc w:val="left"/>
      <w:pPr>
        <w:ind w:left="3825" w:hanging="425"/>
      </w:pPr>
      <w:rPr>
        <w:rFonts w:ascii="Arial" w:hAnsi="Arial" w:hint="default"/>
        <w:color w:val="auto"/>
      </w:rPr>
    </w:lvl>
  </w:abstractNum>
  <w:abstractNum w:abstractNumId="2">
    <w:nsid w:val="475E13AD"/>
    <w:multiLevelType w:val="multilevel"/>
    <w:tmpl w:val="3806CBE8"/>
    <w:styleLink w:val="oListeNumAufzFortsetz"/>
    <w:lvl w:ilvl="0">
      <w:start w:val="1"/>
      <w:numFmt w:val="none"/>
      <w:pStyle w:val="oNumAufzFortsetz1AltF"/>
      <w:suff w:val="nothing"/>
      <w:lvlText w:val=""/>
      <w:lvlJc w:val="left"/>
      <w:pPr>
        <w:ind w:left="425" w:firstLine="0"/>
      </w:pPr>
      <w:rPr>
        <w:rFonts w:hint="default"/>
      </w:rPr>
    </w:lvl>
    <w:lvl w:ilvl="1">
      <w:start w:val="1"/>
      <w:numFmt w:val="none"/>
      <w:pStyle w:val="oNumAufzFortsetz2"/>
      <w:suff w:val="nothing"/>
      <w:lvlText w:val=""/>
      <w:lvlJc w:val="left"/>
      <w:pPr>
        <w:ind w:left="850" w:firstLine="0"/>
      </w:pPr>
      <w:rPr>
        <w:rFonts w:hint="default"/>
      </w:rPr>
    </w:lvl>
    <w:lvl w:ilvl="2">
      <w:start w:val="1"/>
      <w:numFmt w:val="none"/>
      <w:pStyle w:val="oNumAufzFortsetz3"/>
      <w:suff w:val="nothing"/>
      <w:lvlText w:val=""/>
      <w:lvlJc w:val="left"/>
      <w:pPr>
        <w:ind w:left="1275" w:firstLine="0"/>
      </w:pPr>
      <w:rPr>
        <w:rFonts w:hint="default"/>
      </w:rPr>
    </w:lvl>
    <w:lvl w:ilvl="3">
      <w:start w:val="1"/>
      <w:numFmt w:val="none"/>
      <w:pStyle w:val="oNumAufzFortsetz4"/>
      <w:suff w:val="nothing"/>
      <w:lvlText w:val=""/>
      <w:lvlJc w:val="left"/>
      <w:pPr>
        <w:ind w:left="1700" w:firstLine="0"/>
      </w:pPr>
      <w:rPr>
        <w:rFonts w:hint="default"/>
      </w:rPr>
    </w:lvl>
    <w:lvl w:ilvl="4">
      <w:start w:val="1"/>
      <w:numFmt w:val="none"/>
      <w:pStyle w:val="oNumAufzFortsetz5"/>
      <w:suff w:val="nothing"/>
      <w:lvlText w:val=""/>
      <w:lvlJc w:val="left"/>
      <w:pPr>
        <w:ind w:left="2125" w:firstLine="0"/>
      </w:pPr>
      <w:rPr>
        <w:rFonts w:hint="default"/>
      </w:rPr>
    </w:lvl>
    <w:lvl w:ilvl="5">
      <w:start w:val="1"/>
      <w:numFmt w:val="none"/>
      <w:pStyle w:val="oNumAufzFortsetz6"/>
      <w:suff w:val="nothing"/>
      <w:lvlText w:val=""/>
      <w:lvlJc w:val="left"/>
      <w:pPr>
        <w:ind w:left="2550" w:firstLine="0"/>
      </w:pPr>
      <w:rPr>
        <w:rFonts w:hint="default"/>
      </w:rPr>
    </w:lvl>
    <w:lvl w:ilvl="6">
      <w:start w:val="1"/>
      <w:numFmt w:val="none"/>
      <w:suff w:val="nothing"/>
      <w:lvlText w:val=""/>
      <w:lvlJc w:val="left"/>
      <w:pPr>
        <w:ind w:left="2975" w:firstLine="0"/>
      </w:pPr>
      <w:rPr>
        <w:rFonts w:hint="default"/>
      </w:rPr>
    </w:lvl>
    <w:lvl w:ilvl="7">
      <w:start w:val="1"/>
      <w:numFmt w:val="none"/>
      <w:suff w:val="nothing"/>
      <w:lvlText w:val=""/>
      <w:lvlJc w:val="left"/>
      <w:pPr>
        <w:ind w:left="3400" w:firstLine="0"/>
      </w:pPr>
      <w:rPr>
        <w:rFonts w:hint="default"/>
      </w:rPr>
    </w:lvl>
    <w:lvl w:ilvl="8">
      <w:start w:val="1"/>
      <w:numFmt w:val="none"/>
      <w:suff w:val="nothing"/>
      <w:lvlText w:val=""/>
      <w:lvlJc w:val="left"/>
      <w:pPr>
        <w:ind w:left="3825" w:firstLine="0"/>
      </w:pPr>
      <w:rPr>
        <w:rFonts w:hint="default"/>
      </w:rPr>
    </w:lvl>
  </w:abstractNum>
  <w:abstractNum w:abstractNumId="3">
    <w:nsid w:val="54534073"/>
    <w:multiLevelType w:val="multilevel"/>
    <w:tmpl w:val="EB6632B0"/>
    <w:styleLink w:val="oListeNummerierung"/>
    <w:lvl w:ilvl="0">
      <w:start w:val="1"/>
      <w:numFmt w:val="none"/>
      <w:pStyle w:val="oStandardVorNummerierungAltV"/>
      <w:suff w:val="nothing"/>
      <w:lvlText w:val=""/>
      <w:lvlJc w:val="left"/>
      <w:pPr>
        <w:ind w:left="0" w:firstLine="0"/>
      </w:pPr>
      <w:rPr>
        <w:rFonts w:hint="default"/>
      </w:rPr>
    </w:lvl>
    <w:lvl w:ilvl="1">
      <w:start w:val="1"/>
      <w:numFmt w:val="decimal"/>
      <w:pStyle w:val="oNummerierung1AltN"/>
      <w:lvlText w:val="%2."/>
      <w:lvlJc w:val="left"/>
      <w:pPr>
        <w:ind w:left="539" w:hanging="539"/>
      </w:pPr>
      <w:rPr>
        <w:rFonts w:hint="default"/>
      </w:rPr>
    </w:lvl>
    <w:lvl w:ilvl="2">
      <w:start w:val="1"/>
      <w:numFmt w:val="decimal"/>
      <w:pStyle w:val="oNummerierung2"/>
      <w:lvlText w:val="%1%2.%3"/>
      <w:lvlJc w:val="left"/>
      <w:pPr>
        <w:ind w:left="1077" w:hanging="538"/>
      </w:pPr>
      <w:rPr>
        <w:rFonts w:hint="default"/>
      </w:rPr>
    </w:lvl>
    <w:lvl w:ilvl="3">
      <w:start w:val="1"/>
      <w:numFmt w:val="decimal"/>
      <w:pStyle w:val="oNummerierung3"/>
      <w:lvlText w:val="%1%2.%3.%4"/>
      <w:lvlJc w:val="left"/>
      <w:pPr>
        <w:ind w:left="1616" w:hanging="539"/>
      </w:pPr>
      <w:rPr>
        <w:rFonts w:hint="default"/>
      </w:rPr>
    </w:lvl>
    <w:lvl w:ilvl="4">
      <w:start w:val="1"/>
      <w:numFmt w:val="decimal"/>
      <w:pStyle w:val="oNummerierung4"/>
      <w:lvlText w:val="%1%2.%3.%4.%5"/>
      <w:lvlJc w:val="left"/>
      <w:pPr>
        <w:ind w:left="2155" w:hanging="539"/>
      </w:pPr>
      <w:rPr>
        <w:rFonts w:hint="default"/>
      </w:rPr>
    </w:lvl>
    <w:lvl w:ilvl="5">
      <w:start w:val="1"/>
      <w:numFmt w:val="decimal"/>
      <w:pStyle w:val="oNummerierung5"/>
      <w:lvlText w:val="%1%2.%3.%4.%5.%6"/>
      <w:lvlJc w:val="left"/>
      <w:pPr>
        <w:tabs>
          <w:tab w:val="num" w:pos="2155"/>
        </w:tabs>
        <w:ind w:left="2693" w:hanging="538"/>
      </w:pPr>
      <w:rPr>
        <w:rFonts w:hint="default"/>
      </w:rPr>
    </w:lvl>
    <w:lvl w:ilvl="6">
      <w:start w:val="1"/>
      <w:numFmt w:val="decimal"/>
      <w:pStyle w:val="oNummerierung6"/>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4">
    <w:nsid w:val="54C25D1A"/>
    <w:multiLevelType w:val="hybridMultilevel"/>
    <w:tmpl w:val="ECCE39A0"/>
    <w:lvl w:ilvl="0" w:tplc="246C9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F345ED"/>
    <w:multiLevelType w:val="multilevel"/>
    <w:tmpl w:val="290ABA02"/>
    <w:styleLink w:val="o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pStyle w:val="berschrift4"/>
      <w:lvlText w:val="%1.%2.%3.%4"/>
      <w:lvlJc w:val="left"/>
      <w:pPr>
        <w:ind w:left="539" w:hanging="539"/>
      </w:pPr>
      <w:rPr>
        <w:rFonts w:hint="default"/>
      </w:rPr>
    </w:lvl>
    <w:lvl w:ilvl="4">
      <w:start w:val="1"/>
      <w:numFmt w:val="decimal"/>
      <w:pStyle w:val="berschrift5"/>
      <w:lvlText w:val="%1.%2.%3.%4.%5"/>
      <w:lvlJc w:val="left"/>
      <w:pPr>
        <w:ind w:left="539" w:hanging="539"/>
      </w:pPr>
      <w:rPr>
        <w:rFonts w:hint="default"/>
      </w:rPr>
    </w:lvl>
    <w:lvl w:ilvl="5">
      <w:start w:val="1"/>
      <w:numFmt w:val="decimal"/>
      <w:pStyle w:val="berschrift6"/>
      <w:lvlText w:val="%1.%2.%3.%4.%5.%6"/>
      <w:lvlJc w:val="left"/>
      <w:pPr>
        <w:ind w:left="539" w:hanging="539"/>
      </w:pPr>
      <w:rPr>
        <w:rFonts w:hint="default"/>
      </w:rPr>
    </w:lvl>
    <w:lvl w:ilvl="6">
      <w:start w:val="1"/>
      <w:numFmt w:val="decimal"/>
      <w:pStyle w:val="berschrift7"/>
      <w:lvlText w:val="%1.%2.%3.%4.%5.%6.%7"/>
      <w:lvlJc w:val="left"/>
      <w:pPr>
        <w:ind w:left="539" w:hanging="539"/>
      </w:pPr>
      <w:rPr>
        <w:rFonts w:hint="default"/>
      </w:rPr>
    </w:lvl>
    <w:lvl w:ilvl="7">
      <w:start w:val="1"/>
      <w:numFmt w:val="decimal"/>
      <w:pStyle w:val="berschrift8"/>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num w:numId="1">
    <w:abstractNumId w:val="1"/>
  </w:num>
  <w:num w:numId="2">
    <w:abstractNumId w:val="2"/>
  </w:num>
  <w:num w:numId="3">
    <w:abstractNumId w:val="3"/>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2"/>
  </w:num>
  <w:num w:numId="13">
    <w:abstractNumId w:val="2"/>
  </w:num>
  <w:num w:numId="14">
    <w:abstractNumId w:val="2"/>
  </w:num>
  <w:num w:numId="15">
    <w:abstractNumId w:val="2"/>
  </w:num>
  <w:num w:numId="16">
    <w:abstractNumId w:val="2"/>
  </w:num>
  <w:num w:numId="17">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18">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19">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0">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1">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2">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3">
    <w:abstractNumId w:val="3"/>
    <w:lvlOverride w:ilvl="0">
      <w:lvl w:ilvl="0">
        <w:start w:val="1"/>
        <w:numFmt w:val="none"/>
        <w:pStyle w:val="oStandardVorNummerierungAltV"/>
        <w:suff w:val="nothing"/>
        <w:lvlText w:val=""/>
        <w:lvlJc w:val="left"/>
        <w:pPr>
          <w:ind w:left="0" w:firstLine="0"/>
        </w:pPr>
        <w:rPr>
          <w:rFonts w:hint="default"/>
        </w:rPr>
      </w:lvl>
    </w:lvlOverride>
    <w:lvlOverride w:ilvl="1">
      <w:lvl w:ilvl="1">
        <w:start w:val="1"/>
        <w:numFmt w:val="decimal"/>
        <w:pStyle w:val="oNummerierung1AltN"/>
        <w:lvlText w:val="%2."/>
        <w:lvlJc w:val="left"/>
        <w:pPr>
          <w:ind w:left="425" w:hanging="425"/>
        </w:pPr>
        <w:rPr>
          <w:rFonts w:hint="default"/>
        </w:rPr>
      </w:lvl>
    </w:lvlOverride>
    <w:lvlOverride w:ilvl="2">
      <w:lvl w:ilvl="2">
        <w:start w:val="1"/>
        <w:numFmt w:val="decimal"/>
        <w:pStyle w:val="oNummerierung2"/>
        <w:lvlText w:val="%1%2.%3"/>
        <w:lvlJc w:val="left"/>
        <w:pPr>
          <w:ind w:left="851" w:hanging="426"/>
        </w:pPr>
        <w:rPr>
          <w:rFonts w:hint="default"/>
        </w:rPr>
      </w:lvl>
    </w:lvlOverride>
    <w:lvlOverride w:ilvl="3">
      <w:lvl w:ilvl="3">
        <w:start w:val="1"/>
        <w:numFmt w:val="decimal"/>
        <w:pStyle w:val="oNummerierung3"/>
        <w:lvlText w:val="%1%2.%3.%4"/>
        <w:lvlJc w:val="left"/>
        <w:pPr>
          <w:ind w:left="1276" w:hanging="425"/>
        </w:pPr>
        <w:rPr>
          <w:rFonts w:hint="default"/>
        </w:rPr>
      </w:lvl>
    </w:lvlOverride>
    <w:lvlOverride w:ilvl="4">
      <w:lvl w:ilvl="4">
        <w:start w:val="1"/>
        <w:numFmt w:val="decimal"/>
        <w:pStyle w:val="oNummerierung4"/>
        <w:lvlText w:val="%1%2.%3.%4.%5"/>
        <w:lvlJc w:val="left"/>
        <w:pPr>
          <w:ind w:left="1701" w:hanging="425"/>
        </w:pPr>
        <w:rPr>
          <w:rFonts w:hint="default"/>
        </w:rPr>
      </w:lvl>
    </w:lvlOverride>
    <w:lvlOverride w:ilvl="5">
      <w:lvl w:ilvl="5">
        <w:start w:val="1"/>
        <w:numFmt w:val="decimal"/>
        <w:pStyle w:val="oNummerierung5"/>
        <w:lvlText w:val="%1%2.%3.%4.%5.%6"/>
        <w:lvlJc w:val="left"/>
        <w:pPr>
          <w:ind w:left="2126" w:hanging="425"/>
        </w:pPr>
        <w:rPr>
          <w:rFonts w:hint="default"/>
        </w:rPr>
      </w:lvl>
    </w:lvlOverride>
    <w:lvlOverride w:ilvl="6">
      <w:lvl w:ilvl="6">
        <w:start w:val="1"/>
        <w:numFmt w:val="decimal"/>
        <w:pStyle w:val="oNummerierung6"/>
        <w:lvlText w:val="%2.%3.%4.%5.%6.%7"/>
        <w:lvlJc w:val="left"/>
        <w:pPr>
          <w:ind w:left="2552" w:hanging="426"/>
        </w:pPr>
        <w:rPr>
          <w:rFonts w:hint="default"/>
        </w:rPr>
      </w:lvl>
    </w:lvlOverride>
    <w:lvlOverride w:ilvl="7">
      <w:lvl w:ilvl="7">
        <w:start w:val="1"/>
        <w:numFmt w:val="decimal"/>
        <w:lvlText w:val="%2.%3.%4.%5.%6.%7.%8"/>
        <w:lvlJc w:val="left"/>
        <w:pPr>
          <w:ind w:left="2977" w:hanging="425"/>
        </w:pPr>
        <w:rPr>
          <w:rFonts w:hint="default"/>
        </w:rPr>
      </w:lvl>
    </w:lvlOverride>
    <w:lvlOverride w:ilvl="8">
      <w:lvl w:ilvl="8">
        <w:start w:val="1"/>
        <w:numFmt w:val="decimal"/>
        <w:lvlText w:val="%2.%3.%4.%5.%6.%7.%8.%9"/>
        <w:lvlJc w:val="left"/>
        <w:pPr>
          <w:ind w:left="3402" w:hanging="425"/>
        </w:pPr>
        <w:rPr>
          <w:rFonts w:hint="default"/>
        </w:rPr>
      </w:lvl>
    </w:lvlOverride>
  </w:num>
  <w:num w:numId="24">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5">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6">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7">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8">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29">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0">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1">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2">
    <w:abstractNumId w:val="5"/>
    <w:lvlOverride w:ilvl="0">
      <w:lvl w:ilvl="0">
        <w:start w:val="1"/>
        <w:numFmt w:val="decimal"/>
        <w:pStyle w:val="berschrift1"/>
        <w:lvlText w:val="%1"/>
        <w:lvlJc w:val="left"/>
        <w:pPr>
          <w:ind w:left="1134" w:hanging="1134"/>
        </w:pPr>
        <w:rPr>
          <w:rFonts w:hint="default"/>
        </w:rPr>
      </w:lvl>
    </w:lvlOverride>
    <w:lvlOverride w:ilvl="1">
      <w:lvl w:ilvl="1">
        <w:start w:val="1"/>
        <w:numFmt w:val="decimal"/>
        <w:pStyle w:val="berschrift2"/>
        <w:lvlText w:val="%1.%2"/>
        <w:lvlJc w:val="left"/>
        <w:pPr>
          <w:ind w:left="1134" w:hanging="1134"/>
        </w:pPr>
        <w:rPr>
          <w:rFonts w:hint="default"/>
        </w:rPr>
      </w:lvl>
    </w:lvlOverride>
    <w:lvlOverride w:ilvl="2">
      <w:lvl w:ilvl="2">
        <w:start w:val="1"/>
        <w:numFmt w:val="decimal"/>
        <w:pStyle w:val="berschrift3"/>
        <w:lvlText w:val="%1.%2.%3"/>
        <w:lvlJc w:val="left"/>
        <w:pPr>
          <w:ind w:left="1134" w:hanging="1134"/>
        </w:pPr>
        <w:rPr>
          <w:rFonts w:hint="default"/>
        </w:rPr>
      </w:lvl>
    </w:lvlOverride>
    <w:lvlOverride w:ilvl="3">
      <w:lvl w:ilvl="3">
        <w:start w:val="1"/>
        <w:numFmt w:val="decimal"/>
        <w:pStyle w:val="berschrift4"/>
        <w:lvlText w:val="%1.%2.%3.%4"/>
        <w:lvlJc w:val="left"/>
        <w:pPr>
          <w:ind w:left="1134" w:hanging="1134"/>
        </w:pPr>
        <w:rPr>
          <w:rFonts w:hint="default"/>
        </w:rPr>
      </w:lvl>
    </w:lvlOverride>
    <w:lvlOverride w:ilvl="4">
      <w:lvl w:ilvl="4">
        <w:start w:val="1"/>
        <w:numFmt w:val="decimal"/>
        <w:pStyle w:val="berschrift5"/>
        <w:lvlText w:val="%1.%2.%3.%4.%5"/>
        <w:lvlJc w:val="left"/>
        <w:pPr>
          <w:ind w:left="1134" w:hanging="1134"/>
        </w:pPr>
        <w:rPr>
          <w:rFonts w:hint="default"/>
        </w:rPr>
      </w:lvl>
    </w:lvlOverride>
    <w:lvlOverride w:ilvl="5">
      <w:lvl w:ilvl="5">
        <w:start w:val="1"/>
        <w:numFmt w:val="decimal"/>
        <w:pStyle w:val="berschrift6"/>
        <w:lvlText w:val="%1.%2.%3.%4.%5.%6"/>
        <w:lvlJc w:val="left"/>
        <w:pPr>
          <w:ind w:left="1134" w:hanging="1134"/>
        </w:pPr>
        <w:rPr>
          <w:rFonts w:hint="default"/>
        </w:rPr>
      </w:lvl>
    </w:lvlOverride>
    <w:lvlOverride w:ilvl="6">
      <w:lvl w:ilvl="6">
        <w:start w:val="1"/>
        <w:numFmt w:val="decimal"/>
        <w:pStyle w:val="berschrift7"/>
        <w:lvlText w:val="%1.%2.%3.%4.%5.%6.%7"/>
        <w:lvlJc w:val="left"/>
        <w:pPr>
          <w:ind w:left="1134" w:hanging="1134"/>
        </w:pPr>
        <w:rPr>
          <w:rFonts w:hint="default"/>
        </w:rPr>
      </w:lvl>
    </w:lvlOverride>
    <w:lvlOverride w:ilvl="7">
      <w:lvl w:ilvl="7">
        <w:start w:val="1"/>
        <w:numFmt w:val="decimal"/>
        <w:pStyle w:val="berschrift8"/>
        <w:lvlText w:val="%1.%2.%3.%4.%5.%6.%7.%8"/>
        <w:lvlJc w:val="left"/>
        <w:pPr>
          <w:ind w:left="1134" w:hanging="1134"/>
        </w:pPr>
        <w:rPr>
          <w:rFonts w:hint="default"/>
        </w:rPr>
      </w:lvl>
    </w:lvlOverride>
    <w:lvlOverride w:ilvl="8">
      <w:lvl w:ilvl="8">
        <w:start w:val="1"/>
        <w:numFmt w:val="decimal"/>
        <w:pStyle w:val="berschrift9"/>
        <w:lvlText w:val="%1.%2.%3.%4.%5.%6.%7.%8.%9"/>
        <w:lvlJc w:val="left"/>
        <w:pPr>
          <w:ind w:left="1134" w:hanging="1134"/>
        </w:pPr>
        <w:rPr>
          <w:rFonts w:hint="default"/>
        </w:rPr>
      </w:lvl>
    </w:lvlOverride>
  </w:num>
  <w:num w:numId="33">
    <w:abstractNumId w:val="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consecutiveHyphenLimit w:val="3"/>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A0"/>
    <w:rsid w:val="00056E45"/>
    <w:rsid w:val="00095C4A"/>
    <w:rsid w:val="001B7E44"/>
    <w:rsid w:val="001C520B"/>
    <w:rsid w:val="00201DCE"/>
    <w:rsid w:val="00317E6C"/>
    <w:rsid w:val="00393B10"/>
    <w:rsid w:val="0049084D"/>
    <w:rsid w:val="004D1768"/>
    <w:rsid w:val="0065123E"/>
    <w:rsid w:val="00666F88"/>
    <w:rsid w:val="00794C8E"/>
    <w:rsid w:val="007D2FBA"/>
    <w:rsid w:val="008E06DF"/>
    <w:rsid w:val="009547DF"/>
    <w:rsid w:val="00A91D06"/>
    <w:rsid w:val="00B569BD"/>
    <w:rsid w:val="00C005A0"/>
    <w:rsid w:val="00C23F33"/>
    <w:rsid w:val="00C53062"/>
    <w:rsid w:val="00C64EA1"/>
    <w:rsid w:val="00C74B94"/>
    <w:rsid w:val="00DF5BFA"/>
    <w:rsid w:val="00E1146D"/>
    <w:rsid w:val="00EC50B9"/>
    <w:rsid w:val="00EE1DD2"/>
    <w:rsid w:val="00FE41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9"/>
    <w:lsdException w:name="toc 2" w:uiPriority="9"/>
    <w:lsdException w:name="toc 3" w:uiPriority="9"/>
    <w:lsdException w:name="toc 4" w:uiPriority="9" w:unhideWhenUsed="0"/>
    <w:lsdException w:name="toc 5" w:uiPriority="9" w:unhideWhenUsed="0"/>
    <w:lsdException w:name="toc 6" w:uiPriority="9" w:unhideWhenUsed="0"/>
    <w:lsdException w:name="toc 7" w:uiPriority="9" w:unhideWhenUsed="0"/>
    <w:lsdException w:name="toc 8" w:uiPriority="9" w:unhideWhenUsed="0"/>
    <w:lsdException w:name="toc 9" w:uiPriority="39" w:unhideWhenUsed="0"/>
    <w:lsdException w:name="footnote text" w:uiPriority="9"/>
    <w:lsdException w:name="header" w:uiPriority="9"/>
    <w:lsdException w:name="footer" w:uiPriority="9"/>
    <w:lsdException w:name="caption" w:uiPriority="9" w:qFormat="1"/>
    <w:lsdException w:name="table of figures" w:uiPriority="9"/>
    <w:lsdException w:name="footnote reference" w:uiPriority="9"/>
    <w:lsdException w:name="endnote reference" w:uiPriority="9"/>
    <w:lsdException w:name="endnote text" w:uiPriority="9"/>
    <w:lsdException w:name="Title" w:semiHidden="0" w:uiPriority="1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9"/>
    <w:lsdException w:name="TOC Heading" w:uiPriority="39" w:qFormat="1"/>
  </w:latentStyles>
  <w:style w:type="paragraph" w:default="1" w:styleId="Standard">
    <w:name w:val="Normal"/>
    <w:aliases w:val="o_Standard (Alt + S)"/>
    <w:qFormat/>
    <w:rsid w:val="00C005A0"/>
    <w:pPr>
      <w:spacing w:after="0" w:line="288" w:lineRule="auto"/>
      <w:ind w:right="170"/>
    </w:pPr>
    <w:rPr>
      <w:rFonts w:eastAsiaTheme="minorHAnsi"/>
      <w:sz w:val="20"/>
      <w:lang w:eastAsia="en-US"/>
    </w:rPr>
  </w:style>
  <w:style w:type="paragraph" w:styleId="berschrift1">
    <w:name w:val="heading 1"/>
    <w:aliases w:val="o_Überschrift1 (Alt + 1)"/>
    <w:basedOn w:val="Standard"/>
    <w:next w:val="Standard"/>
    <w:link w:val="berschrift1Zchn"/>
    <w:uiPriority w:val="9"/>
    <w:rsid w:val="001C520B"/>
    <w:pPr>
      <w:keepNext/>
      <w:keepLines/>
      <w:numPr>
        <w:numId w:val="32"/>
      </w:numPr>
      <w:spacing w:after="120"/>
      <w:outlineLvl w:val="0"/>
    </w:pPr>
    <w:rPr>
      <w:rFonts w:asciiTheme="majorHAnsi" w:eastAsiaTheme="majorEastAsia" w:hAnsiTheme="majorHAnsi" w:cstheme="majorBidi"/>
      <w:b/>
      <w:bCs/>
      <w:szCs w:val="28"/>
    </w:rPr>
  </w:style>
  <w:style w:type="paragraph" w:styleId="berschrift2">
    <w:name w:val="heading 2"/>
    <w:aliases w:val="o_Überschrift2 (Alt + 2)"/>
    <w:basedOn w:val="Standard"/>
    <w:next w:val="Standard"/>
    <w:link w:val="berschrift2Zchn"/>
    <w:uiPriority w:val="9"/>
    <w:rsid w:val="001C520B"/>
    <w:pPr>
      <w:keepNext/>
      <w:keepLines/>
      <w:numPr>
        <w:ilvl w:val="1"/>
        <w:numId w:val="32"/>
      </w:numPr>
      <w:spacing w:after="120"/>
      <w:outlineLvl w:val="1"/>
    </w:pPr>
    <w:rPr>
      <w:rFonts w:asciiTheme="majorHAnsi" w:eastAsiaTheme="majorEastAsia" w:hAnsiTheme="majorHAnsi" w:cstheme="majorBidi"/>
      <w:b/>
      <w:bCs/>
      <w:szCs w:val="26"/>
    </w:rPr>
  </w:style>
  <w:style w:type="paragraph" w:styleId="berschrift3">
    <w:name w:val="heading 3"/>
    <w:aliases w:val="o_Überschrift3 (Alt + 3)"/>
    <w:basedOn w:val="Standard"/>
    <w:next w:val="Standard"/>
    <w:link w:val="berschrift3Zchn"/>
    <w:uiPriority w:val="9"/>
    <w:rsid w:val="001C520B"/>
    <w:pPr>
      <w:keepNext/>
      <w:keepLines/>
      <w:numPr>
        <w:ilvl w:val="2"/>
        <w:numId w:val="32"/>
      </w:numPr>
      <w:spacing w:after="120"/>
      <w:outlineLvl w:val="2"/>
    </w:pPr>
    <w:rPr>
      <w:rFonts w:asciiTheme="majorHAnsi" w:eastAsiaTheme="majorEastAsia" w:hAnsiTheme="majorHAnsi" w:cstheme="majorBidi"/>
      <w:b/>
      <w:bCs/>
    </w:rPr>
  </w:style>
  <w:style w:type="paragraph" w:styleId="berschrift4">
    <w:name w:val="heading 4"/>
    <w:aliases w:val="o_Überschrift4 (Alt + 4)"/>
    <w:basedOn w:val="Standard"/>
    <w:next w:val="Standard"/>
    <w:link w:val="berschrift4Zchn"/>
    <w:uiPriority w:val="9"/>
    <w:rsid w:val="001C520B"/>
    <w:pPr>
      <w:keepNext/>
      <w:keepLines/>
      <w:numPr>
        <w:ilvl w:val="3"/>
        <w:numId w:val="32"/>
      </w:numPr>
      <w:spacing w:after="120"/>
      <w:outlineLvl w:val="3"/>
    </w:pPr>
    <w:rPr>
      <w:rFonts w:asciiTheme="majorHAnsi" w:eastAsiaTheme="majorEastAsia" w:hAnsiTheme="majorHAnsi" w:cstheme="majorBidi"/>
      <w:b/>
      <w:bCs/>
      <w:iCs/>
    </w:rPr>
  </w:style>
  <w:style w:type="paragraph" w:styleId="berschrift5">
    <w:name w:val="heading 5"/>
    <w:aliases w:val="o_Überschrift5 (Alt + 5)"/>
    <w:basedOn w:val="Standard"/>
    <w:next w:val="Standard"/>
    <w:link w:val="berschrift5Zchn"/>
    <w:uiPriority w:val="9"/>
    <w:semiHidden/>
    <w:rsid w:val="001C520B"/>
    <w:pPr>
      <w:keepNext/>
      <w:keepLines/>
      <w:numPr>
        <w:ilvl w:val="4"/>
        <w:numId w:val="32"/>
      </w:numPr>
      <w:outlineLvl w:val="4"/>
    </w:pPr>
    <w:rPr>
      <w:rFonts w:asciiTheme="majorHAnsi" w:eastAsiaTheme="majorEastAsia" w:hAnsiTheme="majorHAnsi" w:cstheme="majorBidi"/>
      <w:b/>
      <w:noProof/>
      <w:sz w:val="26"/>
    </w:rPr>
  </w:style>
  <w:style w:type="paragraph" w:styleId="berschrift6">
    <w:name w:val="heading 6"/>
    <w:aliases w:val="o_Überschrift6 (Alt + 6)"/>
    <w:basedOn w:val="Standard"/>
    <w:next w:val="Standard"/>
    <w:link w:val="berschrift6Zchn"/>
    <w:uiPriority w:val="9"/>
    <w:semiHidden/>
    <w:rsid w:val="001C520B"/>
    <w:pPr>
      <w:keepNext/>
      <w:keepLines/>
      <w:numPr>
        <w:ilvl w:val="5"/>
        <w:numId w:val="32"/>
      </w:numPr>
      <w:outlineLvl w:val="5"/>
    </w:pPr>
    <w:rPr>
      <w:rFonts w:asciiTheme="majorHAnsi" w:eastAsiaTheme="majorEastAsia" w:hAnsiTheme="majorHAnsi" w:cstheme="majorBidi"/>
      <w:b/>
      <w:iCs/>
      <w:sz w:val="26"/>
    </w:rPr>
  </w:style>
  <w:style w:type="paragraph" w:styleId="berschrift7">
    <w:name w:val="heading 7"/>
    <w:aliases w:val="o_Überschrift7 (Alt + 7)"/>
    <w:basedOn w:val="Standard"/>
    <w:next w:val="Standard"/>
    <w:link w:val="berschrift7Zchn"/>
    <w:uiPriority w:val="9"/>
    <w:semiHidden/>
    <w:rsid w:val="001C520B"/>
    <w:pPr>
      <w:keepNext/>
      <w:keepLines/>
      <w:numPr>
        <w:ilvl w:val="6"/>
        <w:numId w:val="32"/>
      </w:numPr>
      <w:outlineLvl w:val="6"/>
    </w:pPr>
    <w:rPr>
      <w:rFonts w:asciiTheme="majorHAnsi" w:eastAsiaTheme="majorEastAsia" w:hAnsiTheme="majorHAnsi" w:cstheme="majorBidi"/>
      <w:b/>
      <w:iCs/>
      <w:sz w:val="26"/>
    </w:rPr>
  </w:style>
  <w:style w:type="paragraph" w:styleId="berschrift8">
    <w:name w:val="heading 8"/>
    <w:aliases w:val="o_Überschrift8 (Alt + 8)"/>
    <w:basedOn w:val="Standard"/>
    <w:next w:val="Standard"/>
    <w:link w:val="berschrift8Zchn"/>
    <w:uiPriority w:val="9"/>
    <w:semiHidden/>
    <w:rsid w:val="001C520B"/>
    <w:pPr>
      <w:keepNext/>
      <w:keepLines/>
      <w:numPr>
        <w:ilvl w:val="7"/>
        <w:numId w:val="32"/>
      </w:numPr>
      <w:outlineLvl w:val="7"/>
    </w:pPr>
    <w:rPr>
      <w:rFonts w:asciiTheme="majorHAnsi" w:eastAsiaTheme="majorEastAsia" w:hAnsiTheme="majorHAnsi" w:cstheme="majorBidi"/>
      <w:b/>
      <w:sz w:val="26"/>
      <w:szCs w:val="20"/>
    </w:rPr>
  </w:style>
  <w:style w:type="paragraph" w:styleId="berschrift9">
    <w:name w:val="heading 9"/>
    <w:aliases w:val="o_Überschrift9 (Alt + 9)"/>
    <w:basedOn w:val="Standard"/>
    <w:next w:val="Standard"/>
    <w:link w:val="berschrift9Zchn"/>
    <w:uiPriority w:val="9"/>
    <w:semiHidden/>
    <w:rsid w:val="001C520B"/>
    <w:pPr>
      <w:keepNext/>
      <w:keepLines/>
      <w:numPr>
        <w:ilvl w:val="8"/>
        <w:numId w:val="32"/>
      </w:numPr>
      <w:outlineLvl w:val="8"/>
    </w:pPr>
    <w:rPr>
      <w:rFonts w:asciiTheme="majorHAnsi" w:eastAsiaTheme="majorEastAsia" w:hAnsiTheme="majorHAnsi" w:cstheme="majorBidi"/>
      <w:b/>
      <w:iCs/>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C520B"/>
    <w:pPr>
      <w:spacing w:after="0" w:line="240" w:lineRule="auto"/>
    </w:pPr>
  </w:style>
  <w:style w:type="character" w:customStyle="1" w:styleId="berschrift9Zchn">
    <w:name w:val="Überschrift 9 Zchn"/>
    <w:aliases w:val="o_Überschrift9 (Alt + 9) Zchn"/>
    <w:basedOn w:val="Absatz-Standardschriftart"/>
    <w:link w:val="berschrift9"/>
    <w:uiPriority w:val="9"/>
    <w:semiHidden/>
    <w:rsid w:val="001C520B"/>
    <w:rPr>
      <w:rFonts w:asciiTheme="majorHAnsi" w:eastAsiaTheme="majorEastAsia" w:hAnsiTheme="majorHAnsi" w:cstheme="majorBidi"/>
      <w:b/>
      <w:iCs/>
      <w:sz w:val="26"/>
      <w:szCs w:val="20"/>
    </w:rPr>
  </w:style>
  <w:style w:type="character" w:customStyle="1" w:styleId="berschrift8Zchn">
    <w:name w:val="Überschrift 8 Zchn"/>
    <w:aliases w:val="o_Überschrift8 (Alt + 8) Zchn"/>
    <w:basedOn w:val="Absatz-Standardschriftart"/>
    <w:link w:val="berschrift8"/>
    <w:uiPriority w:val="9"/>
    <w:semiHidden/>
    <w:rsid w:val="001C520B"/>
    <w:rPr>
      <w:rFonts w:asciiTheme="majorHAnsi" w:eastAsiaTheme="majorEastAsia" w:hAnsiTheme="majorHAnsi" w:cstheme="majorBidi"/>
      <w:b/>
      <w:sz w:val="26"/>
      <w:szCs w:val="20"/>
    </w:rPr>
  </w:style>
  <w:style w:type="character" w:customStyle="1" w:styleId="berschrift7Zchn">
    <w:name w:val="Überschrift 7 Zchn"/>
    <w:aliases w:val="o_Überschrift7 (Alt + 7) Zchn"/>
    <w:basedOn w:val="Absatz-Standardschriftart"/>
    <w:link w:val="berschrift7"/>
    <w:uiPriority w:val="9"/>
    <w:semiHidden/>
    <w:rsid w:val="001C520B"/>
    <w:rPr>
      <w:rFonts w:asciiTheme="majorHAnsi" w:eastAsiaTheme="majorEastAsia" w:hAnsiTheme="majorHAnsi" w:cstheme="majorBidi"/>
      <w:b/>
      <w:iCs/>
      <w:sz w:val="26"/>
    </w:rPr>
  </w:style>
  <w:style w:type="character" w:customStyle="1" w:styleId="berschrift6Zchn">
    <w:name w:val="Überschrift 6 Zchn"/>
    <w:aliases w:val="o_Überschrift6 (Alt + 6) Zchn"/>
    <w:basedOn w:val="Absatz-Standardschriftart"/>
    <w:link w:val="berschrift6"/>
    <w:uiPriority w:val="9"/>
    <w:semiHidden/>
    <w:rsid w:val="001C520B"/>
    <w:rPr>
      <w:rFonts w:asciiTheme="majorHAnsi" w:eastAsiaTheme="majorEastAsia" w:hAnsiTheme="majorHAnsi" w:cstheme="majorBidi"/>
      <w:b/>
      <w:iCs/>
      <w:sz w:val="26"/>
    </w:rPr>
  </w:style>
  <w:style w:type="character" w:customStyle="1" w:styleId="berschrift5Zchn">
    <w:name w:val="Überschrift 5 Zchn"/>
    <w:aliases w:val="o_Überschrift5 (Alt + 5) Zchn"/>
    <w:basedOn w:val="Absatz-Standardschriftart"/>
    <w:link w:val="berschrift5"/>
    <w:uiPriority w:val="9"/>
    <w:semiHidden/>
    <w:rsid w:val="001C520B"/>
    <w:rPr>
      <w:rFonts w:asciiTheme="majorHAnsi" w:eastAsiaTheme="majorEastAsia" w:hAnsiTheme="majorHAnsi" w:cstheme="majorBidi"/>
      <w:b/>
      <w:noProof/>
      <w:sz w:val="26"/>
    </w:rPr>
  </w:style>
  <w:style w:type="character" w:customStyle="1" w:styleId="berschrift4Zchn">
    <w:name w:val="Überschrift 4 Zchn"/>
    <w:aliases w:val="o_Überschrift4 (Alt + 4) Zchn"/>
    <w:basedOn w:val="Absatz-Standardschriftart"/>
    <w:link w:val="berschrift4"/>
    <w:uiPriority w:val="9"/>
    <w:rsid w:val="001C520B"/>
    <w:rPr>
      <w:rFonts w:asciiTheme="majorHAnsi" w:eastAsiaTheme="majorEastAsia" w:hAnsiTheme="majorHAnsi" w:cstheme="majorBidi"/>
      <w:b/>
      <w:bCs/>
      <w:iCs/>
    </w:rPr>
  </w:style>
  <w:style w:type="paragraph" w:styleId="Verzeichnis9">
    <w:name w:val="toc 9"/>
    <w:basedOn w:val="Standard"/>
    <w:next w:val="Standard"/>
    <w:autoRedefine/>
    <w:uiPriority w:val="39"/>
    <w:semiHidden/>
    <w:rsid w:val="001C520B"/>
    <w:pPr>
      <w:spacing w:after="100"/>
      <w:ind w:left="1760"/>
    </w:pPr>
  </w:style>
  <w:style w:type="paragraph" w:styleId="Verzeichnis8">
    <w:name w:val="toc 8"/>
    <w:aliases w:val="o_Verzeichnis8"/>
    <w:basedOn w:val="Standard"/>
    <w:next w:val="Standard"/>
    <w:uiPriority w:val="9"/>
    <w:semiHidden/>
    <w:rsid w:val="001C520B"/>
    <w:pPr>
      <w:tabs>
        <w:tab w:val="left" w:pos="1701"/>
        <w:tab w:val="right" w:pos="9072"/>
      </w:tabs>
      <w:ind w:left="1701" w:right="567" w:hanging="1701"/>
    </w:pPr>
  </w:style>
  <w:style w:type="paragraph" w:styleId="Verzeichnis7">
    <w:name w:val="toc 7"/>
    <w:aliases w:val="o_Verzeichnis7"/>
    <w:basedOn w:val="Standard"/>
    <w:next w:val="Standard"/>
    <w:uiPriority w:val="9"/>
    <w:semiHidden/>
    <w:rsid w:val="001C520B"/>
    <w:pPr>
      <w:tabs>
        <w:tab w:val="left" w:pos="1701"/>
        <w:tab w:val="right" w:pos="9072"/>
      </w:tabs>
      <w:ind w:left="1701" w:right="567" w:hanging="1701"/>
    </w:pPr>
  </w:style>
  <w:style w:type="paragraph" w:styleId="Verzeichnis6">
    <w:name w:val="toc 6"/>
    <w:aliases w:val="o_Verzeichnis6"/>
    <w:basedOn w:val="Standard"/>
    <w:next w:val="Standard"/>
    <w:uiPriority w:val="9"/>
    <w:semiHidden/>
    <w:rsid w:val="001C520B"/>
    <w:pPr>
      <w:tabs>
        <w:tab w:val="left" w:pos="1134"/>
        <w:tab w:val="right" w:pos="9072"/>
      </w:tabs>
      <w:ind w:left="1134" w:right="567" w:hanging="1134"/>
    </w:pPr>
  </w:style>
  <w:style w:type="paragraph" w:styleId="Verzeichnis5">
    <w:name w:val="toc 5"/>
    <w:aliases w:val="o_Verzeichnis5"/>
    <w:basedOn w:val="Standard"/>
    <w:next w:val="Standard"/>
    <w:uiPriority w:val="9"/>
    <w:semiHidden/>
    <w:rsid w:val="001C520B"/>
    <w:pPr>
      <w:tabs>
        <w:tab w:val="left" w:pos="1134"/>
        <w:tab w:val="right" w:pos="9072"/>
      </w:tabs>
      <w:ind w:left="1134" w:right="567" w:hanging="1134"/>
    </w:pPr>
  </w:style>
  <w:style w:type="paragraph" w:styleId="Verzeichnis4">
    <w:name w:val="toc 4"/>
    <w:aliases w:val="o_Verzeichnis4"/>
    <w:basedOn w:val="Standard"/>
    <w:next w:val="Standard"/>
    <w:uiPriority w:val="9"/>
    <w:rsid w:val="001C520B"/>
    <w:pPr>
      <w:tabs>
        <w:tab w:val="left" w:pos="1134"/>
        <w:tab w:val="right" w:pos="9072"/>
      </w:tabs>
      <w:ind w:left="1134" w:right="567" w:hanging="1134"/>
    </w:pPr>
  </w:style>
  <w:style w:type="paragraph" w:styleId="Untertitel">
    <w:name w:val="Subtitle"/>
    <w:basedOn w:val="Standard"/>
    <w:next w:val="Standard"/>
    <w:link w:val="UntertitelZchn"/>
    <w:uiPriority w:val="11"/>
    <w:semiHidden/>
    <w:qFormat/>
    <w:rsid w:val="001C520B"/>
    <w:pPr>
      <w:numPr>
        <w:ilvl w:val="1"/>
      </w:numPr>
    </w:pPr>
    <w:rPr>
      <w:rFonts w:asciiTheme="majorHAnsi" w:eastAsiaTheme="majorEastAsia" w:hAnsiTheme="majorHAnsi" w:cstheme="majorBidi"/>
      <w:i/>
      <w:iCs/>
      <w:color w:val="00498E" w:themeColor="accent1"/>
      <w:spacing w:val="15"/>
      <w:sz w:val="24"/>
      <w:szCs w:val="24"/>
    </w:rPr>
  </w:style>
  <w:style w:type="character" w:customStyle="1" w:styleId="UntertitelZchn">
    <w:name w:val="Untertitel Zchn"/>
    <w:basedOn w:val="Absatz-Standardschriftart"/>
    <w:link w:val="Untertitel"/>
    <w:uiPriority w:val="11"/>
    <w:rsid w:val="001C520B"/>
    <w:rPr>
      <w:rFonts w:asciiTheme="majorHAnsi" w:eastAsiaTheme="majorEastAsia" w:hAnsiTheme="majorHAnsi" w:cstheme="majorBidi"/>
      <w:i/>
      <w:iCs/>
      <w:color w:val="00498E" w:themeColor="accent1"/>
      <w:spacing w:val="15"/>
      <w:sz w:val="24"/>
      <w:szCs w:val="24"/>
    </w:rPr>
  </w:style>
  <w:style w:type="character" w:styleId="SchwacheHervorhebung">
    <w:name w:val="Subtle Emphasis"/>
    <w:basedOn w:val="Absatz-Standardschriftart"/>
    <w:uiPriority w:val="19"/>
    <w:semiHidden/>
    <w:qFormat/>
    <w:rsid w:val="001C520B"/>
    <w:rPr>
      <w:i/>
      <w:iCs/>
      <w:color w:val="808080" w:themeColor="text1" w:themeTint="7F"/>
    </w:rPr>
  </w:style>
  <w:style w:type="character" w:styleId="Hervorhebung">
    <w:name w:val="Emphasis"/>
    <w:basedOn w:val="Absatz-Standardschriftart"/>
    <w:uiPriority w:val="20"/>
    <w:semiHidden/>
    <w:qFormat/>
    <w:rsid w:val="001C520B"/>
    <w:rPr>
      <w:i/>
      <w:iCs/>
    </w:rPr>
  </w:style>
  <w:style w:type="character" w:styleId="IntensiveHervorhebung">
    <w:name w:val="Intense Emphasis"/>
    <w:basedOn w:val="Absatz-Standardschriftart"/>
    <w:uiPriority w:val="21"/>
    <w:semiHidden/>
    <w:qFormat/>
    <w:rsid w:val="001C520B"/>
    <w:rPr>
      <w:b/>
      <w:bCs/>
      <w:i/>
      <w:iCs/>
      <w:color w:val="00498E" w:themeColor="accent1"/>
    </w:rPr>
  </w:style>
  <w:style w:type="paragraph" w:styleId="Zitat">
    <w:name w:val="Quote"/>
    <w:basedOn w:val="Standard"/>
    <w:next w:val="Standard"/>
    <w:link w:val="ZitatZchn"/>
    <w:uiPriority w:val="29"/>
    <w:semiHidden/>
    <w:qFormat/>
    <w:rsid w:val="001C520B"/>
    <w:rPr>
      <w:i/>
      <w:iCs/>
      <w:color w:val="000000" w:themeColor="text1"/>
    </w:rPr>
  </w:style>
  <w:style w:type="character" w:customStyle="1" w:styleId="ZitatZchn">
    <w:name w:val="Zitat Zchn"/>
    <w:basedOn w:val="Absatz-Standardschriftart"/>
    <w:link w:val="Zitat"/>
    <w:uiPriority w:val="29"/>
    <w:rsid w:val="001C520B"/>
    <w:rPr>
      <w:i/>
      <w:iCs/>
      <w:color w:val="000000" w:themeColor="text1"/>
    </w:rPr>
  </w:style>
  <w:style w:type="paragraph" w:styleId="IntensivesZitat">
    <w:name w:val="Intense Quote"/>
    <w:basedOn w:val="Standard"/>
    <w:next w:val="Standard"/>
    <w:link w:val="IntensivesZitatZchn"/>
    <w:uiPriority w:val="30"/>
    <w:semiHidden/>
    <w:qFormat/>
    <w:rsid w:val="001C520B"/>
    <w:pPr>
      <w:pBdr>
        <w:bottom w:val="single" w:sz="4" w:space="4" w:color="00498E" w:themeColor="accent1"/>
      </w:pBdr>
      <w:spacing w:before="200" w:after="280"/>
      <w:ind w:left="936" w:right="936"/>
    </w:pPr>
    <w:rPr>
      <w:b/>
      <w:bCs/>
      <w:i/>
      <w:iCs/>
      <w:color w:val="00498E" w:themeColor="accent1"/>
    </w:rPr>
  </w:style>
  <w:style w:type="character" w:customStyle="1" w:styleId="IntensivesZitatZchn">
    <w:name w:val="Intensives Zitat Zchn"/>
    <w:basedOn w:val="Absatz-Standardschriftart"/>
    <w:link w:val="IntensivesZitat"/>
    <w:uiPriority w:val="30"/>
    <w:rsid w:val="001C520B"/>
    <w:rPr>
      <w:b/>
      <w:bCs/>
      <w:i/>
      <w:iCs/>
      <w:color w:val="00498E" w:themeColor="accent1"/>
    </w:rPr>
  </w:style>
  <w:style w:type="character" w:styleId="SchwacherVerweis">
    <w:name w:val="Subtle Reference"/>
    <w:basedOn w:val="Absatz-Standardschriftart"/>
    <w:uiPriority w:val="31"/>
    <w:semiHidden/>
    <w:qFormat/>
    <w:rsid w:val="001C520B"/>
    <w:rPr>
      <w:smallCaps/>
      <w:color w:val="009999" w:themeColor="accent2"/>
      <w:u w:val="single"/>
    </w:rPr>
  </w:style>
  <w:style w:type="character" w:styleId="IntensiverVerweis">
    <w:name w:val="Intense Reference"/>
    <w:basedOn w:val="Absatz-Standardschriftart"/>
    <w:uiPriority w:val="32"/>
    <w:semiHidden/>
    <w:qFormat/>
    <w:rsid w:val="001C520B"/>
    <w:rPr>
      <w:b/>
      <w:bCs/>
      <w:smallCaps/>
      <w:color w:val="009999" w:themeColor="accent2"/>
      <w:spacing w:val="5"/>
      <w:u w:val="single"/>
    </w:rPr>
  </w:style>
  <w:style w:type="character" w:styleId="Buchtitel">
    <w:name w:val="Book Title"/>
    <w:basedOn w:val="Absatz-Standardschriftart"/>
    <w:uiPriority w:val="33"/>
    <w:semiHidden/>
    <w:qFormat/>
    <w:rsid w:val="001C520B"/>
    <w:rPr>
      <w:b/>
      <w:bCs/>
      <w:smallCaps/>
      <w:spacing w:val="5"/>
    </w:rPr>
  </w:style>
  <w:style w:type="paragraph" w:styleId="Listenabsatz">
    <w:name w:val="List Paragraph"/>
    <w:basedOn w:val="Standard"/>
    <w:uiPriority w:val="34"/>
    <w:qFormat/>
    <w:rsid w:val="001C520B"/>
    <w:pPr>
      <w:ind w:left="720"/>
      <w:contextualSpacing/>
    </w:pPr>
  </w:style>
  <w:style w:type="character" w:styleId="Fett">
    <w:name w:val="Strong"/>
    <w:basedOn w:val="Absatz-Standardschriftart"/>
    <w:uiPriority w:val="22"/>
    <w:semiHidden/>
    <w:qFormat/>
    <w:rsid w:val="001C520B"/>
    <w:rPr>
      <w:b/>
      <w:bCs/>
    </w:rPr>
  </w:style>
  <w:style w:type="paragraph" w:styleId="Titel">
    <w:name w:val="Title"/>
    <w:basedOn w:val="Standard"/>
    <w:next w:val="Standard"/>
    <w:link w:val="TitelZchn"/>
    <w:uiPriority w:val="10"/>
    <w:semiHidden/>
    <w:qFormat/>
    <w:rsid w:val="001C520B"/>
    <w:pPr>
      <w:pBdr>
        <w:bottom w:val="single" w:sz="8" w:space="4" w:color="00498E" w:themeColor="accent1"/>
      </w:pBdr>
      <w:spacing w:after="300" w:line="240" w:lineRule="auto"/>
      <w:contextualSpacing/>
    </w:pPr>
    <w:rPr>
      <w:rFonts w:asciiTheme="majorHAnsi" w:eastAsiaTheme="majorEastAsia" w:hAnsiTheme="majorHAnsi" w:cstheme="majorBidi"/>
      <w:color w:val="4F7313" w:themeColor="text2" w:themeShade="BF"/>
      <w:spacing w:val="5"/>
      <w:kern w:val="28"/>
      <w:sz w:val="52"/>
      <w:szCs w:val="52"/>
    </w:rPr>
  </w:style>
  <w:style w:type="character" w:customStyle="1" w:styleId="TitelZchn">
    <w:name w:val="Titel Zchn"/>
    <w:basedOn w:val="Absatz-Standardschriftart"/>
    <w:link w:val="Titel"/>
    <w:uiPriority w:val="10"/>
    <w:rsid w:val="001C520B"/>
    <w:rPr>
      <w:rFonts w:asciiTheme="majorHAnsi" w:eastAsiaTheme="majorEastAsia" w:hAnsiTheme="majorHAnsi" w:cstheme="majorBidi"/>
      <w:color w:val="4F7313" w:themeColor="text2" w:themeShade="BF"/>
      <w:spacing w:val="5"/>
      <w:kern w:val="28"/>
      <w:sz w:val="52"/>
      <w:szCs w:val="52"/>
    </w:rPr>
  </w:style>
  <w:style w:type="numbering" w:customStyle="1" w:styleId="oListeAufzhlung">
    <w:name w:val="o_ListeAufzählung"/>
    <w:basedOn w:val="KeineListe"/>
    <w:uiPriority w:val="99"/>
    <w:rsid w:val="001C520B"/>
    <w:pPr>
      <w:numPr>
        <w:numId w:val="1"/>
      </w:numPr>
    </w:pPr>
  </w:style>
  <w:style w:type="numbering" w:customStyle="1" w:styleId="oListeNumAufzFortsetz">
    <w:name w:val="o_ListeNumAufzFortsetz"/>
    <w:basedOn w:val="KeineListe"/>
    <w:uiPriority w:val="99"/>
    <w:rsid w:val="001C520B"/>
    <w:pPr>
      <w:numPr>
        <w:numId w:val="2"/>
      </w:numPr>
    </w:pPr>
  </w:style>
  <w:style w:type="numbering" w:customStyle="1" w:styleId="oListeNummerierung">
    <w:name w:val="o_ListeNummerierung"/>
    <w:basedOn w:val="KeineListe"/>
    <w:uiPriority w:val="99"/>
    <w:rsid w:val="001C520B"/>
    <w:pPr>
      <w:numPr>
        <w:numId w:val="3"/>
      </w:numPr>
    </w:pPr>
  </w:style>
  <w:style w:type="numbering" w:customStyle="1" w:styleId="oListeberschrift">
    <w:name w:val="o_ListeÜberschrift"/>
    <w:basedOn w:val="KeineListe"/>
    <w:uiPriority w:val="99"/>
    <w:rsid w:val="001C520B"/>
    <w:pPr>
      <w:numPr>
        <w:numId w:val="4"/>
      </w:numPr>
    </w:pPr>
  </w:style>
  <w:style w:type="paragraph" w:styleId="Abbildungsverzeichnis">
    <w:name w:val="table of figures"/>
    <w:aliases w:val="o_Abbildungsverzeichnis"/>
    <w:basedOn w:val="Standard"/>
    <w:next w:val="Standard"/>
    <w:uiPriority w:val="9"/>
    <w:unhideWhenUsed/>
    <w:rsid w:val="001C520B"/>
    <w:pPr>
      <w:contextualSpacing/>
    </w:pPr>
  </w:style>
  <w:style w:type="paragraph" w:customStyle="1" w:styleId="oAufzhlung1AltA">
    <w:name w:val="o_Aufzählung1 (Alt + A)"/>
    <w:basedOn w:val="Standard"/>
    <w:next w:val="Standard"/>
    <w:uiPriority w:val="1"/>
    <w:qFormat/>
    <w:rsid w:val="001C520B"/>
    <w:pPr>
      <w:numPr>
        <w:numId w:val="10"/>
      </w:numPr>
    </w:pPr>
    <w:rPr>
      <w:noProof/>
    </w:rPr>
  </w:style>
  <w:style w:type="paragraph" w:customStyle="1" w:styleId="oAufzhlung2">
    <w:name w:val="o_Aufzählung2"/>
    <w:basedOn w:val="Standard"/>
    <w:next w:val="Standard"/>
    <w:uiPriority w:val="1"/>
    <w:rsid w:val="001C520B"/>
    <w:pPr>
      <w:numPr>
        <w:ilvl w:val="1"/>
        <w:numId w:val="10"/>
      </w:numPr>
    </w:pPr>
  </w:style>
  <w:style w:type="paragraph" w:customStyle="1" w:styleId="oAufzhlung3">
    <w:name w:val="o_Aufzählung3"/>
    <w:basedOn w:val="Standard"/>
    <w:next w:val="Standard"/>
    <w:uiPriority w:val="9"/>
    <w:semiHidden/>
    <w:rsid w:val="001C520B"/>
    <w:pPr>
      <w:numPr>
        <w:ilvl w:val="2"/>
        <w:numId w:val="10"/>
      </w:numPr>
    </w:pPr>
    <w:rPr>
      <w:noProof/>
    </w:rPr>
  </w:style>
  <w:style w:type="paragraph" w:customStyle="1" w:styleId="oAufzhlung4">
    <w:name w:val="o_Aufzählung4"/>
    <w:basedOn w:val="Standard"/>
    <w:next w:val="Standard"/>
    <w:uiPriority w:val="9"/>
    <w:semiHidden/>
    <w:rsid w:val="001C520B"/>
    <w:pPr>
      <w:numPr>
        <w:ilvl w:val="3"/>
        <w:numId w:val="10"/>
      </w:numPr>
    </w:pPr>
  </w:style>
  <w:style w:type="paragraph" w:customStyle="1" w:styleId="oAufzhlung5">
    <w:name w:val="o_Aufzählung5"/>
    <w:basedOn w:val="Standard"/>
    <w:next w:val="Standard"/>
    <w:uiPriority w:val="9"/>
    <w:semiHidden/>
    <w:rsid w:val="001C520B"/>
    <w:pPr>
      <w:numPr>
        <w:ilvl w:val="4"/>
        <w:numId w:val="10"/>
      </w:numPr>
    </w:pPr>
    <w:rPr>
      <w:noProof/>
    </w:rPr>
  </w:style>
  <w:style w:type="paragraph" w:customStyle="1" w:styleId="oAufzhlung6">
    <w:name w:val="o_Aufzählung6"/>
    <w:basedOn w:val="Standard"/>
    <w:next w:val="Standard"/>
    <w:uiPriority w:val="9"/>
    <w:semiHidden/>
    <w:rsid w:val="001C520B"/>
    <w:pPr>
      <w:numPr>
        <w:ilvl w:val="5"/>
        <w:numId w:val="10"/>
      </w:numPr>
    </w:pPr>
    <w:rPr>
      <w:noProof/>
    </w:rPr>
  </w:style>
  <w:style w:type="paragraph" w:styleId="Beschriftung">
    <w:name w:val="caption"/>
    <w:aliases w:val="o_Beschriftung"/>
    <w:basedOn w:val="Standard"/>
    <w:next w:val="Standard"/>
    <w:uiPriority w:val="9"/>
    <w:rsid w:val="001C520B"/>
    <w:pPr>
      <w:spacing w:before="60"/>
      <w:ind w:left="1134" w:hanging="1134"/>
    </w:pPr>
    <w:rPr>
      <w:bCs/>
      <w:szCs w:val="18"/>
    </w:rPr>
  </w:style>
  <w:style w:type="paragraph" w:styleId="Endnotentext">
    <w:name w:val="endnote text"/>
    <w:aliases w:val="o_Endnotentext"/>
    <w:basedOn w:val="Standard"/>
    <w:link w:val="EndnotentextZchn"/>
    <w:uiPriority w:val="9"/>
    <w:rsid w:val="001C520B"/>
    <w:pPr>
      <w:spacing w:line="240" w:lineRule="auto"/>
    </w:pPr>
    <w:rPr>
      <w:sz w:val="18"/>
      <w:szCs w:val="20"/>
    </w:rPr>
  </w:style>
  <w:style w:type="character" w:customStyle="1" w:styleId="EndnotentextZchn">
    <w:name w:val="Endnotentext Zchn"/>
    <w:aliases w:val="o_Endnotentext Zchn"/>
    <w:basedOn w:val="Absatz-Standardschriftart"/>
    <w:link w:val="Endnotentext"/>
    <w:uiPriority w:val="9"/>
    <w:rsid w:val="001C520B"/>
    <w:rPr>
      <w:sz w:val="18"/>
      <w:szCs w:val="20"/>
    </w:rPr>
  </w:style>
  <w:style w:type="character" w:styleId="Endnotenzeichen">
    <w:name w:val="endnote reference"/>
    <w:aliases w:val="o_Endnotenzeichen"/>
    <w:basedOn w:val="Absatz-Standardschriftart"/>
    <w:uiPriority w:val="9"/>
    <w:rsid w:val="001C520B"/>
    <w:rPr>
      <w:vertAlign w:val="superscript"/>
    </w:rPr>
  </w:style>
  <w:style w:type="paragraph" w:styleId="Funotentext">
    <w:name w:val="footnote text"/>
    <w:aliases w:val="o_Fußnotentext"/>
    <w:basedOn w:val="Standard"/>
    <w:link w:val="FunotentextZchn"/>
    <w:uiPriority w:val="9"/>
    <w:rsid w:val="001C520B"/>
    <w:pPr>
      <w:spacing w:line="240" w:lineRule="auto"/>
    </w:pPr>
    <w:rPr>
      <w:sz w:val="18"/>
      <w:szCs w:val="20"/>
    </w:rPr>
  </w:style>
  <w:style w:type="character" w:customStyle="1" w:styleId="FunotentextZchn">
    <w:name w:val="Fußnotentext Zchn"/>
    <w:aliases w:val="o_Fußnotentext Zchn"/>
    <w:basedOn w:val="Absatz-Standardschriftart"/>
    <w:link w:val="Funotentext"/>
    <w:uiPriority w:val="9"/>
    <w:rsid w:val="001C520B"/>
    <w:rPr>
      <w:sz w:val="18"/>
      <w:szCs w:val="20"/>
    </w:rPr>
  </w:style>
  <w:style w:type="character" w:styleId="Funotenzeichen">
    <w:name w:val="footnote reference"/>
    <w:aliases w:val="o_Fußnotenzeichen"/>
    <w:basedOn w:val="Absatz-Standardschriftart"/>
    <w:uiPriority w:val="9"/>
    <w:rsid w:val="001C520B"/>
    <w:rPr>
      <w:vertAlign w:val="superscript"/>
    </w:rPr>
  </w:style>
  <w:style w:type="paragraph" w:styleId="Fuzeile">
    <w:name w:val="footer"/>
    <w:aliases w:val="o_Fußzeile"/>
    <w:basedOn w:val="Standard"/>
    <w:link w:val="FuzeileZchn"/>
    <w:uiPriority w:val="9"/>
    <w:rsid w:val="001C520B"/>
    <w:rPr>
      <w:sz w:val="18"/>
    </w:rPr>
  </w:style>
  <w:style w:type="character" w:customStyle="1" w:styleId="FuzeileZchn">
    <w:name w:val="Fußzeile Zchn"/>
    <w:aliases w:val="o_Fußzeile Zchn"/>
    <w:basedOn w:val="Absatz-Standardschriftart"/>
    <w:link w:val="Fuzeile"/>
    <w:uiPriority w:val="9"/>
    <w:rsid w:val="001C520B"/>
    <w:rPr>
      <w:sz w:val="18"/>
    </w:rPr>
  </w:style>
  <w:style w:type="character" w:styleId="Hyperlink">
    <w:name w:val="Hyperlink"/>
    <w:aliases w:val="o_Hyperlink"/>
    <w:basedOn w:val="Absatz-Standardschriftart"/>
    <w:uiPriority w:val="9"/>
    <w:rsid w:val="001C520B"/>
    <w:rPr>
      <w:color w:val="00498E" w:themeColor="accent1"/>
      <w:u w:val="single"/>
    </w:rPr>
  </w:style>
  <w:style w:type="paragraph" w:styleId="Kopfzeile">
    <w:name w:val="header"/>
    <w:aliases w:val="o_Kopfzeile"/>
    <w:basedOn w:val="Standard"/>
    <w:link w:val="KopfzeileZchn"/>
    <w:uiPriority w:val="9"/>
    <w:rsid w:val="001C520B"/>
    <w:rPr>
      <w:sz w:val="18"/>
    </w:rPr>
  </w:style>
  <w:style w:type="character" w:customStyle="1" w:styleId="KopfzeileZchn">
    <w:name w:val="Kopfzeile Zchn"/>
    <w:aliases w:val="o_Kopfzeile Zchn"/>
    <w:basedOn w:val="Absatz-Standardschriftart"/>
    <w:link w:val="Kopfzeile"/>
    <w:uiPriority w:val="9"/>
    <w:rsid w:val="001C520B"/>
    <w:rPr>
      <w:sz w:val="18"/>
    </w:rPr>
  </w:style>
  <w:style w:type="paragraph" w:customStyle="1" w:styleId="oNumAufzFortsetz1AltF">
    <w:name w:val="o_NumAufzFortsetz1 (Alt + F)"/>
    <w:basedOn w:val="Standard"/>
    <w:next w:val="Standard"/>
    <w:uiPriority w:val="3"/>
    <w:rsid w:val="001C520B"/>
    <w:pPr>
      <w:numPr>
        <w:numId w:val="16"/>
      </w:numPr>
    </w:pPr>
  </w:style>
  <w:style w:type="paragraph" w:customStyle="1" w:styleId="oNumAufzFortsetz2">
    <w:name w:val="o_NumAufzFortsetz2"/>
    <w:basedOn w:val="Standard"/>
    <w:next w:val="Standard"/>
    <w:uiPriority w:val="3"/>
    <w:rsid w:val="001C520B"/>
    <w:pPr>
      <w:numPr>
        <w:ilvl w:val="1"/>
        <w:numId w:val="16"/>
      </w:numPr>
    </w:pPr>
  </w:style>
  <w:style w:type="paragraph" w:customStyle="1" w:styleId="oNumAufzFortsetz3">
    <w:name w:val="o_NumAufzFortsetz3"/>
    <w:basedOn w:val="Standard"/>
    <w:next w:val="Standard"/>
    <w:uiPriority w:val="9"/>
    <w:semiHidden/>
    <w:rsid w:val="001C520B"/>
    <w:pPr>
      <w:numPr>
        <w:ilvl w:val="2"/>
        <w:numId w:val="16"/>
      </w:numPr>
    </w:pPr>
  </w:style>
  <w:style w:type="paragraph" w:customStyle="1" w:styleId="oNumAufzFortsetz4">
    <w:name w:val="o_NumAufzFortsetz4"/>
    <w:basedOn w:val="Standard"/>
    <w:next w:val="Standard"/>
    <w:uiPriority w:val="9"/>
    <w:semiHidden/>
    <w:rsid w:val="001C520B"/>
    <w:pPr>
      <w:numPr>
        <w:ilvl w:val="3"/>
        <w:numId w:val="16"/>
      </w:numPr>
    </w:pPr>
  </w:style>
  <w:style w:type="paragraph" w:customStyle="1" w:styleId="oNumAufzFortsetz5">
    <w:name w:val="o_NumAufzFortsetz5"/>
    <w:basedOn w:val="Standard"/>
    <w:next w:val="Standard"/>
    <w:uiPriority w:val="9"/>
    <w:semiHidden/>
    <w:rsid w:val="001C520B"/>
    <w:pPr>
      <w:numPr>
        <w:ilvl w:val="4"/>
        <w:numId w:val="16"/>
      </w:numPr>
    </w:pPr>
  </w:style>
  <w:style w:type="paragraph" w:customStyle="1" w:styleId="oNumAufzFortsetz6">
    <w:name w:val="o_NumAufzFortsetz6"/>
    <w:basedOn w:val="Standard"/>
    <w:next w:val="Standard"/>
    <w:uiPriority w:val="9"/>
    <w:semiHidden/>
    <w:rsid w:val="001C520B"/>
    <w:pPr>
      <w:numPr>
        <w:ilvl w:val="5"/>
        <w:numId w:val="16"/>
      </w:numPr>
    </w:pPr>
  </w:style>
  <w:style w:type="paragraph" w:customStyle="1" w:styleId="oNummerierung1AltN">
    <w:name w:val="o_Nummerierung1 (Alt + N)"/>
    <w:basedOn w:val="Standard"/>
    <w:next w:val="Standard"/>
    <w:uiPriority w:val="2"/>
    <w:qFormat/>
    <w:rsid w:val="001C520B"/>
    <w:pPr>
      <w:numPr>
        <w:ilvl w:val="1"/>
        <w:numId w:val="23"/>
      </w:numPr>
    </w:pPr>
    <w:rPr>
      <w:noProof/>
    </w:rPr>
  </w:style>
  <w:style w:type="paragraph" w:customStyle="1" w:styleId="oNummerierung2">
    <w:name w:val="o_Nummerierung2"/>
    <w:basedOn w:val="Standard"/>
    <w:next w:val="Standard"/>
    <w:uiPriority w:val="2"/>
    <w:rsid w:val="001C520B"/>
    <w:pPr>
      <w:numPr>
        <w:ilvl w:val="2"/>
        <w:numId w:val="23"/>
      </w:numPr>
    </w:pPr>
  </w:style>
  <w:style w:type="paragraph" w:customStyle="1" w:styleId="oNummerierung3">
    <w:name w:val="o_Nummerierung3"/>
    <w:basedOn w:val="Standard"/>
    <w:next w:val="Standard"/>
    <w:uiPriority w:val="9"/>
    <w:semiHidden/>
    <w:rsid w:val="001C520B"/>
    <w:pPr>
      <w:numPr>
        <w:ilvl w:val="3"/>
        <w:numId w:val="23"/>
      </w:numPr>
    </w:pPr>
    <w:rPr>
      <w:noProof/>
    </w:rPr>
  </w:style>
  <w:style w:type="paragraph" w:customStyle="1" w:styleId="oNummerierung4">
    <w:name w:val="o_Nummerierung4"/>
    <w:basedOn w:val="Standard"/>
    <w:next w:val="Standard"/>
    <w:uiPriority w:val="9"/>
    <w:semiHidden/>
    <w:rsid w:val="001C520B"/>
    <w:pPr>
      <w:numPr>
        <w:ilvl w:val="4"/>
        <w:numId w:val="23"/>
      </w:numPr>
    </w:pPr>
    <w:rPr>
      <w:noProof/>
    </w:rPr>
  </w:style>
  <w:style w:type="paragraph" w:customStyle="1" w:styleId="oNummerierung5">
    <w:name w:val="o_Nummerierung5"/>
    <w:basedOn w:val="Standard"/>
    <w:next w:val="Standard"/>
    <w:uiPriority w:val="9"/>
    <w:semiHidden/>
    <w:rsid w:val="001C520B"/>
    <w:pPr>
      <w:numPr>
        <w:ilvl w:val="5"/>
        <w:numId w:val="23"/>
      </w:numPr>
    </w:pPr>
    <w:rPr>
      <w:noProof/>
    </w:rPr>
  </w:style>
  <w:style w:type="paragraph" w:customStyle="1" w:styleId="oNummerierung6">
    <w:name w:val="o_Nummerierung6"/>
    <w:basedOn w:val="Standard"/>
    <w:next w:val="Standard"/>
    <w:uiPriority w:val="9"/>
    <w:semiHidden/>
    <w:rsid w:val="001C520B"/>
    <w:pPr>
      <w:numPr>
        <w:ilvl w:val="6"/>
        <w:numId w:val="23"/>
      </w:numPr>
    </w:pPr>
    <w:rPr>
      <w:noProof/>
    </w:rPr>
  </w:style>
  <w:style w:type="paragraph" w:customStyle="1" w:styleId="oStandardVorNummerierungAltV">
    <w:name w:val="o_StandardVorNummerierung (Alt + V)"/>
    <w:basedOn w:val="Standard"/>
    <w:next w:val="Standard"/>
    <w:rsid w:val="001C520B"/>
    <w:pPr>
      <w:numPr>
        <w:numId w:val="23"/>
      </w:numPr>
    </w:pPr>
    <w:rPr>
      <w:noProof/>
    </w:rPr>
  </w:style>
  <w:style w:type="character" w:customStyle="1" w:styleId="berschrift1Zchn">
    <w:name w:val="Überschrift 1 Zchn"/>
    <w:aliases w:val="o_Überschrift1 (Alt + 1) Zchn"/>
    <w:basedOn w:val="Absatz-Standardschriftart"/>
    <w:link w:val="berschrift1"/>
    <w:uiPriority w:val="9"/>
    <w:rsid w:val="001C520B"/>
    <w:rPr>
      <w:rFonts w:asciiTheme="majorHAnsi" w:eastAsiaTheme="majorEastAsia" w:hAnsiTheme="majorHAnsi" w:cstheme="majorBidi"/>
      <w:b/>
      <w:bCs/>
      <w:szCs w:val="28"/>
    </w:rPr>
  </w:style>
  <w:style w:type="character" w:customStyle="1" w:styleId="berschrift2Zchn">
    <w:name w:val="Überschrift 2 Zchn"/>
    <w:aliases w:val="o_Überschrift2 (Alt + 2) Zchn"/>
    <w:basedOn w:val="Absatz-Standardschriftart"/>
    <w:link w:val="berschrift2"/>
    <w:uiPriority w:val="9"/>
    <w:rsid w:val="001C520B"/>
    <w:rPr>
      <w:rFonts w:asciiTheme="majorHAnsi" w:eastAsiaTheme="majorEastAsia" w:hAnsiTheme="majorHAnsi" w:cstheme="majorBidi"/>
      <w:b/>
      <w:bCs/>
      <w:szCs w:val="26"/>
    </w:rPr>
  </w:style>
  <w:style w:type="character" w:customStyle="1" w:styleId="berschrift3Zchn">
    <w:name w:val="Überschrift 3 Zchn"/>
    <w:aliases w:val="o_Überschrift3 (Alt + 3) Zchn"/>
    <w:basedOn w:val="Absatz-Standardschriftart"/>
    <w:link w:val="berschrift3"/>
    <w:uiPriority w:val="9"/>
    <w:rsid w:val="001C520B"/>
    <w:rPr>
      <w:rFonts w:asciiTheme="majorHAnsi" w:eastAsiaTheme="majorEastAsia" w:hAnsiTheme="majorHAnsi" w:cstheme="majorBidi"/>
      <w:b/>
      <w:bCs/>
    </w:rPr>
  </w:style>
  <w:style w:type="paragraph" w:customStyle="1" w:styleId="oberschriftInsInhaltsverzeichnis">
    <w:name w:val="o_ÜberschriftInsInhaltsverzeichnis"/>
    <w:basedOn w:val="Standard"/>
    <w:next w:val="Standard"/>
    <w:uiPriority w:val="9"/>
    <w:rsid w:val="001C520B"/>
    <w:pPr>
      <w:keepNext/>
      <w:spacing w:after="120"/>
      <w:outlineLvl w:val="0"/>
    </w:pPr>
    <w:rPr>
      <w:b/>
    </w:rPr>
  </w:style>
  <w:style w:type="paragraph" w:styleId="Verzeichnis1">
    <w:name w:val="toc 1"/>
    <w:aliases w:val="o_Verzeichnis1"/>
    <w:basedOn w:val="Standard"/>
    <w:next w:val="Standard"/>
    <w:uiPriority w:val="9"/>
    <w:rsid w:val="001C520B"/>
    <w:pPr>
      <w:tabs>
        <w:tab w:val="left" w:pos="1134"/>
        <w:tab w:val="right" w:pos="9072"/>
      </w:tabs>
      <w:spacing w:before="120"/>
      <w:ind w:left="1134" w:right="567" w:hanging="1134"/>
    </w:pPr>
  </w:style>
  <w:style w:type="paragraph" w:styleId="Verzeichnis2">
    <w:name w:val="toc 2"/>
    <w:aliases w:val="o_Verzeichnis2"/>
    <w:basedOn w:val="Standard"/>
    <w:next w:val="Standard"/>
    <w:uiPriority w:val="9"/>
    <w:rsid w:val="001C520B"/>
    <w:pPr>
      <w:tabs>
        <w:tab w:val="left" w:pos="1134"/>
        <w:tab w:val="right" w:pos="9072"/>
      </w:tabs>
      <w:ind w:left="1134" w:right="567" w:hanging="1134"/>
    </w:pPr>
  </w:style>
  <w:style w:type="paragraph" w:styleId="Verzeichnis3">
    <w:name w:val="toc 3"/>
    <w:aliases w:val="o_Verzeichnis3"/>
    <w:basedOn w:val="Standard"/>
    <w:next w:val="Standard"/>
    <w:uiPriority w:val="9"/>
    <w:rsid w:val="001C520B"/>
    <w:pPr>
      <w:tabs>
        <w:tab w:val="left" w:pos="1134"/>
        <w:tab w:val="right" w:pos="9072"/>
      </w:tabs>
      <w:ind w:left="1134" w:right="567" w:hanging="1134"/>
      <w:contextualSpacing/>
    </w:pPr>
  </w:style>
  <w:style w:type="paragraph" w:customStyle="1" w:styleId="oTitel">
    <w:name w:val="o_Titel"/>
    <w:basedOn w:val="Standard"/>
    <w:next w:val="Standard"/>
    <w:uiPriority w:val="4"/>
    <w:qFormat/>
    <w:rsid w:val="001C520B"/>
    <w:pPr>
      <w:spacing w:after="120"/>
    </w:pPr>
    <w:rPr>
      <w:b/>
      <w:sz w:val="26"/>
    </w:rPr>
  </w:style>
  <w:style w:type="paragraph" w:customStyle="1" w:styleId="oSignatur">
    <w:name w:val="o_Signatur"/>
    <w:basedOn w:val="Standard"/>
    <w:uiPriority w:val="9"/>
    <w:rsid w:val="001C520B"/>
    <w:pPr>
      <w:tabs>
        <w:tab w:val="left" w:pos="3969"/>
      </w:tabs>
    </w:pPr>
  </w:style>
  <w:style w:type="paragraph" w:customStyle="1" w:styleId="oUeberschrift">
    <w:name w:val="o_Ueberschrift"/>
    <w:basedOn w:val="Standard"/>
    <w:uiPriority w:val="9"/>
    <w:rsid w:val="001C520B"/>
    <w:pPr>
      <w:spacing w:after="120"/>
    </w:pPr>
    <w:rPr>
      <w:b/>
    </w:rPr>
  </w:style>
  <w:style w:type="paragraph" w:styleId="Literaturverzeichnis">
    <w:name w:val="Bibliography"/>
    <w:aliases w:val="o_Literaturverzeichnis"/>
    <w:basedOn w:val="Standard"/>
    <w:next w:val="Standard"/>
    <w:uiPriority w:val="9"/>
    <w:rsid w:val="001C520B"/>
    <w:pPr>
      <w:tabs>
        <w:tab w:val="left" w:pos="2552"/>
      </w:tabs>
      <w:spacing w:after="60"/>
      <w:ind w:left="2552" w:hanging="2552"/>
    </w:pPr>
  </w:style>
  <w:style w:type="paragraph" w:customStyle="1" w:styleId="oLiteraturverzeichnisNUM">
    <w:name w:val="o_Literaturverzeichnis_NUM"/>
    <w:basedOn w:val="Literaturverzeichnis"/>
    <w:qFormat/>
    <w:rsid w:val="001C520B"/>
    <w:pPr>
      <w:tabs>
        <w:tab w:val="clear" w:pos="2552"/>
        <w:tab w:val="left" w:pos="1134"/>
      </w:tabs>
      <w:ind w:left="1134" w:hanging="1134"/>
    </w:pPr>
  </w:style>
  <w:style w:type="character" w:styleId="Kommentarzeichen">
    <w:name w:val="annotation reference"/>
    <w:basedOn w:val="Absatz-Standardschriftart"/>
    <w:uiPriority w:val="99"/>
    <w:semiHidden/>
    <w:unhideWhenUsed/>
    <w:rsid w:val="00C005A0"/>
    <w:rPr>
      <w:sz w:val="16"/>
      <w:szCs w:val="16"/>
    </w:rPr>
  </w:style>
  <w:style w:type="paragraph" w:styleId="Kommentartext">
    <w:name w:val="annotation text"/>
    <w:basedOn w:val="Standard"/>
    <w:link w:val="KommentartextZchn"/>
    <w:uiPriority w:val="99"/>
    <w:semiHidden/>
    <w:unhideWhenUsed/>
    <w:rsid w:val="00C005A0"/>
    <w:pPr>
      <w:spacing w:line="240" w:lineRule="auto"/>
    </w:pPr>
    <w:rPr>
      <w:szCs w:val="20"/>
    </w:rPr>
  </w:style>
  <w:style w:type="character" w:customStyle="1" w:styleId="KommentartextZchn">
    <w:name w:val="Kommentartext Zchn"/>
    <w:basedOn w:val="Absatz-Standardschriftart"/>
    <w:link w:val="Kommentartext"/>
    <w:uiPriority w:val="99"/>
    <w:semiHidden/>
    <w:rsid w:val="00C005A0"/>
    <w:rPr>
      <w:rFonts w:eastAsiaTheme="minorHAnsi"/>
      <w:sz w:val="20"/>
      <w:szCs w:val="20"/>
      <w:lang w:eastAsia="en-US"/>
    </w:rPr>
  </w:style>
  <w:style w:type="paragraph" w:customStyle="1" w:styleId="Default">
    <w:name w:val="Default"/>
    <w:rsid w:val="00C005A0"/>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 w:type="paragraph" w:styleId="Sprechblasentext">
    <w:name w:val="Balloon Text"/>
    <w:basedOn w:val="Standard"/>
    <w:link w:val="SprechblasentextZchn"/>
    <w:uiPriority w:val="99"/>
    <w:semiHidden/>
    <w:unhideWhenUsed/>
    <w:rsid w:val="00C005A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05A0"/>
    <w:rPr>
      <w:rFonts w:ascii="Tahoma" w:eastAsiaTheme="minorHAnsi" w:hAnsi="Tahoma" w:cs="Tahoma"/>
      <w:sz w:val="16"/>
      <w:szCs w:val="16"/>
      <w:lang w:eastAsia="en-US"/>
    </w:rPr>
  </w:style>
  <w:style w:type="paragraph" w:styleId="Kommentarthema">
    <w:name w:val="annotation subject"/>
    <w:basedOn w:val="Kommentartext"/>
    <w:next w:val="Kommentartext"/>
    <w:link w:val="KommentarthemaZchn"/>
    <w:uiPriority w:val="99"/>
    <w:semiHidden/>
    <w:unhideWhenUsed/>
    <w:rsid w:val="00A91D06"/>
    <w:rPr>
      <w:b/>
      <w:bCs/>
    </w:rPr>
  </w:style>
  <w:style w:type="character" w:customStyle="1" w:styleId="KommentarthemaZchn">
    <w:name w:val="Kommentarthema Zchn"/>
    <w:basedOn w:val="KommentartextZchn"/>
    <w:link w:val="Kommentarthema"/>
    <w:uiPriority w:val="99"/>
    <w:semiHidden/>
    <w:rsid w:val="00A91D06"/>
    <w:rPr>
      <w:rFonts w:eastAsiaTheme="minorHAnsi"/>
      <w:b/>
      <w:bCs/>
      <w:sz w:val="20"/>
      <w:szCs w:val="20"/>
      <w:lang w:eastAsia="en-US"/>
    </w:rPr>
  </w:style>
  <w:style w:type="character" w:styleId="BesuchterHyperlink">
    <w:name w:val="FollowedHyperlink"/>
    <w:basedOn w:val="Absatz-Standardschriftart"/>
    <w:uiPriority w:val="99"/>
    <w:semiHidden/>
    <w:unhideWhenUsed/>
    <w:rsid w:val="00056E45"/>
    <w:rPr>
      <w:color w:val="6E8CD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9"/>
    <w:lsdException w:name="toc 2" w:uiPriority="9"/>
    <w:lsdException w:name="toc 3" w:uiPriority="9"/>
    <w:lsdException w:name="toc 4" w:uiPriority="9" w:unhideWhenUsed="0"/>
    <w:lsdException w:name="toc 5" w:uiPriority="9" w:unhideWhenUsed="0"/>
    <w:lsdException w:name="toc 6" w:uiPriority="9" w:unhideWhenUsed="0"/>
    <w:lsdException w:name="toc 7" w:uiPriority="9" w:unhideWhenUsed="0"/>
    <w:lsdException w:name="toc 8" w:uiPriority="9" w:unhideWhenUsed="0"/>
    <w:lsdException w:name="toc 9" w:uiPriority="39" w:unhideWhenUsed="0"/>
    <w:lsdException w:name="footnote text" w:uiPriority="9"/>
    <w:lsdException w:name="header" w:uiPriority="9"/>
    <w:lsdException w:name="footer" w:uiPriority="9"/>
    <w:lsdException w:name="caption" w:uiPriority="9" w:qFormat="1"/>
    <w:lsdException w:name="table of figures" w:uiPriority="9"/>
    <w:lsdException w:name="footnote reference" w:uiPriority="9"/>
    <w:lsdException w:name="endnote reference" w:uiPriority="9"/>
    <w:lsdException w:name="endnote text" w:uiPriority="9"/>
    <w:lsdException w:name="Title" w:semiHidden="0" w:uiPriority="1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9"/>
    <w:lsdException w:name="TOC Heading" w:uiPriority="39" w:qFormat="1"/>
  </w:latentStyles>
  <w:style w:type="paragraph" w:default="1" w:styleId="Standard">
    <w:name w:val="Normal"/>
    <w:aliases w:val="o_Standard (Alt + S)"/>
    <w:qFormat/>
    <w:rsid w:val="00C005A0"/>
    <w:pPr>
      <w:spacing w:after="0" w:line="288" w:lineRule="auto"/>
      <w:ind w:right="170"/>
    </w:pPr>
    <w:rPr>
      <w:rFonts w:eastAsiaTheme="minorHAnsi"/>
      <w:sz w:val="20"/>
      <w:lang w:eastAsia="en-US"/>
    </w:rPr>
  </w:style>
  <w:style w:type="paragraph" w:styleId="berschrift1">
    <w:name w:val="heading 1"/>
    <w:aliases w:val="o_Überschrift1 (Alt + 1)"/>
    <w:basedOn w:val="Standard"/>
    <w:next w:val="Standard"/>
    <w:link w:val="berschrift1Zchn"/>
    <w:uiPriority w:val="9"/>
    <w:rsid w:val="001C520B"/>
    <w:pPr>
      <w:keepNext/>
      <w:keepLines/>
      <w:numPr>
        <w:numId w:val="32"/>
      </w:numPr>
      <w:spacing w:after="120"/>
      <w:outlineLvl w:val="0"/>
    </w:pPr>
    <w:rPr>
      <w:rFonts w:asciiTheme="majorHAnsi" w:eastAsiaTheme="majorEastAsia" w:hAnsiTheme="majorHAnsi" w:cstheme="majorBidi"/>
      <w:b/>
      <w:bCs/>
      <w:szCs w:val="28"/>
    </w:rPr>
  </w:style>
  <w:style w:type="paragraph" w:styleId="berschrift2">
    <w:name w:val="heading 2"/>
    <w:aliases w:val="o_Überschrift2 (Alt + 2)"/>
    <w:basedOn w:val="Standard"/>
    <w:next w:val="Standard"/>
    <w:link w:val="berschrift2Zchn"/>
    <w:uiPriority w:val="9"/>
    <w:rsid w:val="001C520B"/>
    <w:pPr>
      <w:keepNext/>
      <w:keepLines/>
      <w:numPr>
        <w:ilvl w:val="1"/>
        <w:numId w:val="32"/>
      </w:numPr>
      <w:spacing w:after="120"/>
      <w:outlineLvl w:val="1"/>
    </w:pPr>
    <w:rPr>
      <w:rFonts w:asciiTheme="majorHAnsi" w:eastAsiaTheme="majorEastAsia" w:hAnsiTheme="majorHAnsi" w:cstheme="majorBidi"/>
      <w:b/>
      <w:bCs/>
      <w:szCs w:val="26"/>
    </w:rPr>
  </w:style>
  <w:style w:type="paragraph" w:styleId="berschrift3">
    <w:name w:val="heading 3"/>
    <w:aliases w:val="o_Überschrift3 (Alt + 3)"/>
    <w:basedOn w:val="Standard"/>
    <w:next w:val="Standard"/>
    <w:link w:val="berschrift3Zchn"/>
    <w:uiPriority w:val="9"/>
    <w:rsid w:val="001C520B"/>
    <w:pPr>
      <w:keepNext/>
      <w:keepLines/>
      <w:numPr>
        <w:ilvl w:val="2"/>
        <w:numId w:val="32"/>
      </w:numPr>
      <w:spacing w:after="120"/>
      <w:outlineLvl w:val="2"/>
    </w:pPr>
    <w:rPr>
      <w:rFonts w:asciiTheme="majorHAnsi" w:eastAsiaTheme="majorEastAsia" w:hAnsiTheme="majorHAnsi" w:cstheme="majorBidi"/>
      <w:b/>
      <w:bCs/>
    </w:rPr>
  </w:style>
  <w:style w:type="paragraph" w:styleId="berschrift4">
    <w:name w:val="heading 4"/>
    <w:aliases w:val="o_Überschrift4 (Alt + 4)"/>
    <w:basedOn w:val="Standard"/>
    <w:next w:val="Standard"/>
    <w:link w:val="berschrift4Zchn"/>
    <w:uiPriority w:val="9"/>
    <w:rsid w:val="001C520B"/>
    <w:pPr>
      <w:keepNext/>
      <w:keepLines/>
      <w:numPr>
        <w:ilvl w:val="3"/>
        <w:numId w:val="32"/>
      </w:numPr>
      <w:spacing w:after="120"/>
      <w:outlineLvl w:val="3"/>
    </w:pPr>
    <w:rPr>
      <w:rFonts w:asciiTheme="majorHAnsi" w:eastAsiaTheme="majorEastAsia" w:hAnsiTheme="majorHAnsi" w:cstheme="majorBidi"/>
      <w:b/>
      <w:bCs/>
      <w:iCs/>
    </w:rPr>
  </w:style>
  <w:style w:type="paragraph" w:styleId="berschrift5">
    <w:name w:val="heading 5"/>
    <w:aliases w:val="o_Überschrift5 (Alt + 5)"/>
    <w:basedOn w:val="Standard"/>
    <w:next w:val="Standard"/>
    <w:link w:val="berschrift5Zchn"/>
    <w:uiPriority w:val="9"/>
    <w:semiHidden/>
    <w:rsid w:val="001C520B"/>
    <w:pPr>
      <w:keepNext/>
      <w:keepLines/>
      <w:numPr>
        <w:ilvl w:val="4"/>
        <w:numId w:val="32"/>
      </w:numPr>
      <w:outlineLvl w:val="4"/>
    </w:pPr>
    <w:rPr>
      <w:rFonts w:asciiTheme="majorHAnsi" w:eastAsiaTheme="majorEastAsia" w:hAnsiTheme="majorHAnsi" w:cstheme="majorBidi"/>
      <w:b/>
      <w:noProof/>
      <w:sz w:val="26"/>
    </w:rPr>
  </w:style>
  <w:style w:type="paragraph" w:styleId="berschrift6">
    <w:name w:val="heading 6"/>
    <w:aliases w:val="o_Überschrift6 (Alt + 6)"/>
    <w:basedOn w:val="Standard"/>
    <w:next w:val="Standard"/>
    <w:link w:val="berschrift6Zchn"/>
    <w:uiPriority w:val="9"/>
    <w:semiHidden/>
    <w:rsid w:val="001C520B"/>
    <w:pPr>
      <w:keepNext/>
      <w:keepLines/>
      <w:numPr>
        <w:ilvl w:val="5"/>
        <w:numId w:val="32"/>
      </w:numPr>
      <w:outlineLvl w:val="5"/>
    </w:pPr>
    <w:rPr>
      <w:rFonts w:asciiTheme="majorHAnsi" w:eastAsiaTheme="majorEastAsia" w:hAnsiTheme="majorHAnsi" w:cstheme="majorBidi"/>
      <w:b/>
      <w:iCs/>
      <w:sz w:val="26"/>
    </w:rPr>
  </w:style>
  <w:style w:type="paragraph" w:styleId="berschrift7">
    <w:name w:val="heading 7"/>
    <w:aliases w:val="o_Überschrift7 (Alt + 7)"/>
    <w:basedOn w:val="Standard"/>
    <w:next w:val="Standard"/>
    <w:link w:val="berschrift7Zchn"/>
    <w:uiPriority w:val="9"/>
    <w:semiHidden/>
    <w:rsid w:val="001C520B"/>
    <w:pPr>
      <w:keepNext/>
      <w:keepLines/>
      <w:numPr>
        <w:ilvl w:val="6"/>
        <w:numId w:val="32"/>
      </w:numPr>
      <w:outlineLvl w:val="6"/>
    </w:pPr>
    <w:rPr>
      <w:rFonts w:asciiTheme="majorHAnsi" w:eastAsiaTheme="majorEastAsia" w:hAnsiTheme="majorHAnsi" w:cstheme="majorBidi"/>
      <w:b/>
      <w:iCs/>
      <w:sz w:val="26"/>
    </w:rPr>
  </w:style>
  <w:style w:type="paragraph" w:styleId="berschrift8">
    <w:name w:val="heading 8"/>
    <w:aliases w:val="o_Überschrift8 (Alt + 8)"/>
    <w:basedOn w:val="Standard"/>
    <w:next w:val="Standard"/>
    <w:link w:val="berschrift8Zchn"/>
    <w:uiPriority w:val="9"/>
    <w:semiHidden/>
    <w:rsid w:val="001C520B"/>
    <w:pPr>
      <w:keepNext/>
      <w:keepLines/>
      <w:numPr>
        <w:ilvl w:val="7"/>
        <w:numId w:val="32"/>
      </w:numPr>
      <w:outlineLvl w:val="7"/>
    </w:pPr>
    <w:rPr>
      <w:rFonts w:asciiTheme="majorHAnsi" w:eastAsiaTheme="majorEastAsia" w:hAnsiTheme="majorHAnsi" w:cstheme="majorBidi"/>
      <w:b/>
      <w:sz w:val="26"/>
      <w:szCs w:val="20"/>
    </w:rPr>
  </w:style>
  <w:style w:type="paragraph" w:styleId="berschrift9">
    <w:name w:val="heading 9"/>
    <w:aliases w:val="o_Überschrift9 (Alt + 9)"/>
    <w:basedOn w:val="Standard"/>
    <w:next w:val="Standard"/>
    <w:link w:val="berschrift9Zchn"/>
    <w:uiPriority w:val="9"/>
    <w:semiHidden/>
    <w:rsid w:val="001C520B"/>
    <w:pPr>
      <w:keepNext/>
      <w:keepLines/>
      <w:numPr>
        <w:ilvl w:val="8"/>
        <w:numId w:val="32"/>
      </w:numPr>
      <w:outlineLvl w:val="8"/>
    </w:pPr>
    <w:rPr>
      <w:rFonts w:asciiTheme="majorHAnsi" w:eastAsiaTheme="majorEastAsia" w:hAnsiTheme="majorHAnsi" w:cstheme="majorBidi"/>
      <w:b/>
      <w:iCs/>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C520B"/>
    <w:pPr>
      <w:spacing w:after="0" w:line="240" w:lineRule="auto"/>
    </w:pPr>
  </w:style>
  <w:style w:type="character" w:customStyle="1" w:styleId="berschrift9Zchn">
    <w:name w:val="Überschrift 9 Zchn"/>
    <w:aliases w:val="o_Überschrift9 (Alt + 9) Zchn"/>
    <w:basedOn w:val="Absatz-Standardschriftart"/>
    <w:link w:val="berschrift9"/>
    <w:uiPriority w:val="9"/>
    <w:semiHidden/>
    <w:rsid w:val="001C520B"/>
    <w:rPr>
      <w:rFonts w:asciiTheme="majorHAnsi" w:eastAsiaTheme="majorEastAsia" w:hAnsiTheme="majorHAnsi" w:cstheme="majorBidi"/>
      <w:b/>
      <w:iCs/>
      <w:sz w:val="26"/>
      <w:szCs w:val="20"/>
    </w:rPr>
  </w:style>
  <w:style w:type="character" w:customStyle="1" w:styleId="berschrift8Zchn">
    <w:name w:val="Überschrift 8 Zchn"/>
    <w:aliases w:val="o_Überschrift8 (Alt + 8) Zchn"/>
    <w:basedOn w:val="Absatz-Standardschriftart"/>
    <w:link w:val="berschrift8"/>
    <w:uiPriority w:val="9"/>
    <w:semiHidden/>
    <w:rsid w:val="001C520B"/>
    <w:rPr>
      <w:rFonts w:asciiTheme="majorHAnsi" w:eastAsiaTheme="majorEastAsia" w:hAnsiTheme="majorHAnsi" w:cstheme="majorBidi"/>
      <w:b/>
      <w:sz w:val="26"/>
      <w:szCs w:val="20"/>
    </w:rPr>
  </w:style>
  <w:style w:type="character" w:customStyle="1" w:styleId="berschrift7Zchn">
    <w:name w:val="Überschrift 7 Zchn"/>
    <w:aliases w:val="o_Überschrift7 (Alt + 7) Zchn"/>
    <w:basedOn w:val="Absatz-Standardschriftart"/>
    <w:link w:val="berschrift7"/>
    <w:uiPriority w:val="9"/>
    <w:semiHidden/>
    <w:rsid w:val="001C520B"/>
    <w:rPr>
      <w:rFonts w:asciiTheme="majorHAnsi" w:eastAsiaTheme="majorEastAsia" w:hAnsiTheme="majorHAnsi" w:cstheme="majorBidi"/>
      <w:b/>
      <w:iCs/>
      <w:sz w:val="26"/>
    </w:rPr>
  </w:style>
  <w:style w:type="character" w:customStyle="1" w:styleId="berschrift6Zchn">
    <w:name w:val="Überschrift 6 Zchn"/>
    <w:aliases w:val="o_Überschrift6 (Alt + 6) Zchn"/>
    <w:basedOn w:val="Absatz-Standardschriftart"/>
    <w:link w:val="berschrift6"/>
    <w:uiPriority w:val="9"/>
    <w:semiHidden/>
    <w:rsid w:val="001C520B"/>
    <w:rPr>
      <w:rFonts w:asciiTheme="majorHAnsi" w:eastAsiaTheme="majorEastAsia" w:hAnsiTheme="majorHAnsi" w:cstheme="majorBidi"/>
      <w:b/>
      <w:iCs/>
      <w:sz w:val="26"/>
    </w:rPr>
  </w:style>
  <w:style w:type="character" w:customStyle="1" w:styleId="berschrift5Zchn">
    <w:name w:val="Überschrift 5 Zchn"/>
    <w:aliases w:val="o_Überschrift5 (Alt + 5) Zchn"/>
    <w:basedOn w:val="Absatz-Standardschriftart"/>
    <w:link w:val="berschrift5"/>
    <w:uiPriority w:val="9"/>
    <w:semiHidden/>
    <w:rsid w:val="001C520B"/>
    <w:rPr>
      <w:rFonts w:asciiTheme="majorHAnsi" w:eastAsiaTheme="majorEastAsia" w:hAnsiTheme="majorHAnsi" w:cstheme="majorBidi"/>
      <w:b/>
      <w:noProof/>
      <w:sz w:val="26"/>
    </w:rPr>
  </w:style>
  <w:style w:type="character" w:customStyle="1" w:styleId="berschrift4Zchn">
    <w:name w:val="Überschrift 4 Zchn"/>
    <w:aliases w:val="o_Überschrift4 (Alt + 4) Zchn"/>
    <w:basedOn w:val="Absatz-Standardschriftart"/>
    <w:link w:val="berschrift4"/>
    <w:uiPriority w:val="9"/>
    <w:rsid w:val="001C520B"/>
    <w:rPr>
      <w:rFonts w:asciiTheme="majorHAnsi" w:eastAsiaTheme="majorEastAsia" w:hAnsiTheme="majorHAnsi" w:cstheme="majorBidi"/>
      <w:b/>
      <w:bCs/>
      <w:iCs/>
    </w:rPr>
  </w:style>
  <w:style w:type="paragraph" w:styleId="Verzeichnis9">
    <w:name w:val="toc 9"/>
    <w:basedOn w:val="Standard"/>
    <w:next w:val="Standard"/>
    <w:autoRedefine/>
    <w:uiPriority w:val="39"/>
    <w:semiHidden/>
    <w:rsid w:val="001C520B"/>
    <w:pPr>
      <w:spacing w:after="100"/>
      <w:ind w:left="1760"/>
    </w:pPr>
  </w:style>
  <w:style w:type="paragraph" w:styleId="Verzeichnis8">
    <w:name w:val="toc 8"/>
    <w:aliases w:val="o_Verzeichnis8"/>
    <w:basedOn w:val="Standard"/>
    <w:next w:val="Standard"/>
    <w:uiPriority w:val="9"/>
    <w:semiHidden/>
    <w:rsid w:val="001C520B"/>
    <w:pPr>
      <w:tabs>
        <w:tab w:val="left" w:pos="1701"/>
        <w:tab w:val="right" w:pos="9072"/>
      </w:tabs>
      <w:ind w:left="1701" w:right="567" w:hanging="1701"/>
    </w:pPr>
  </w:style>
  <w:style w:type="paragraph" w:styleId="Verzeichnis7">
    <w:name w:val="toc 7"/>
    <w:aliases w:val="o_Verzeichnis7"/>
    <w:basedOn w:val="Standard"/>
    <w:next w:val="Standard"/>
    <w:uiPriority w:val="9"/>
    <w:semiHidden/>
    <w:rsid w:val="001C520B"/>
    <w:pPr>
      <w:tabs>
        <w:tab w:val="left" w:pos="1701"/>
        <w:tab w:val="right" w:pos="9072"/>
      </w:tabs>
      <w:ind w:left="1701" w:right="567" w:hanging="1701"/>
    </w:pPr>
  </w:style>
  <w:style w:type="paragraph" w:styleId="Verzeichnis6">
    <w:name w:val="toc 6"/>
    <w:aliases w:val="o_Verzeichnis6"/>
    <w:basedOn w:val="Standard"/>
    <w:next w:val="Standard"/>
    <w:uiPriority w:val="9"/>
    <w:semiHidden/>
    <w:rsid w:val="001C520B"/>
    <w:pPr>
      <w:tabs>
        <w:tab w:val="left" w:pos="1134"/>
        <w:tab w:val="right" w:pos="9072"/>
      </w:tabs>
      <w:ind w:left="1134" w:right="567" w:hanging="1134"/>
    </w:pPr>
  </w:style>
  <w:style w:type="paragraph" w:styleId="Verzeichnis5">
    <w:name w:val="toc 5"/>
    <w:aliases w:val="o_Verzeichnis5"/>
    <w:basedOn w:val="Standard"/>
    <w:next w:val="Standard"/>
    <w:uiPriority w:val="9"/>
    <w:semiHidden/>
    <w:rsid w:val="001C520B"/>
    <w:pPr>
      <w:tabs>
        <w:tab w:val="left" w:pos="1134"/>
        <w:tab w:val="right" w:pos="9072"/>
      </w:tabs>
      <w:ind w:left="1134" w:right="567" w:hanging="1134"/>
    </w:pPr>
  </w:style>
  <w:style w:type="paragraph" w:styleId="Verzeichnis4">
    <w:name w:val="toc 4"/>
    <w:aliases w:val="o_Verzeichnis4"/>
    <w:basedOn w:val="Standard"/>
    <w:next w:val="Standard"/>
    <w:uiPriority w:val="9"/>
    <w:rsid w:val="001C520B"/>
    <w:pPr>
      <w:tabs>
        <w:tab w:val="left" w:pos="1134"/>
        <w:tab w:val="right" w:pos="9072"/>
      </w:tabs>
      <w:ind w:left="1134" w:right="567" w:hanging="1134"/>
    </w:pPr>
  </w:style>
  <w:style w:type="paragraph" w:styleId="Untertitel">
    <w:name w:val="Subtitle"/>
    <w:basedOn w:val="Standard"/>
    <w:next w:val="Standard"/>
    <w:link w:val="UntertitelZchn"/>
    <w:uiPriority w:val="11"/>
    <w:semiHidden/>
    <w:qFormat/>
    <w:rsid w:val="001C520B"/>
    <w:pPr>
      <w:numPr>
        <w:ilvl w:val="1"/>
      </w:numPr>
    </w:pPr>
    <w:rPr>
      <w:rFonts w:asciiTheme="majorHAnsi" w:eastAsiaTheme="majorEastAsia" w:hAnsiTheme="majorHAnsi" w:cstheme="majorBidi"/>
      <w:i/>
      <w:iCs/>
      <w:color w:val="00498E" w:themeColor="accent1"/>
      <w:spacing w:val="15"/>
      <w:sz w:val="24"/>
      <w:szCs w:val="24"/>
    </w:rPr>
  </w:style>
  <w:style w:type="character" w:customStyle="1" w:styleId="UntertitelZchn">
    <w:name w:val="Untertitel Zchn"/>
    <w:basedOn w:val="Absatz-Standardschriftart"/>
    <w:link w:val="Untertitel"/>
    <w:uiPriority w:val="11"/>
    <w:rsid w:val="001C520B"/>
    <w:rPr>
      <w:rFonts w:asciiTheme="majorHAnsi" w:eastAsiaTheme="majorEastAsia" w:hAnsiTheme="majorHAnsi" w:cstheme="majorBidi"/>
      <w:i/>
      <w:iCs/>
      <w:color w:val="00498E" w:themeColor="accent1"/>
      <w:spacing w:val="15"/>
      <w:sz w:val="24"/>
      <w:szCs w:val="24"/>
    </w:rPr>
  </w:style>
  <w:style w:type="character" w:styleId="SchwacheHervorhebung">
    <w:name w:val="Subtle Emphasis"/>
    <w:basedOn w:val="Absatz-Standardschriftart"/>
    <w:uiPriority w:val="19"/>
    <w:semiHidden/>
    <w:qFormat/>
    <w:rsid w:val="001C520B"/>
    <w:rPr>
      <w:i/>
      <w:iCs/>
      <w:color w:val="808080" w:themeColor="text1" w:themeTint="7F"/>
    </w:rPr>
  </w:style>
  <w:style w:type="character" w:styleId="Hervorhebung">
    <w:name w:val="Emphasis"/>
    <w:basedOn w:val="Absatz-Standardschriftart"/>
    <w:uiPriority w:val="20"/>
    <w:semiHidden/>
    <w:qFormat/>
    <w:rsid w:val="001C520B"/>
    <w:rPr>
      <w:i/>
      <w:iCs/>
    </w:rPr>
  </w:style>
  <w:style w:type="character" w:styleId="IntensiveHervorhebung">
    <w:name w:val="Intense Emphasis"/>
    <w:basedOn w:val="Absatz-Standardschriftart"/>
    <w:uiPriority w:val="21"/>
    <w:semiHidden/>
    <w:qFormat/>
    <w:rsid w:val="001C520B"/>
    <w:rPr>
      <w:b/>
      <w:bCs/>
      <w:i/>
      <w:iCs/>
      <w:color w:val="00498E" w:themeColor="accent1"/>
    </w:rPr>
  </w:style>
  <w:style w:type="paragraph" w:styleId="Zitat">
    <w:name w:val="Quote"/>
    <w:basedOn w:val="Standard"/>
    <w:next w:val="Standard"/>
    <w:link w:val="ZitatZchn"/>
    <w:uiPriority w:val="29"/>
    <w:semiHidden/>
    <w:qFormat/>
    <w:rsid w:val="001C520B"/>
    <w:rPr>
      <w:i/>
      <w:iCs/>
      <w:color w:val="000000" w:themeColor="text1"/>
    </w:rPr>
  </w:style>
  <w:style w:type="character" w:customStyle="1" w:styleId="ZitatZchn">
    <w:name w:val="Zitat Zchn"/>
    <w:basedOn w:val="Absatz-Standardschriftart"/>
    <w:link w:val="Zitat"/>
    <w:uiPriority w:val="29"/>
    <w:rsid w:val="001C520B"/>
    <w:rPr>
      <w:i/>
      <w:iCs/>
      <w:color w:val="000000" w:themeColor="text1"/>
    </w:rPr>
  </w:style>
  <w:style w:type="paragraph" w:styleId="IntensivesZitat">
    <w:name w:val="Intense Quote"/>
    <w:basedOn w:val="Standard"/>
    <w:next w:val="Standard"/>
    <w:link w:val="IntensivesZitatZchn"/>
    <w:uiPriority w:val="30"/>
    <w:semiHidden/>
    <w:qFormat/>
    <w:rsid w:val="001C520B"/>
    <w:pPr>
      <w:pBdr>
        <w:bottom w:val="single" w:sz="4" w:space="4" w:color="00498E" w:themeColor="accent1"/>
      </w:pBdr>
      <w:spacing w:before="200" w:after="280"/>
      <w:ind w:left="936" w:right="936"/>
    </w:pPr>
    <w:rPr>
      <w:b/>
      <w:bCs/>
      <w:i/>
      <w:iCs/>
      <w:color w:val="00498E" w:themeColor="accent1"/>
    </w:rPr>
  </w:style>
  <w:style w:type="character" w:customStyle="1" w:styleId="IntensivesZitatZchn">
    <w:name w:val="Intensives Zitat Zchn"/>
    <w:basedOn w:val="Absatz-Standardschriftart"/>
    <w:link w:val="IntensivesZitat"/>
    <w:uiPriority w:val="30"/>
    <w:rsid w:val="001C520B"/>
    <w:rPr>
      <w:b/>
      <w:bCs/>
      <w:i/>
      <w:iCs/>
      <w:color w:val="00498E" w:themeColor="accent1"/>
    </w:rPr>
  </w:style>
  <w:style w:type="character" w:styleId="SchwacherVerweis">
    <w:name w:val="Subtle Reference"/>
    <w:basedOn w:val="Absatz-Standardschriftart"/>
    <w:uiPriority w:val="31"/>
    <w:semiHidden/>
    <w:qFormat/>
    <w:rsid w:val="001C520B"/>
    <w:rPr>
      <w:smallCaps/>
      <w:color w:val="009999" w:themeColor="accent2"/>
      <w:u w:val="single"/>
    </w:rPr>
  </w:style>
  <w:style w:type="character" w:styleId="IntensiverVerweis">
    <w:name w:val="Intense Reference"/>
    <w:basedOn w:val="Absatz-Standardschriftart"/>
    <w:uiPriority w:val="32"/>
    <w:semiHidden/>
    <w:qFormat/>
    <w:rsid w:val="001C520B"/>
    <w:rPr>
      <w:b/>
      <w:bCs/>
      <w:smallCaps/>
      <w:color w:val="009999" w:themeColor="accent2"/>
      <w:spacing w:val="5"/>
      <w:u w:val="single"/>
    </w:rPr>
  </w:style>
  <w:style w:type="character" w:styleId="Buchtitel">
    <w:name w:val="Book Title"/>
    <w:basedOn w:val="Absatz-Standardschriftart"/>
    <w:uiPriority w:val="33"/>
    <w:semiHidden/>
    <w:qFormat/>
    <w:rsid w:val="001C520B"/>
    <w:rPr>
      <w:b/>
      <w:bCs/>
      <w:smallCaps/>
      <w:spacing w:val="5"/>
    </w:rPr>
  </w:style>
  <w:style w:type="paragraph" w:styleId="Listenabsatz">
    <w:name w:val="List Paragraph"/>
    <w:basedOn w:val="Standard"/>
    <w:uiPriority w:val="34"/>
    <w:qFormat/>
    <w:rsid w:val="001C520B"/>
    <w:pPr>
      <w:ind w:left="720"/>
      <w:contextualSpacing/>
    </w:pPr>
  </w:style>
  <w:style w:type="character" w:styleId="Fett">
    <w:name w:val="Strong"/>
    <w:basedOn w:val="Absatz-Standardschriftart"/>
    <w:uiPriority w:val="22"/>
    <w:semiHidden/>
    <w:qFormat/>
    <w:rsid w:val="001C520B"/>
    <w:rPr>
      <w:b/>
      <w:bCs/>
    </w:rPr>
  </w:style>
  <w:style w:type="paragraph" w:styleId="Titel">
    <w:name w:val="Title"/>
    <w:basedOn w:val="Standard"/>
    <w:next w:val="Standard"/>
    <w:link w:val="TitelZchn"/>
    <w:uiPriority w:val="10"/>
    <w:semiHidden/>
    <w:qFormat/>
    <w:rsid w:val="001C520B"/>
    <w:pPr>
      <w:pBdr>
        <w:bottom w:val="single" w:sz="8" w:space="4" w:color="00498E" w:themeColor="accent1"/>
      </w:pBdr>
      <w:spacing w:after="300" w:line="240" w:lineRule="auto"/>
      <w:contextualSpacing/>
    </w:pPr>
    <w:rPr>
      <w:rFonts w:asciiTheme="majorHAnsi" w:eastAsiaTheme="majorEastAsia" w:hAnsiTheme="majorHAnsi" w:cstheme="majorBidi"/>
      <w:color w:val="4F7313" w:themeColor="text2" w:themeShade="BF"/>
      <w:spacing w:val="5"/>
      <w:kern w:val="28"/>
      <w:sz w:val="52"/>
      <w:szCs w:val="52"/>
    </w:rPr>
  </w:style>
  <w:style w:type="character" w:customStyle="1" w:styleId="TitelZchn">
    <w:name w:val="Titel Zchn"/>
    <w:basedOn w:val="Absatz-Standardschriftart"/>
    <w:link w:val="Titel"/>
    <w:uiPriority w:val="10"/>
    <w:rsid w:val="001C520B"/>
    <w:rPr>
      <w:rFonts w:asciiTheme="majorHAnsi" w:eastAsiaTheme="majorEastAsia" w:hAnsiTheme="majorHAnsi" w:cstheme="majorBidi"/>
      <w:color w:val="4F7313" w:themeColor="text2" w:themeShade="BF"/>
      <w:spacing w:val="5"/>
      <w:kern w:val="28"/>
      <w:sz w:val="52"/>
      <w:szCs w:val="52"/>
    </w:rPr>
  </w:style>
  <w:style w:type="numbering" w:customStyle="1" w:styleId="oListeAufzhlung">
    <w:name w:val="o_ListeAufzählung"/>
    <w:basedOn w:val="KeineListe"/>
    <w:uiPriority w:val="99"/>
    <w:rsid w:val="001C520B"/>
    <w:pPr>
      <w:numPr>
        <w:numId w:val="1"/>
      </w:numPr>
    </w:pPr>
  </w:style>
  <w:style w:type="numbering" w:customStyle="1" w:styleId="oListeNumAufzFortsetz">
    <w:name w:val="o_ListeNumAufzFortsetz"/>
    <w:basedOn w:val="KeineListe"/>
    <w:uiPriority w:val="99"/>
    <w:rsid w:val="001C520B"/>
    <w:pPr>
      <w:numPr>
        <w:numId w:val="2"/>
      </w:numPr>
    </w:pPr>
  </w:style>
  <w:style w:type="numbering" w:customStyle="1" w:styleId="oListeNummerierung">
    <w:name w:val="o_ListeNummerierung"/>
    <w:basedOn w:val="KeineListe"/>
    <w:uiPriority w:val="99"/>
    <w:rsid w:val="001C520B"/>
    <w:pPr>
      <w:numPr>
        <w:numId w:val="3"/>
      </w:numPr>
    </w:pPr>
  </w:style>
  <w:style w:type="numbering" w:customStyle="1" w:styleId="oListeberschrift">
    <w:name w:val="o_ListeÜberschrift"/>
    <w:basedOn w:val="KeineListe"/>
    <w:uiPriority w:val="99"/>
    <w:rsid w:val="001C520B"/>
    <w:pPr>
      <w:numPr>
        <w:numId w:val="4"/>
      </w:numPr>
    </w:pPr>
  </w:style>
  <w:style w:type="paragraph" w:styleId="Abbildungsverzeichnis">
    <w:name w:val="table of figures"/>
    <w:aliases w:val="o_Abbildungsverzeichnis"/>
    <w:basedOn w:val="Standard"/>
    <w:next w:val="Standard"/>
    <w:uiPriority w:val="9"/>
    <w:unhideWhenUsed/>
    <w:rsid w:val="001C520B"/>
    <w:pPr>
      <w:contextualSpacing/>
    </w:pPr>
  </w:style>
  <w:style w:type="paragraph" w:customStyle="1" w:styleId="oAufzhlung1AltA">
    <w:name w:val="o_Aufzählung1 (Alt + A)"/>
    <w:basedOn w:val="Standard"/>
    <w:next w:val="Standard"/>
    <w:uiPriority w:val="1"/>
    <w:qFormat/>
    <w:rsid w:val="001C520B"/>
    <w:pPr>
      <w:numPr>
        <w:numId w:val="10"/>
      </w:numPr>
    </w:pPr>
    <w:rPr>
      <w:noProof/>
    </w:rPr>
  </w:style>
  <w:style w:type="paragraph" w:customStyle="1" w:styleId="oAufzhlung2">
    <w:name w:val="o_Aufzählung2"/>
    <w:basedOn w:val="Standard"/>
    <w:next w:val="Standard"/>
    <w:uiPriority w:val="1"/>
    <w:rsid w:val="001C520B"/>
    <w:pPr>
      <w:numPr>
        <w:ilvl w:val="1"/>
        <w:numId w:val="10"/>
      </w:numPr>
    </w:pPr>
  </w:style>
  <w:style w:type="paragraph" w:customStyle="1" w:styleId="oAufzhlung3">
    <w:name w:val="o_Aufzählung3"/>
    <w:basedOn w:val="Standard"/>
    <w:next w:val="Standard"/>
    <w:uiPriority w:val="9"/>
    <w:semiHidden/>
    <w:rsid w:val="001C520B"/>
    <w:pPr>
      <w:numPr>
        <w:ilvl w:val="2"/>
        <w:numId w:val="10"/>
      </w:numPr>
    </w:pPr>
    <w:rPr>
      <w:noProof/>
    </w:rPr>
  </w:style>
  <w:style w:type="paragraph" w:customStyle="1" w:styleId="oAufzhlung4">
    <w:name w:val="o_Aufzählung4"/>
    <w:basedOn w:val="Standard"/>
    <w:next w:val="Standard"/>
    <w:uiPriority w:val="9"/>
    <w:semiHidden/>
    <w:rsid w:val="001C520B"/>
    <w:pPr>
      <w:numPr>
        <w:ilvl w:val="3"/>
        <w:numId w:val="10"/>
      </w:numPr>
    </w:pPr>
  </w:style>
  <w:style w:type="paragraph" w:customStyle="1" w:styleId="oAufzhlung5">
    <w:name w:val="o_Aufzählung5"/>
    <w:basedOn w:val="Standard"/>
    <w:next w:val="Standard"/>
    <w:uiPriority w:val="9"/>
    <w:semiHidden/>
    <w:rsid w:val="001C520B"/>
    <w:pPr>
      <w:numPr>
        <w:ilvl w:val="4"/>
        <w:numId w:val="10"/>
      </w:numPr>
    </w:pPr>
    <w:rPr>
      <w:noProof/>
    </w:rPr>
  </w:style>
  <w:style w:type="paragraph" w:customStyle="1" w:styleId="oAufzhlung6">
    <w:name w:val="o_Aufzählung6"/>
    <w:basedOn w:val="Standard"/>
    <w:next w:val="Standard"/>
    <w:uiPriority w:val="9"/>
    <w:semiHidden/>
    <w:rsid w:val="001C520B"/>
    <w:pPr>
      <w:numPr>
        <w:ilvl w:val="5"/>
        <w:numId w:val="10"/>
      </w:numPr>
    </w:pPr>
    <w:rPr>
      <w:noProof/>
    </w:rPr>
  </w:style>
  <w:style w:type="paragraph" w:styleId="Beschriftung">
    <w:name w:val="caption"/>
    <w:aliases w:val="o_Beschriftung"/>
    <w:basedOn w:val="Standard"/>
    <w:next w:val="Standard"/>
    <w:uiPriority w:val="9"/>
    <w:rsid w:val="001C520B"/>
    <w:pPr>
      <w:spacing w:before="60"/>
      <w:ind w:left="1134" w:hanging="1134"/>
    </w:pPr>
    <w:rPr>
      <w:bCs/>
      <w:szCs w:val="18"/>
    </w:rPr>
  </w:style>
  <w:style w:type="paragraph" w:styleId="Endnotentext">
    <w:name w:val="endnote text"/>
    <w:aliases w:val="o_Endnotentext"/>
    <w:basedOn w:val="Standard"/>
    <w:link w:val="EndnotentextZchn"/>
    <w:uiPriority w:val="9"/>
    <w:rsid w:val="001C520B"/>
    <w:pPr>
      <w:spacing w:line="240" w:lineRule="auto"/>
    </w:pPr>
    <w:rPr>
      <w:sz w:val="18"/>
      <w:szCs w:val="20"/>
    </w:rPr>
  </w:style>
  <w:style w:type="character" w:customStyle="1" w:styleId="EndnotentextZchn">
    <w:name w:val="Endnotentext Zchn"/>
    <w:aliases w:val="o_Endnotentext Zchn"/>
    <w:basedOn w:val="Absatz-Standardschriftart"/>
    <w:link w:val="Endnotentext"/>
    <w:uiPriority w:val="9"/>
    <w:rsid w:val="001C520B"/>
    <w:rPr>
      <w:sz w:val="18"/>
      <w:szCs w:val="20"/>
    </w:rPr>
  </w:style>
  <w:style w:type="character" w:styleId="Endnotenzeichen">
    <w:name w:val="endnote reference"/>
    <w:aliases w:val="o_Endnotenzeichen"/>
    <w:basedOn w:val="Absatz-Standardschriftart"/>
    <w:uiPriority w:val="9"/>
    <w:rsid w:val="001C520B"/>
    <w:rPr>
      <w:vertAlign w:val="superscript"/>
    </w:rPr>
  </w:style>
  <w:style w:type="paragraph" w:styleId="Funotentext">
    <w:name w:val="footnote text"/>
    <w:aliases w:val="o_Fußnotentext"/>
    <w:basedOn w:val="Standard"/>
    <w:link w:val="FunotentextZchn"/>
    <w:uiPriority w:val="9"/>
    <w:rsid w:val="001C520B"/>
    <w:pPr>
      <w:spacing w:line="240" w:lineRule="auto"/>
    </w:pPr>
    <w:rPr>
      <w:sz w:val="18"/>
      <w:szCs w:val="20"/>
    </w:rPr>
  </w:style>
  <w:style w:type="character" w:customStyle="1" w:styleId="FunotentextZchn">
    <w:name w:val="Fußnotentext Zchn"/>
    <w:aliases w:val="o_Fußnotentext Zchn"/>
    <w:basedOn w:val="Absatz-Standardschriftart"/>
    <w:link w:val="Funotentext"/>
    <w:uiPriority w:val="9"/>
    <w:rsid w:val="001C520B"/>
    <w:rPr>
      <w:sz w:val="18"/>
      <w:szCs w:val="20"/>
    </w:rPr>
  </w:style>
  <w:style w:type="character" w:styleId="Funotenzeichen">
    <w:name w:val="footnote reference"/>
    <w:aliases w:val="o_Fußnotenzeichen"/>
    <w:basedOn w:val="Absatz-Standardschriftart"/>
    <w:uiPriority w:val="9"/>
    <w:rsid w:val="001C520B"/>
    <w:rPr>
      <w:vertAlign w:val="superscript"/>
    </w:rPr>
  </w:style>
  <w:style w:type="paragraph" w:styleId="Fuzeile">
    <w:name w:val="footer"/>
    <w:aliases w:val="o_Fußzeile"/>
    <w:basedOn w:val="Standard"/>
    <w:link w:val="FuzeileZchn"/>
    <w:uiPriority w:val="9"/>
    <w:rsid w:val="001C520B"/>
    <w:rPr>
      <w:sz w:val="18"/>
    </w:rPr>
  </w:style>
  <w:style w:type="character" w:customStyle="1" w:styleId="FuzeileZchn">
    <w:name w:val="Fußzeile Zchn"/>
    <w:aliases w:val="o_Fußzeile Zchn"/>
    <w:basedOn w:val="Absatz-Standardschriftart"/>
    <w:link w:val="Fuzeile"/>
    <w:uiPriority w:val="9"/>
    <w:rsid w:val="001C520B"/>
    <w:rPr>
      <w:sz w:val="18"/>
    </w:rPr>
  </w:style>
  <w:style w:type="character" w:styleId="Hyperlink">
    <w:name w:val="Hyperlink"/>
    <w:aliases w:val="o_Hyperlink"/>
    <w:basedOn w:val="Absatz-Standardschriftart"/>
    <w:uiPriority w:val="9"/>
    <w:rsid w:val="001C520B"/>
    <w:rPr>
      <w:color w:val="00498E" w:themeColor="accent1"/>
      <w:u w:val="single"/>
    </w:rPr>
  </w:style>
  <w:style w:type="paragraph" w:styleId="Kopfzeile">
    <w:name w:val="header"/>
    <w:aliases w:val="o_Kopfzeile"/>
    <w:basedOn w:val="Standard"/>
    <w:link w:val="KopfzeileZchn"/>
    <w:uiPriority w:val="9"/>
    <w:rsid w:val="001C520B"/>
    <w:rPr>
      <w:sz w:val="18"/>
    </w:rPr>
  </w:style>
  <w:style w:type="character" w:customStyle="1" w:styleId="KopfzeileZchn">
    <w:name w:val="Kopfzeile Zchn"/>
    <w:aliases w:val="o_Kopfzeile Zchn"/>
    <w:basedOn w:val="Absatz-Standardschriftart"/>
    <w:link w:val="Kopfzeile"/>
    <w:uiPriority w:val="9"/>
    <w:rsid w:val="001C520B"/>
    <w:rPr>
      <w:sz w:val="18"/>
    </w:rPr>
  </w:style>
  <w:style w:type="paragraph" w:customStyle="1" w:styleId="oNumAufzFortsetz1AltF">
    <w:name w:val="o_NumAufzFortsetz1 (Alt + F)"/>
    <w:basedOn w:val="Standard"/>
    <w:next w:val="Standard"/>
    <w:uiPriority w:val="3"/>
    <w:rsid w:val="001C520B"/>
    <w:pPr>
      <w:numPr>
        <w:numId w:val="16"/>
      </w:numPr>
    </w:pPr>
  </w:style>
  <w:style w:type="paragraph" w:customStyle="1" w:styleId="oNumAufzFortsetz2">
    <w:name w:val="o_NumAufzFortsetz2"/>
    <w:basedOn w:val="Standard"/>
    <w:next w:val="Standard"/>
    <w:uiPriority w:val="3"/>
    <w:rsid w:val="001C520B"/>
    <w:pPr>
      <w:numPr>
        <w:ilvl w:val="1"/>
        <w:numId w:val="16"/>
      </w:numPr>
    </w:pPr>
  </w:style>
  <w:style w:type="paragraph" w:customStyle="1" w:styleId="oNumAufzFortsetz3">
    <w:name w:val="o_NumAufzFortsetz3"/>
    <w:basedOn w:val="Standard"/>
    <w:next w:val="Standard"/>
    <w:uiPriority w:val="9"/>
    <w:semiHidden/>
    <w:rsid w:val="001C520B"/>
    <w:pPr>
      <w:numPr>
        <w:ilvl w:val="2"/>
        <w:numId w:val="16"/>
      </w:numPr>
    </w:pPr>
  </w:style>
  <w:style w:type="paragraph" w:customStyle="1" w:styleId="oNumAufzFortsetz4">
    <w:name w:val="o_NumAufzFortsetz4"/>
    <w:basedOn w:val="Standard"/>
    <w:next w:val="Standard"/>
    <w:uiPriority w:val="9"/>
    <w:semiHidden/>
    <w:rsid w:val="001C520B"/>
    <w:pPr>
      <w:numPr>
        <w:ilvl w:val="3"/>
        <w:numId w:val="16"/>
      </w:numPr>
    </w:pPr>
  </w:style>
  <w:style w:type="paragraph" w:customStyle="1" w:styleId="oNumAufzFortsetz5">
    <w:name w:val="o_NumAufzFortsetz5"/>
    <w:basedOn w:val="Standard"/>
    <w:next w:val="Standard"/>
    <w:uiPriority w:val="9"/>
    <w:semiHidden/>
    <w:rsid w:val="001C520B"/>
    <w:pPr>
      <w:numPr>
        <w:ilvl w:val="4"/>
        <w:numId w:val="16"/>
      </w:numPr>
    </w:pPr>
  </w:style>
  <w:style w:type="paragraph" w:customStyle="1" w:styleId="oNumAufzFortsetz6">
    <w:name w:val="o_NumAufzFortsetz6"/>
    <w:basedOn w:val="Standard"/>
    <w:next w:val="Standard"/>
    <w:uiPriority w:val="9"/>
    <w:semiHidden/>
    <w:rsid w:val="001C520B"/>
    <w:pPr>
      <w:numPr>
        <w:ilvl w:val="5"/>
        <w:numId w:val="16"/>
      </w:numPr>
    </w:pPr>
  </w:style>
  <w:style w:type="paragraph" w:customStyle="1" w:styleId="oNummerierung1AltN">
    <w:name w:val="o_Nummerierung1 (Alt + N)"/>
    <w:basedOn w:val="Standard"/>
    <w:next w:val="Standard"/>
    <w:uiPriority w:val="2"/>
    <w:qFormat/>
    <w:rsid w:val="001C520B"/>
    <w:pPr>
      <w:numPr>
        <w:ilvl w:val="1"/>
        <w:numId w:val="23"/>
      </w:numPr>
    </w:pPr>
    <w:rPr>
      <w:noProof/>
    </w:rPr>
  </w:style>
  <w:style w:type="paragraph" w:customStyle="1" w:styleId="oNummerierung2">
    <w:name w:val="o_Nummerierung2"/>
    <w:basedOn w:val="Standard"/>
    <w:next w:val="Standard"/>
    <w:uiPriority w:val="2"/>
    <w:rsid w:val="001C520B"/>
    <w:pPr>
      <w:numPr>
        <w:ilvl w:val="2"/>
        <w:numId w:val="23"/>
      </w:numPr>
    </w:pPr>
  </w:style>
  <w:style w:type="paragraph" w:customStyle="1" w:styleId="oNummerierung3">
    <w:name w:val="o_Nummerierung3"/>
    <w:basedOn w:val="Standard"/>
    <w:next w:val="Standard"/>
    <w:uiPriority w:val="9"/>
    <w:semiHidden/>
    <w:rsid w:val="001C520B"/>
    <w:pPr>
      <w:numPr>
        <w:ilvl w:val="3"/>
        <w:numId w:val="23"/>
      </w:numPr>
    </w:pPr>
    <w:rPr>
      <w:noProof/>
    </w:rPr>
  </w:style>
  <w:style w:type="paragraph" w:customStyle="1" w:styleId="oNummerierung4">
    <w:name w:val="o_Nummerierung4"/>
    <w:basedOn w:val="Standard"/>
    <w:next w:val="Standard"/>
    <w:uiPriority w:val="9"/>
    <w:semiHidden/>
    <w:rsid w:val="001C520B"/>
    <w:pPr>
      <w:numPr>
        <w:ilvl w:val="4"/>
        <w:numId w:val="23"/>
      </w:numPr>
    </w:pPr>
    <w:rPr>
      <w:noProof/>
    </w:rPr>
  </w:style>
  <w:style w:type="paragraph" w:customStyle="1" w:styleId="oNummerierung5">
    <w:name w:val="o_Nummerierung5"/>
    <w:basedOn w:val="Standard"/>
    <w:next w:val="Standard"/>
    <w:uiPriority w:val="9"/>
    <w:semiHidden/>
    <w:rsid w:val="001C520B"/>
    <w:pPr>
      <w:numPr>
        <w:ilvl w:val="5"/>
        <w:numId w:val="23"/>
      </w:numPr>
    </w:pPr>
    <w:rPr>
      <w:noProof/>
    </w:rPr>
  </w:style>
  <w:style w:type="paragraph" w:customStyle="1" w:styleId="oNummerierung6">
    <w:name w:val="o_Nummerierung6"/>
    <w:basedOn w:val="Standard"/>
    <w:next w:val="Standard"/>
    <w:uiPriority w:val="9"/>
    <w:semiHidden/>
    <w:rsid w:val="001C520B"/>
    <w:pPr>
      <w:numPr>
        <w:ilvl w:val="6"/>
        <w:numId w:val="23"/>
      </w:numPr>
    </w:pPr>
    <w:rPr>
      <w:noProof/>
    </w:rPr>
  </w:style>
  <w:style w:type="paragraph" w:customStyle="1" w:styleId="oStandardVorNummerierungAltV">
    <w:name w:val="o_StandardVorNummerierung (Alt + V)"/>
    <w:basedOn w:val="Standard"/>
    <w:next w:val="Standard"/>
    <w:rsid w:val="001C520B"/>
    <w:pPr>
      <w:numPr>
        <w:numId w:val="23"/>
      </w:numPr>
    </w:pPr>
    <w:rPr>
      <w:noProof/>
    </w:rPr>
  </w:style>
  <w:style w:type="character" w:customStyle="1" w:styleId="berschrift1Zchn">
    <w:name w:val="Überschrift 1 Zchn"/>
    <w:aliases w:val="o_Überschrift1 (Alt + 1) Zchn"/>
    <w:basedOn w:val="Absatz-Standardschriftart"/>
    <w:link w:val="berschrift1"/>
    <w:uiPriority w:val="9"/>
    <w:rsid w:val="001C520B"/>
    <w:rPr>
      <w:rFonts w:asciiTheme="majorHAnsi" w:eastAsiaTheme="majorEastAsia" w:hAnsiTheme="majorHAnsi" w:cstheme="majorBidi"/>
      <w:b/>
      <w:bCs/>
      <w:szCs w:val="28"/>
    </w:rPr>
  </w:style>
  <w:style w:type="character" w:customStyle="1" w:styleId="berschrift2Zchn">
    <w:name w:val="Überschrift 2 Zchn"/>
    <w:aliases w:val="o_Überschrift2 (Alt + 2) Zchn"/>
    <w:basedOn w:val="Absatz-Standardschriftart"/>
    <w:link w:val="berschrift2"/>
    <w:uiPriority w:val="9"/>
    <w:rsid w:val="001C520B"/>
    <w:rPr>
      <w:rFonts w:asciiTheme="majorHAnsi" w:eastAsiaTheme="majorEastAsia" w:hAnsiTheme="majorHAnsi" w:cstheme="majorBidi"/>
      <w:b/>
      <w:bCs/>
      <w:szCs w:val="26"/>
    </w:rPr>
  </w:style>
  <w:style w:type="character" w:customStyle="1" w:styleId="berschrift3Zchn">
    <w:name w:val="Überschrift 3 Zchn"/>
    <w:aliases w:val="o_Überschrift3 (Alt + 3) Zchn"/>
    <w:basedOn w:val="Absatz-Standardschriftart"/>
    <w:link w:val="berschrift3"/>
    <w:uiPriority w:val="9"/>
    <w:rsid w:val="001C520B"/>
    <w:rPr>
      <w:rFonts w:asciiTheme="majorHAnsi" w:eastAsiaTheme="majorEastAsia" w:hAnsiTheme="majorHAnsi" w:cstheme="majorBidi"/>
      <w:b/>
      <w:bCs/>
    </w:rPr>
  </w:style>
  <w:style w:type="paragraph" w:customStyle="1" w:styleId="oberschriftInsInhaltsverzeichnis">
    <w:name w:val="o_ÜberschriftInsInhaltsverzeichnis"/>
    <w:basedOn w:val="Standard"/>
    <w:next w:val="Standard"/>
    <w:uiPriority w:val="9"/>
    <w:rsid w:val="001C520B"/>
    <w:pPr>
      <w:keepNext/>
      <w:spacing w:after="120"/>
      <w:outlineLvl w:val="0"/>
    </w:pPr>
    <w:rPr>
      <w:b/>
    </w:rPr>
  </w:style>
  <w:style w:type="paragraph" w:styleId="Verzeichnis1">
    <w:name w:val="toc 1"/>
    <w:aliases w:val="o_Verzeichnis1"/>
    <w:basedOn w:val="Standard"/>
    <w:next w:val="Standard"/>
    <w:uiPriority w:val="9"/>
    <w:rsid w:val="001C520B"/>
    <w:pPr>
      <w:tabs>
        <w:tab w:val="left" w:pos="1134"/>
        <w:tab w:val="right" w:pos="9072"/>
      </w:tabs>
      <w:spacing w:before="120"/>
      <w:ind w:left="1134" w:right="567" w:hanging="1134"/>
    </w:pPr>
  </w:style>
  <w:style w:type="paragraph" w:styleId="Verzeichnis2">
    <w:name w:val="toc 2"/>
    <w:aliases w:val="o_Verzeichnis2"/>
    <w:basedOn w:val="Standard"/>
    <w:next w:val="Standard"/>
    <w:uiPriority w:val="9"/>
    <w:rsid w:val="001C520B"/>
    <w:pPr>
      <w:tabs>
        <w:tab w:val="left" w:pos="1134"/>
        <w:tab w:val="right" w:pos="9072"/>
      </w:tabs>
      <w:ind w:left="1134" w:right="567" w:hanging="1134"/>
    </w:pPr>
  </w:style>
  <w:style w:type="paragraph" w:styleId="Verzeichnis3">
    <w:name w:val="toc 3"/>
    <w:aliases w:val="o_Verzeichnis3"/>
    <w:basedOn w:val="Standard"/>
    <w:next w:val="Standard"/>
    <w:uiPriority w:val="9"/>
    <w:rsid w:val="001C520B"/>
    <w:pPr>
      <w:tabs>
        <w:tab w:val="left" w:pos="1134"/>
        <w:tab w:val="right" w:pos="9072"/>
      </w:tabs>
      <w:ind w:left="1134" w:right="567" w:hanging="1134"/>
      <w:contextualSpacing/>
    </w:pPr>
  </w:style>
  <w:style w:type="paragraph" w:customStyle="1" w:styleId="oTitel">
    <w:name w:val="o_Titel"/>
    <w:basedOn w:val="Standard"/>
    <w:next w:val="Standard"/>
    <w:uiPriority w:val="4"/>
    <w:qFormat/>
    <w:rsid w:val="001C520B"/>
    <w:pPr>
      <w:spacing w:after="120"/>
    </w:pPr>
    <w:rPr>
      <w:b/>
      <w:sz w:val="26"/>
    </w:rPr>
  </w:style>
  <w:style w:type="paragraph" w:customStyle="1" w:styleId="oSignatur">
    <w:name w:val="o_Signatur"/>
    <w:basedOn w:val="Standard"/>
    <w:uiPriority w:val="9"/>
    <w:rsid w:val="001C520B"/>
    <w:pPr>
      <w:tabs>
        <w:tab w:val="left" w:pos="3969"/>
      </w:tabs>
    </w:pPr>
  </w:style>
  <w:style w:type="paragraph" w:customStyle="1" w:styleId="oUeberschrift">
    <w:name w:val="o_Ueberschrift"/>
    <w:basedOn w:val="Standard"/>
    <w:uiPriority w:val="9"/>
    <w:rsid w:val="001C520B"/>
    <w:pPr>
      <w:spacing w:after="120"/>
    </w:pPr>
    <w:rPr>
      <w:b/>
    </w:rPr>
  </w:style>
  <w:style w:type="paragraph" w:styleId="Literaturverzeichnis">
    <w:name w:val="Bibliography"/>
    <w:aliases w:val="o_Literaturverzeichnis"/>
    <w:basedOn w:val="Standard"/>
    <w:next w:val="Standard"/>
    <w:uiPriority w:val="9"/>
    <w:rsid w:val="001C520B"/>
    <w:pPr>
      <w:tabs>
        <w:tab w:val="left" w:pos="2552"/>
      </w:tabs>
      <w:spacing w:after="60"/>
      <w:ind w:left="2552" w:hanging="2552"/>
    </w:pPr>
  </w:style>
  <w:style w:type="paragraph" w:customStyle="1" w:styleId="oLiteraturverzeichnisNUM">
    <w:name w:val="o_Literaturverzeichnis_NUM"/>
    <w:basedOn w:val="Literaturverzeichnis"/>
    <w:qFormat/>
    <w:rsid w:val="001C520B"/>
    <w:pPr>
      <w:tabs>
        <w:tab w:val="clear" w:pos="2552"/>
        <w:tab w:val="left" w:pos="1134"/>
      </w:tabs>
      <w:ind w:left="1134" w:hanging="1134"/>
    </w:pPr>
  </w:style>
  <w:style w:type="character" w:styleId="Kommentarzeichen">
    <w:name w:val="annotation reference"/>
    <w:basedOn w:val="Absatz-Standardschriftart"/>
    <w:uiPriority w:val="99"/>
    <w:semiHidden/>
    <w:unhideWhenUsed/>
    <w:rsid w:val="00C005A0"/>
    <w:rPr>
      <w:sz w:val="16"/>
      <w:szCs w:val="16"/>
    </w:rPr>
  </w:style>
  <w:style w:type="paragraph" w:styleId="Kommentartext">
    <w:name w:val="annotation text"/>
    <w:basedOn w:val="Standard"/>
    <w:link w:val="KommentartextZchn"/>
    <w:uiPriority w:val="99"/>
    <w:semiHidden/>
    <w:unhideWhenUsed/>
    <w:rsid w:val="00C005A0"/>
    <w:pPr>
      <w:spacing w:line="240" w:lineRule="auto"/>
    </w:pPr>
    <w:rPr>
      <w:szCs w:val="20"/>
    </w:rPr>
  </w:style>
  <w:style w:type="character" w:customStyle="1" w:styleId="KommentartextZchn">
    <w:name w:val="Kommentartext Zchn"/>
    <w:basedOn w:val="Absatz-Standardschriftart"/>
    <w:link w:val="Kommentartext"/>
    <w:uiPriority w:val="99"/>
    <w:semiHidden/>
    <w:rsid w:val="00C005A0"/>
    <w:rPr>
      <w:rFonts w:eastAsiaTheme="minorHAnsi"/>
      <w:sz w:val="20"/>
      <w:szCs w:val="20"/>
      <w:lang w:eastAsia="en-US"/>
    </w:rPr>
  </w:style>
  <w:style w:type="paragraph" w:customStyle="1" w:styleId="Default">
    <w:name w:val="Default"/>
    <w:rsid w:val="00C005A0"/>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 w:type="paragraph" w:styleId="Sprechblasentext">
    <w:name w:val="Balloon Text"/>
    <w:basedOn w:val="Standard"/>
    <w:link w:val="SprechblasentextZchn"/>
    <w:uiPriority w:val="99"/>
    <w:semiHidden/>
    <w:unhideWhenUsed/>
    <w:rsid w:val="00C005A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05A0"/>
    <w:rPr>
      <w:rFonts w:ascii="Tahoma" w:eastAsiaTheme="minorHAnsi" w:hAnsi="Tahoma" w:cs="Tahoma"/>
      <w:sz w:val="16"/>
      <w:szCs w:val="16"/>
      <w:lang w:eastAsia="en-US"/>
    </w:rPr>
  </w:style>
  <w:style w:type="paragraph" w:styleId="Kommentarthema">
    <w:name w:val="annotation subject"/>
    <w:basedOn w:val="Kommentartext"/>
    <w:next w:val="Kommentartext"/>
    <w:link w:val="KommentarthemaZchn"/>
    <w:uiPriority w:val="99"/>
    <w:semiHidden/>
    <w:unhideWhenUsed/>
    <w:rsid w:val="00A91D06"/>
    <w:rPr>
      <w:b/>
      <w:bCs/>
    </w:rPr>
  </w:style>
  <w:style w:type="character" w:customStyle="1" w:styleId="KommentarthemaZchn">
    <w:name w:val="Kommentarthema Zchn"/>
    <w:basedOn w:val="KommentartextZchn"/>
    <w:link w:val="Kommentarthema"/>
    <w:uiPriority w:val="99"/>
    <w:semiHidden/>
    <w:rsid w:val="00A91D06"/>
    <w:rPr>
      <w:rFonts w:eastAsiaTheme="minorHAnsi"/>
      <w:b/>
      <w:bCs/>
      <w:sz w:val="20"/>
      <w:szCs w:val="20"/>
      <w:lang w:eastAsia="en-US"/>
    </w:rPr>
  </w:style>
  <w:style w:type="character" w:styleId="BesuchterHyperlink">
    <w:name w:val="FollowedHyperlink"/>
    <w:basedOn w:val="Absatz-Standardschriftart"/>
    <w:uiPriority w:val="99"/>
    <w:semiHidden/>
    <w:unhideWhenUsed/>
    <w:rsid w:val="00056E45"/>
    <w:rPr>
      <w:color w:val="6E8CD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hyperlink" Target="https://www.theconcreteinitiative.eu/images/TheConcreteInitiative_-_Draft_-_PositionPaper_-_3E_-_2016-10-25.pdf" TargetMode="External"/><Relationship Id="rId1" Type="http://schemas.openxmlformats.org/officeDocument/2006/relationships/hyperlink" Target="https://www.ivl.se/download/18.694ca0617a1de98f4729cf/1625238502343/FULLTEXT01.pdf" TargetMode="External"/></Relationships>
</file>

<file path=word/theme/theme1.xml><?xml version="1.0" encoding="utf-8"?>
<a:theme xmlns:a="http://schemas.openxmlformats.org/drawingml/2006/main" name="VDZ">
  <a:themeElements>
    <a:clrScheme name="VDZ_color">
      <a:dk1>
        <a:srgbClr val="000000"/>
      </a:dk1>
      <a:lt1>
        <a:sysClr val="window" lastClr="FFFFFF"/>
      </a:lt1>
      <a:dk2>
        <a:srgbClr val="6B9B1A"/>
      </a:dk2>
      <a:lt2>
        <a:srgbClr val="E6E6E6"/>
      </a:lt2>
      <a:accent1>
        <a:srgbClr val="00498E"/>
      </a:accent1>
      <a:accent2>
        <a:srgbClr val="009999"/>
      </a:accent2>
      <a:accent3>
        <a:srgbClr val="6E8CDC"/>
      </a:accent3>
      <a:accent4>
        <a:srgbClr val="FAA005"/>
      </a:accent4>
      <a:accent5>
        <a:srgbClr val="B4D2FF"/>
      </a:accent5>
      <a:accent6>
        <a:srgbClr val="FF1A00"/>
      </a:accent6>
      <a:hlink>
        <a:srgbClr val="00498E"/>
      </a:hlink>
      <a:folHlink>
        <a:srgbClr val="6E8CDC"/>
      </a:folHlink>
    </a:clrScheme>
    <a:fontScheme name="o_Schrif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9050">
          <a:solidFill>
            <a:schemeClr val="accent1"/>
          </a:solidFill>
        </a:ln>
      </a:spPr>
      <a:bodyPr rtlCol="0" anchor="ctr"/>
      <a:lstStyle>
        <a:defPPr algn="ctr">
          <a:defRPr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BDEB-70CC-469C-8C45-40DDAF4B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5067</Words>
  <Characters>28885</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VDZ gGmbH</Company>
  <LinksUpToDate>false</LinksUpToDate>
  <CharactersWithSpaces>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Romeike, Jens</dc:creator>
  <cp:lastModifiedBy>Romeike, Jens</cp:lastModifiedBy>
  <cp:revision>5</cp:revision>
  <dcterms:created xsi:type="dcterms:W3CDTF">2021-07-07T06:30:00Z</dcterms:created>
  <dcterms:modified xsi:type="dcterms:W3CDTF">2021-07-13T07:48:00Z</dcterms:modified>
</cp:coreProperties>
</file>