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3A02B" w14:textId="77777777" w:rsidR="00D52BBB" w:rsidRPr="00D52BBB" w:rsidRDefault="00D52BBB" w:rsidP="00D52BBB">
      <w:pPr>
        <w:pStyle w:val="VorblattDokumentstatus"/>
      </w:pPr>
      <w:r w:rsidRPr="00D52BBB">
        <w:t>Verordnung</w:t>
      </w:r>
    </w:p>
    <w:p w14:paraId="4AEDDF5E" w14:textId="03F55B5F" w:rsidR="00D52BBB" w:rsidRPr="00D52BBB" w:rsidRDefault="00D52BBB">
      <w:pPr>
        <w:pStyle w:val="Initiant"/>
      </w:pPr>
      <w:r w:rsidRPr="00D52BBB">
        <w:t>der Bundesregierung</w:t>
      </w:r>
    </w:p>
    <w:p w14:paraId="229EF40A" w14:textId="6BEE9608" w:rsidR="00D52BBB" w:rsidRPr="00D52BBB" w:rsidRDefault="00D52BBB">
      <w:pPr>
        <w:pStyle w:val="VorblattBezeichnung"/>
      </w:pPr>
      <w:r w:rsidRPr="00D52BBB">
        <w:t>Verordnung zur Einführung einer Ersatzbaustoffverordnung, zur Neufassung der Bundes-Bodenschutz- und Altlastenverordnung und zur Änderung der Deponieverordnung und der Gewerbeabfallverordnung</w:t>
      </w:r>
    </w:p>
    <w:p w14:paraId="4AC8416A" w14:textId="77777777" w:rsidR="00D52BBB" w:rsidRDefault="00D52BBB">
      <w:pPr>
        <w:pStyle w:val="VorblattTitelProblemundZiel"/>
      </w:pPr>
      <w:r>
        <w:t>A. Problem und Ziel</w:t>
      </w:r>
    </w:p>
    <w:p w14:paraId="52256EFC" w14:textId="77777777" w:rsidR="00D52BBB" w:rsidRPr="00D52BBB" w:rsidRDefault="00D52BBB" w:rsidP="00D52BBB">
      <w:pPr>
        <w:pStyle w:val="Text"/>
      </w:pPr>
      <w:r w:rsidRPr="00D52BBB">
        <w:t xml:space="preserve">Mineralische Abfälle stellen mit etwa 240 Mio. t den mit Abstand größten Abfallstrom in Deutschland dar. Deren Verwertung (und ggf. Beseitigung) so zu steuern, dass den Anforderungen der Agenda 2030 für nachhaltige Entwicklung der Vereinten Nationen an ein nachhaltiges und ressourceneffizientes Wirtschaften bestmöglich entsprochen und der Schutz </w:t>
      </w:r>
      <w:proofErr w:type="gramStart"/>
      <w:r w:rsidRPr="00D52BBB">
        <w:t>von Mensch</w:t>
      </w:r>
      <w:proofErr w:type="gramEnd"/>
      <w:r w:rsidRPr="00D52BBB">
        <w:t xml:space="preserve"> und Umwelt unter Berücksichtigung des Vorsorge- und Nachhaltigkeitsprinzips am besten gewährleistet wird, stellt eine zentrale umweltpolitische Aufgabe dar. </w:t>
      </w:r>
    </w:p>
    <w:p w14:paraId="011FAD64" w14:textId="77777777" w:rsidR="00D52BBB" w:rsidRPr="00D52BBB" w:rsidRDefault="00D52BBB" w:rsidP="00D52BBB">
      <w:pPr>
        <w:pStyle w:val="Text"/>
      </w:pPr>
      <w:r w:rsidRPr="00D52BBB">
        <w:t>Die beiden wichtigsten Verwertungswege für mineralische Abfälle sind das Recycling, also die Aufbereitung und der nachfolgende Einbau in technische Bauwerke, sowie die sonstige stoffliche Verwertung in Form der Verfüllung von Abgrabungen und Tagebauen. Die hierbei zu beachtenden Anforderungen an den Schutz des Menschen sowie des Bodens und des Grundwassers sind bisher nur auf gesetzlicher Ebene und nur in sehr allgemeiner Form rechtsverbindlich geregelt. Die als Beurteilungsgrundlage in der Praxis häufig herangezogenen Regelwerke – die LAGA-Mitteilung 20 und die „Technische Regel Boden“ – bilden weder eine bundeseinheitliche noch eine rechtsverbindliche Grundlage für die ordnungsgemäße und schadlose Verwertung mineralischer Abfälle. Auch aus fachlicher Sicht entsprechen diese Regelwerke nicht mehr in vollem Umfang dem gegenwärtigen Stand der Erkenntnisse.</w:t>
      </w:r>
    </w:p>
    <w:p w14:paraId="374B81C3" w14:textId="77777777" w:rsidR="00D52BBB" w:rsidRPr="00D52BBB" w:rsidRDefault="00D52BBB" w:rsidP="00D52BBB">
      <w:pPr>
        <w:pStyle w:val="Text"/>
      </w:pPr>
      <w:r w:rsidRPr="00D52BBB">
        <w:t>Wesentliche Ziele der in dieser Mantelverordnung vorgesehenen Regelungen sind</w:t>
      </w:r>
    </w:p>
    <w:p w14:paraId="66BDE4AA" w14:textId="77777777" w:rsidR="00D52BBB" w:rsidRPr="00D52BBB" w:rsidRDefault="00D52BBB" w:rsidP="00D52BBB">
      <w:pPr>
        <w:pStyle w:val="Text"/>
      </w:pPr>
      <w:r w:rsidRPr="00D52BBB">
        <w:t>die im Sinne des § 6 des Kreislaufwirtschaftsgesetzes (KrWG) bestmögliche Verwertung von mineralischen Abfällen zu gewährleisten sowie</w:t>
      </w:r>
    </w:p>
    <w:p w14:paraId="7F825DEB" w14:textId="1DFA365C" w:rsidR="00D52BBB" w:rsidRPr="00D52BBB" w:rsidRDefault="00D52BBB" w:rsidP="00D52BBB">
      <w:pPr>
        <w:pStyle w:val="Text"/>
      </w:pPr>
      <w:r w:rsidRPr="00D52BBB">
        <w:t>die Anforderungen an die nachhaltige Sicherung und Wiederherstellung der Funktionen des Bodens im Sinne des § 1 des Bundes-Bodenschutzgesetzes (BBodSchG) näher zu bestimmen bzw. an den gegenwärtigen Stand der Erkenntnisse anzupassen.</w:t>
      </w:r>
    </w:p>
    <w:p w14:paraId="4759EC1E" w14:textId="77777777" w:rsidR="00D52BBB" w:rsidRDefault="00D52BBB">
      <w:pPr>
        <w:pStyle w:val="VorblattTitelLsung"/>
      </w:pPr>
      <w:r>
        <w:t>B. Lösung</w:t>
      </w:r>
    </w:p>
    <w:p w14:paraId="092ABABB" w14:textId="77777777" w:rsidR="00D52BBB" w:rsidRPr="00D52BBB" w:rsidRDefault="00D52BBB" w:rsidP="00D52BBB">
      <w:pPr>
        <w:pStyle w:val="Text"/>
      </w:pPr>
      <w:r w:rsidRPr="00D52BBB">
        <w:t>Mit dieser Mantelverordnung sollen eine Verordnung über Anforderungen an den Einbau von mineralischen Ersatzbaustoffen in technische Bauwerke (Ersatzbaustoffverordnung; EBV) eingeführt, die Bundes-Bodenschutz- und Altlastenverordnung (</w:t>
      </w:r>
      <w:proofErr w:type="spellStart"/>
      <w:r w:rsidRPr="00D52BBB">
        <w:t>BBodSchV</w:t>
      </w:r>
      <w:proofErr w:type="spellEnd"/>
      <w:r w:rsidRPr="00D52BBB">
        <w:t>) neu gefasst sowie die Deponieverordnung (DepV) und die Gewerbeabfallverordnung (</w:t>
      </w:r>
      <w:proofErr w:type="spellStart"/>
      <w:r w:rsidRPr="00D52BBB">
        <w:t>GewAbfV</w:t>
      </w:r>
      <w:proofErr w:type="spellEnd"/>
      <w:r w:rsidRPr="00D52BBB">
        <w:t>) geändert werden.</w:t>
      </w:r>
    </w:p>
    <w:p w14:paraId="5FC41C87" w14:textId="474A3E26" w:rsidR="00D52BBB" w:rsidRPr="00D52BBB" w:rsidRDefault="00D52BBB" w:rsidP="00D52BBB">
      <w:pPr>
        <w:pStyle w:val="Text"/>
      </w:pPr>
      <w:r w:rsidRPr="00D52BBB">
        <w:t xml:space="preserve">Dabei sollen vor allem mit der Einführung der Ersatzbaustoffverordnung und der Neufassung der Bundes-Bodenschutz- und Altlastenverordnung die u. a. in mehreren Forschungs- und Entwicklungsvorhaben und in einem Planspiel gewonnenen Erkenntnisse in einem in sich schlüssigen und aufeinander abgestimmten Konzept für den Einbau von mineralischen Ersatzbaustoffen in technische Bauwerke sowie das Auf- oder Einbringen </w:t>
      </w:r>
      <w:r w:rsidRPr="00D52BBB">
        <w:lastRenderedPageBreak/>
        <w:t>von Materialien auf oder in den Boden aufgegriffen und umgesetzt werden. Daneben sollen weitere Regelungsbereiche der Bundes-Bodenschutz- und Altlastenverordnung umfassend an den gegenwärtigen Stand der wissenschaftlichen und vollzugspraktischen Erkenntnisse angepasst werden.</w:t>
      </w:r>
    </w:p>
    <w:p w14:paraId="01875AE3" w14:textId="77777777" w:rsidR="00D52BBB" w:rsidRDefault="00D52BBB">
      <w:pPr>
        <w:pStyle w:val="VorblattTitelAlternativen"/>
      </w:pPr>
      <w:r>
        <w:t>C. Alternativen</w:t>
      </w:r>
    </w:p>
    <w:p w14:paraId="40B662E6" w14:textId="1F315E1F" w:rsidR="00D52BBB" w:rsidRPr="00D52BBB" w:rsidRDefault="00D52BBB" w:rsidP="00A855AA">
      <w:pPr>
        <w:pStyle w:val="Text"/>
      </w:pPr>
      <w:r w:rsidRPr="00D52BBB">
        <w:t xml:space="preserve">Im Hinblick auf die Zielsetzung und Notwendigkeit der Regelungen kommt eine Beibehaltung des </w:t>
      </w:r>
      <w:proofErr w:type="spellStart"/>
      <w:r w:rsidRPr="00D52BBB">
        <w:t>status</w:t>
      </w:r>
      <w:proofErr w:type="spellEnd"/>
      <w:r w:rsidRPr="00D52BBB">
        <w:t xml:space="preserve"> quo nicht in Betracht. Eine bundeseinheitliche und rechtsverbindliche Grundlage für die ordnungsgemäße und schadlose Verwertung mineralischer Abfälle, die dem gegenwärtigen Erkenntnisstand entspricht, ist dringend erforderlich. Entsprechendes gilt für die Anpassung der bodenschutzrechtlichen Regelungen an gegenwärtigen Stand </w:t>
      </w:r>
      <w:proofErr w:type="gramStart"/>
      <w:r w:rsidRPr="00D52BBB">
        <w:t>der wissenschaftlichen und vollzugspraktischen Erkenntnissen</w:t>
      </w:r>
      <w:proofErr w:type="gramEnd"/>
      <w:r w:rsidRPr="00D52BBB">
        <w:t>.</w:t>
      </w:r>
    </w:p>
    <w:p w14:paraId="2FFCE062" w14:textId="5A643EC4" w:rsidR="00D52BBB" w:rsidRDefault="00D52BBB" w:rsidP="00A855AA">
      <w:pPr>
        <w:pStyle w:val="VorblattTitelHaushaltsausgabenohneErfllungsaufwand"/>
      </w:pPr>
      <w:r w:rsidRPr="00A855AA">
        <w:t>D. Haushaltsausgaben ohne Erfüllungsaufwand</w:t>
      </w:r>
    </w:p>
    <w:p w14:paraId="52C8BA78" w14:textId="3594BBAA" w:rsidR="00D52BBB" w:rsidRPr="00D52BBB" w:rsidRDefault="00D52BBB" w:rsidP="00D52BBB">
      <w:pPr>
        <w:pStyle w:val="Text"/>
      </w:pPr>
      <w:r w:rsidRPr="00D52BBB">
        <w:t>Für diese Mantelverordnung ergeben sich keine Haushaltsausgaben ohne Erfüllungsaufwand.</w:t>
      </w:r>
    </w:p>
    <w:p w14:paraId="2186F80A" w14:textId="77777777" w:rsidR="00D52BBB" w:rsidRPr="00A855AA" w:rsidRDefault="00D52BBB" w:rsidP="00A855AA">
      <w:pPr>
        <w:pStyle w:val="VorblattTitelErfllungsaufwand"/>
      </w:pPr>
      <w:r w:rsidRPr="00A855AA">
        <w:t>E. Erfüllungsaufwand</w:t>
      </w:r>
    </w:p>
    <w:p w14:paraId="0E6E59B9" w14:textId="719AAEC9" w:rsidR="00D52BBB" w:rsidRDefault="00D52BBB" w:rsidP="00A855AA">
      <w:pPr>
        <w:pStyle w:val="VorblattTitelErfllungsaufwandBrgerinnenundBrger"/>
      </w:pPr>
      <w:r w:rsidRPr="00A855AA">
        <w:t>E.1 Erfüllungsaufwand für Bürgerinnen und Bürger</w:t>
      </w:r>
    </w:p>
    <w:p w14:paraId="56303D78" w14:textId="33EE5CA0" w:rsidR="00D52BBB" w:rsidRPr="00D52BBB" w:rsidRDefault="00D52BBB" w:rsidP="00D52BBB">
      <w:pPr>
        <w:pStyle w:val="Text"/>
      </w:pPr>
      <w:r w:rsidRPr="00D52BBB">
        <w:t>Durch die Mantelverordnung entsteht kein Erfüllungsaufwand für die Bürgerinnen und Bürger.</w:t>
      </w:r>
    </w:p>
    <w:p w14:paraId="2B3A33A1" w14:textId="77777777" w:rsidR="00D52BBB" w:rsidRPr="00A855AA" w:rsidRDefault="00D52BBB" w:rsidP="00A855AA">
      <w:pPr>
        <w:pStyle w:val="VorblattTitelErfllungsaufwandWirtschaft"/>
      </w:pPr>
      <w:r w:rsidRPr="00A855AA">
        <w:t>E.2 Erfüllungsaufwand für die Wirtschaft</w:t>
      </w:r>
    </w:p>
    <w:p w14:paraId="2EA4DD06" w14:textId="77777777" w:rsidR="00D52BBB" w:rsidRPr="00D52BBB" w:rsidRDefault="00D52BBB" w:rsidP="00D52BBB">
      <w:pPr>
        <w:pStyle w:val="Text"/>
      </w:pPr>
      <w:r w:rsidRPr="00D52BBB">
        <w:t>Durch die Mantelverordnung entsteht folgender Erfüllungsaufwand für die Wirtschaft:</w:t>
      </w:r>
    </w:p>
    <w:p w14:paraId="05BFF7A4" w14:textId="77777777" w:rsidR="00D52BBB" w:rsidRPr="00D52BBB" w:rsidRDefault="00D52BBB" w:rsidP="00D52BBB">
      <w:pPr>
        <w:pStyle w:val="Text"/>
      </w:pPr>
      <w:r w:rsidRPr="00D52BBB">
        <w:t xml:space="preserve">Durch die Verordnung entsteht für die Wirtschaft ein einmaliger Umstellungsaufwand in Höhe von rund 4,8 Mio. € und ein zusätzlicher laufender Erfüllungsaufwand in Höhe von rund 1,2 Mio. Euro. Den Belastungen der Wirtschaft stehen Entlastungen in Höhe von rund 16,5 Mio. € gegenüber. Dadurch ergeben sich durch die Verordnung zunächst Entlastungen in Höhe von 15,3 Mio. € pro Jahr. </w:t>
      </w:r>
    </w:p>
    <w:p w14:paraId="308BF47E" w14:textId="77777777" w:rsidR="00D52BBB" w:rsidRPr="00D52BBB" w:rsidRDefault="00D52BBB" w:rsidP="00D52BBB">
      <w:pPr>
        <w:pStyle w:val="Text"/>
      </w:pPr>
      <w:r w:rsidRPr="00D52BBB">
        <w:t xml:space="preserve">Hinzu kommen Mehrkosten in Höhe von 150 bis 195 Mio. € pro Jahr auf Grund von erwarteten Stoffstromverschiebungen bei Bodenaushub und Bauschutt, die sich aus der Neufassung der </w:t>
      </w:r>
      <w:proofErr w:type="spellStart"/>
      <w:r w:rsidRPr="00D52BBB">
        <w:t>BBodSchV</w:t>
      </w:r>
      <w:proofErr w:type="spellEnd"/>
      <w:r w:rsidRPr="00D52BBB">
        <w:t xml:space="preserve"> ergeben. Bei den Regelungen zur Verwertung handelt es sich um eine 1:1-Umsetzung der Vorgaben zur Abfallhierarchie aus den Artikeln 4 und 13 der EU-Abfallrahmenrichtlinie. Gem. Artikel 4 Abs. 2 der Richtlinie treffen bei Anwendung der Abfallhierarchie die Mitgliedstaaten Maßnahmen zur Förderung derjenigen Optionen, die insgesamt das beste Ergebnis unter dem Aspekt des Umweltschutzes erbringen. Daher wird kein Anwendungsfall der </w:t>
      </w:r>
      <w:proofErr w:type="spellStart"/>
      <w:r w:rsidRPr="00D52BBB">
        <w:t>One</w:t>
      </w:r>
      <w:proofErr w:type="spellEnd"/>
      <w:r w:rsidRPr="00D52BBB">
        <w:t>-in-</w:t>
      </w:r>
      <w:proofErr w:type="spellStart"/>
      <w:r w:rsidRPr="00D52BBB">
        <w:t>one</w:t>
      </w:r>
      <w:proofErr w:type="spellEnd"/>
      <w:r w:rsidRPr="00D52BBB">
        <w:t xml:space="preserve">-out-Regel für neue Regelungsvorhaben der Bundesregierung begründet (siehe Kabinettbeschluss vom 25. März 2015). </w:t>
      </w:r>
    </w:p>
    <w:p w14:paraId="042F5C2B" w14:textId="77777777" w:rsidR="00D52BBB" w:rsidRPr="00D52BBB" w:rsidRDefault="00D52BBB" w:rsidP="00D52BBB">
      <w:pPr>
        <w:pStyle w:val="Text"/>
      </w:pPr>
      <w:r w:rsidRPr="00D52BBB">
        <w:t>Inklusive der Mehrkosten durch die Stoffstromverschiebungen ergibt sich eine Belastung für die Wirtschaft in Höhe von 134,7 bis 179,7 Mio. € pro Jahr.</w:t>
      </w:r>
    </w:p>
    <w:p w14:paraId="66C72A2C" w14:textId="27EFA1A8" w:rsidR="00D52BBB" w:rsidRPr="00D52BBB" w:rsidRDefault="00D52BBB" w:rsidP="00D52BBB">
      <w:pPr>
        <w:pStyle w:val="Text"/>
      </w:pPr>
      <w:r w:rsidRPr="00D52BBB">
        <w:t xml:space="preserve">Entsprechend dem Leitfaden zur Berücksichtigung der Belange mittelständischer Unternehmen in der Gesetzesfolgenabschätzung (KMU-Test) vom 30. Dezember 2015 wurde geprüft, ob weniger belastende Regelungsalternativen oder Unterstützungsmaßnahmen </w:t>
      </w:r>
      <w:r w:rsidRPr="00D52BBB">
        <w:lastRenderedPageBreak/>
        <w:t xml:space="preserve">möglich sind. Bei der Konzeption der Pflichten aus der Verordnung wurden an verschiedenen Stellen Ausnahmeregelungen geschaffen, die vor allem kleinen und mittleren Unternehmen zu Gute kommen (vgl. insbesondere §§ 15 Abs. 3 EBV </w:t>
      </w:r>
      <w:proofErr w:type="spellStart"/>
      <w:r w:rsidRPr="00D52BBB">
        <w:t>i.V.m</w:t>
      </w:r>
      <w:proofErr w:type="spellEnd"/>
      <w:r w:rsidRPr="00D52BBB">
        <w:t xml:space="preserve">. § 6 Abs. 5 Nummer 2 </w:t>
      </w:r>
      <w:proofErr w:type="spellStart"/>
      <w:r w:rsidRPr="00D52BBB">
        <w:t>BBodSchV</w:t>
      </w:r>
      <w:proofErr w:type="spellEnd"/>
      <w:r w:rsidRPr="00D52BBB">
        <w:t xml:space="preserve"> – Kleinmengenregelung –, § 19 Abs. 1 EBV – Übertragung der Pflicht auf Betreiber von Zwischenlagern –). Die Einschränkung bei der wasserrechtlichen Erlaubnis kommt im Anwendungsbereich der </w:t>
      </w:r>
      <w:proofErr w:type="spellStart"/>
      <w:r w:rsidRPr="00D52BBB">
        <w:t>BBodSchV</w:t>
      </w:r>
      <w:proofErr w:type="spellEnd"/>
      <w:r w:rsidRPr="00D52BBB">
        <w:t xml:space="preserve"> vor allem kleineren und mittleren Unternehmen (</w:t>
      </w:r>
      <w:proofErr w:type="spellStart"/>
      <w:r w:rsidRPr="00D52BBB">
        <w:t>Verfüllbetriebe</w:t>
      </w:r>
      <w:proofErr w:type="spellEnd"/>
      <w:r w:rsidRPr="00D52BBB">
        <w:t>) zu Gute. Die Interessen von kleinen und mittleren Unternehmen wurden damit ausreichend berücksichtigt.</w:t>
      </w:r>
    </w:p>
    <w:p w14:paraId="01A9CF1A" w14:textId="77777777" w:rsidR="00D52BBB" w:rsidRPr="00D52BBB" w:rsidRDefault="00D52BBB" w:rsidP="00A855AA">
      <w:pPr>
        <w:pStyle w:val="VorblattTitelBrokratiekostenausInformationspflichten"/>
      </w:pPr>
      <w:r w:rsidRPr="00D52BBB">
        <w:t>Davon Bürokratiekosten aus Informationspflichten</w:t>
      </w:r>
    </w:p>
    <w:p w14:paraId="6A7AC83F" w14:textId="38231CED" w:rsidR="00D52BBB" w:rsidRPr="00D52BBB" w:rsidRDefault="00D52BBB" w:rsidP="00A855AA">
      <w:pPr>
        <w:pStyle w:val="Text"/>
      </w:pPr>
      <w:r w:rsidRPr="00D52BBB">
        <w:t>Durch die Verordnung werden 21 Informationspflichten neu eingeführt, 1 Informationspflicht geändert und für eine Informationspflicht (wasserrechtliche Erlaubnis) wird der Anwendungsbereich eingeschränkt. Insgesamt entsteht der Wirtschaft durch die neuen Informationspflichten ein laufender Erfüllungsaufwand in Höhe von 360.300 €. Den Belastungen steht eine Entlastung aus der eingeschränkten Informationspflicht in Höhe von 16,1 Mio. € gegenüber. Daher führen die Änderungen der Informationspflichten zu einer Entlastung in Höhe von insgesamt rund 15,7 Mio. €.</w:t>
      </w:r>
    </w:p>
    <w:p w14:paraId="036114C0" w14:textId="77777777" w:rsidR="00D52BBB" w:rsidRPr="00D52BBB" w:rsidRDefault="00D52BBB" w:rsidP="00A855AA">
      <w:pPr>
        <w:pStyle w:val="VorblattTitelErfllungsaufwandVerwaltung"/>
      </w:pPr>
      <w:r w:rsidRPr="00D52BBB">
        <w:t>E.3 Erfüllungsaufwand der Verwaltung</w:t>
      </w:r>
    </w:p>
    <w:p w14:paraId="67DAF771" w14:textId="77777777" w:rsidR="00D52BBB" w:rsidRPr="00D52BBB" w:rsidRDefault="00D52BBB" w:rsidP="00D52BBB">
      <w:pPr>
        <w:pStyle w:val="Text"/>
      </w:pPr>
      <w:r w:rsidRPr="00D52BBB">
        <w:t>Durch die Mantelverordnung entsteht folgender Erfüllungsaufwand für die Verwaltung:</w:t>
      </w:r>
    </w:p>
    <w:p w14:paraId="56539FB0" w14:textId="77777777" w:rsidR="00D52BBB" w:rsidRPr="00D52BBB" w:rsidRDefault="00D52BBB" w:rsidP="00D52BBB">
      <w:pPr>
        <w:pStyle w:val="Text"/>
      </w:pPr>
      <w:r w:rsidRPr="00D52BBB">
        <w:t xml:space="preserve">Der Vollzug der Ersatzbaustoffverordnung und der Bundesbodenschutzverordnung obliegt nach Artikel 83 GG grundsätzlich den Ländern. Für Bundesbehörden werden durch die vorliegende Novelle beider Verordnungen keine Zuständigkeiten neu begründet. Die nachfolgenden Ausführungen beziehen sich daher auf die nach Landesrecht zuständigen Behörden. </w:t>
      </w:r>
    </w:p>
    <w:p w14:paraId="5D84097C" w14:textId="61220385" w:rsidR="00D52BBB" w:rsidRPr="00D52BBB" w:rsidRDefault="00D52BBB" w:rsidP="00D52BBB">
      <w:pPr>
        <w:pStyle w:val="Text"/>
      </w:pPr>
      <w:r w:rsidRPr="00D52BBB">
        <w:t>Es entsteht ein laufender Erfüllungsaufwand in Höhe von rund 298.400 €. Den Belastungen stehen Entlastungen in Höhe von rund 20,4 Mio. € gegenüber. Insgesamt ergeben sich damit für die Verwaltung Entlastungen in Höhe von rund 20,1 Mio. €. Für die Bundesverwaltung entsteht kein Erfüllungsaufwand.</w:t>
      </w:r>
    </w:p>
    <w:p w14:paraId="2D6CCE90" w14:textId="77777777" w:rsidR="00D52BBB" w:rsidRPr="00D52BBB" w:rsidRDefault="00D52BBB" w:rsidP="00A855AA">
      <w:pPr>
        <w:pStyle w:val="VorblattTitelWeitereKosten"/>
      </w:pPr>
      <w:r w:rsidRPr="00D52BBB">
        <w:t>F. Weitere Kosten</w:t>
      </w:r>
    </w:p>
    <w:p w14:paraId="1743DC21" w14:textId="77777777" w:rsidR="00D52BBB" w:rsidRPr="00D52BBB" w:rsidRDefault="00D52BBB" w:rsidP="00D52BBB">
      <w:pPr>
        <w:pStyle w:val="Text"/>
      </w:pPr>
      <w:r w:rsidRPr="00D52BBB">
        <w:t>Weitere Kosten und Auswirkungen auf Einzelpreise und das Preisniveau, insbesondere auf das Verbraucherpreisniveau, sind nicht zu erwarten.</w:t>
      </w:r>
    </w:p>
    <w:p w14:paraId="21608D45" w14:textId="77777777" w:rsidR="00D52BBB" w:rsidRPr="00D52BBB" w:rsidRDefault="00D52BBB" w:rsidP="00D52BBB">
      <w:pPr>
        <w:pStyle w:val="Text"/>
      </w:pPr>
      <w:r w:rsidRPr="00D52BBB">
        <w:t>Kosten-Nutzen-Aspekte:</w:t>
      </w:r>
    </w:p>
    <w:p w14:paraId="10185B26" w14:textId="77777777" w:rsidR="00D52BBB" w:rsidRPr="00D52BBB" w:rsidRDefault="00D52BBB" w:rsidP="00D52BBB">
      <w:pPr>
        <w:pStyle w:val="Text"/>
      </w:pPr>
      <w:r w:rsidRPr="00D52BBB">
        <w:t>Den Kosten, die der Wirtschaft insbesondere durch die in der Ersatzbaustoffverordnung vorgesehenen Güteüberwachung bei der Herstellung mineralischer Ersatzbaustoffe entstehen, stehen Einsparungen infolge des Entfallens des Erfordernisses einer wasserrechtlichen Erlaubnis gegenüber. Entsprechendes gilt für die Kosten, die sich aus der Neufassung der der Bundes-Bodenschutz- und Altlastenverordnung ergeben. Darüber hinaus ist davon auszugehen, dass die Ersatzbaustoffverordnung dazu beiträgt, die Akzeptanz von mineralischen Ersatzbaustoffen insgesamt zu verbessern und damit auch weitere Absatzmöglichkeiten für die Hersteller dieser Baustoffe zu eröffnen. Auch den mit der in der Bundes-Bodenschutz- und Altlastenverordnung vorgesehenen bodenkundlichen Baubegleitung verbundenen Kosten stehen in der Regel ersparte Aufwendungen für die Beseitigung von Schäden gegenüber, die durch einen unsachgemäßen Umgang mit Boden während der Bauphase eintreten.</w:t>
      </w:r>
    </w:p>
    <w:p w14:paraId="4044A22E" w14:textId="116D746F" w:rsidR="00D52BBB" w:rsidRPr="00D52BBB" w:rsidRDefault="00D52BBB" w:rsidP="00D52BBB">
      <w:pPr>
        <w:pStyle w:val="Text"/>
      </w:pPr>
      <w:r w:rsidRPr="00D52BBB">
        <w:lastRenderedPageBreak/>
        <w:t>Diese Mantelverordnung wird insgesamt durch die Förderung der Ziele der Kreislaufwirtschaft und die Gewährleistung eines hohen Niveaus des Grundwasser- und Bodenschutzes bei der Verwertung mineralischer Abfälle, aber auch in anderen Regelungsbereichen der Bundes-Bodenschutz- und Altlastenverordnung einen wichtigen Beitrag zu einem verbesserten Schutz der Umwelt in Deutschland leisten.</w:t>
      </w:r>
    </w:p>
    <w:p w14:paraId="679FB767" w14:textId="01345B4C" w:rsidR="009B0B0B" w:rsidRDefault="009B0B0B" w:rsidP="009B0B0B">
      <w:pPr>
        <w:sectPr w:rsidR="009B0B0B" w:rsidSect="007947FE">
          <w:headerReference w:type="default" r:id="rId8"/>
          <w:headerReference w:type="first" r:id="rId9"/>
          <w:pgSz w:w="11907" w:h="16839"/>
          <w:pgMar w:top="1134" w:right="1417" w:bottom="1134" w:left="1701" w:header="709" w:footer="709" w:gutter="0"/>
          <w:pgNumType w:start="1"/>
          <w:cols w:space="708"/>
          <w:titlePg/>
          <w:docGrid w:linePitch="360"/>
        </w:sectPr>
      </w:pPr>
    </w:p>
    <w:p w14:paraId="754BC8C0" w14:textId="77777777" w:rsidR="009B0B0B" w:rsidRDefault="009B0B0B" w:rsidP="00D07F8C">
      <w:pPr>
        <w:pStyle w:val="Dokumentstatus"/>
      </w:pPr>
      <w:bookmarkStart w:id="0" w:name="ENORM_STATUS_REGL"/>
      <w:r w:rsidRPr="009B0B0B">
        <w:lastRenderedPageBreak/>
        <w:t>Verordnung</w:t>
      </w:r>
      <w:bookmarkEnd w:id="0"/>
      <w:r>
        <w:t xml:space="preserve"> </w:t>
      </w:r>
      <w:r w:rsidRPr="009B0B0B">
        <w:t>der Bundesregierung</w:t>
      </w:r>
    </w:p>
    <w:p w14:paraId="776161E3" w14:textId="77777777" w:rsidR="009B0B0B" w:rsidRDefault="009B0B0B" w:rsidP="00D07F8C">
      <w:pPr>
        <w:pStyle w:val="Bezeichnungnderungsdokument"/>
      </w:pPr>
      <w:r w:rsidRPr="009B0B0B">
        <w:t>Verordnung zur Einführung einer Ersatzbaustoffverordnung, zur Neufassung der Bundes-Bodenschutz- und Altlastenverordnung und zur Änderung der Deponieverordnung und der Gewerbeabfallverordnung</w:t>
      </w:r>
      <w:r>
        <w:rPr>
          <w:rStyle w:val="Funotenzeichen"/>
        </w:rPr>
        <w:footnoteReference w:id="1"/>
      </w:r>
      <w:r>
        <w:rPr>
          <w:rStyle w:val="Funotenzeichen"/>
        </w:rPr>
        <w:t>)</w:t>
      </w:r>
    </w:p>
    <w:p w14:paraId="724A2CDE" w14:textId="77777777" w:rsidR="009B0B0B" w:rsidRDefault="009B0B0B" w:rsidP="00D07F8C">
      <w:pPr>
        <w:pStyle w:val="Ausfertigungsdatumnderungsdokument"/>
      </w:pPr>
      <w:r>
        <w:t>Vom ...</w:t>
      </w:r>
    </w:p>
    <w:p w14:paraId="22A84473" w14:textId="77777777" w:rsidR="006632E7" w:rsidRDefault="009B0B0B" w:rsidP="00D07F8C">
      <w:pPr>
        <w:pStyle w:val="EingangsformelStandardnderungsdokument"/>
      </w:pPr>
      <w:r>
        <w:t xml:space="preserve">Auf Grund </w:t>
      </w:r>
    </w:p>
    <w:p w14:paraId="2C56B6BC" w14:textId="3CF766D6" w:rsidR="006632E7" w:rsidRPr="008D0377" w:rsidRDefault="00C779BA" w:rsidP="00C17FD1">
      <w:pPr>
        <w:pStyle w:val="EingangsformelAufzhlungnderungsdokument"/>
        <w:numPr>
          <w:ilvl w:val="0"/>
          <w:numId w:val="31"/>
        </w:numPr>
      </w:pPr>
      <w:r w:rsidRPr="008D0377">
        <w:t>des §</w:t>
      </w:r>
      <w:r w:rsidR="008B5E0D" w:rsidRPr="008D0377">
        <w:t> </w:t>
      </w:r>
      <w:r w:rsidRPr="008D0377">
        <w:t>8 Absatz</w:t>
      </w:r>
      <w:r w:rsidR="008B5E0D" w:rsidRPr="008D0377">
        <w:t> </w:t>
      </w:r>
      <w:r w:rsidRPr="008D0377">
        <w:t>2 Satz</w:t>
      </w:r>
      <w:r w:rsidR="008B5E0D" w:rsidRPr="008D0377">
        <w:t> </w:t>
      </w:r>
      <w:r w:rsidRPr="008D0377">
        <w:t>1 Nummer</w:t>
      </w:r>
      <w:r w:rsidR="008B5E0D" w:rsidRPr="008D0377">
        <w:t> </w:t>
      </w:r>
      <w:r w:rsidRPr="008D0377">
        <w:t>2, des §</w:t>
      </w:r>
      <w:r w:rsidR="008B5E0D" w:rsidRPr="008D0377">
        <w:t> </w:t>
      </w:r>
      <w:r w:rsidRPr="008D0377">
        <w:t>10 Absatz</w:t>
      </w:r>
      <w:r w:rsidR="008B5E0D" w:rsidRPr="008D0377">
        <w:t> </w:t>
      </w:r>
      <w:r w:rsidRPr="008D0377">
        <w:t>1 Nummer</w:t>
      </w:r>
      <w:r w:rsidR="008B5E0D" w:rsidRPr="008D0377">
        <w:t> </w:t>
      </w:r>
      <w:r w:rsidRPr="008D0377">
        <w:t>2, Nummer</w:t>
      </w:r>
      <w:r w:rsidR="008B5E0D" w:rsidRPr="008D0377">
        <w:t> </w:t>
      </w:r>
      <w:r w:rsidRPr="008D0377">
        <w:t>4 Buchstabe a und Buchstabe b, Nummer</w:t>
      </w:r>
      <w:r w:rsidR="008B5E0D" w:rsidRPr="008D0377">
        <w:t> </w:t>
      </w:r>
      <w:r w:rsidRPr="008D0377">
        <w:t>5, des §</w:t>
      </w:r>
      <w:r w:rsidR="008B5E0D" w:rsidRPr="008D0377">
        <w:t> </w:t>
      </w:r>
      <w:r w:rsidRPr="008D0377">
        <w:t>10 Absatz</w:t>
      </w:r>
      <w:r w:rsidR="008B5E0D" w:rsidRPr="008D0377">
        <w:t> </w:t>
      </w:r>
      <w:r w:rsidRPr="008D0377">
        <w:t>2 Nummer</w:t>
      </w:r>
      <w:r w:rsidR="008B5E0D" w:rsidRPr="008D0377">
        <w:t> </w:t>
      </w:r>
      <w:r w:rsidRPr="008D0377">
        <w:t>1 Buchstabe a, Nummer</w:t>
      </w:r>
      <w:r w:rsidR="008B5E0D" w:rsidRPr="008D0377">
        <w:t> </w:t>
      </w:r>
      <w:r w:rsidRPr="008D0377">
        <w:t>5 bis 8, des §</w:t>
      </w:r>
      <w:r w:rsidR="008B5E0D" w:rsidRPr="008D0377">
        <w:t> </w:t>
      </w:r>
      <w:r w:rsidRPr="008D0377">
        <w:t>10 Absatz</w:t>
      </w:r>
      <w:r w:rsidR="008B5E0D" w:rsidRPr="008D0377">
        <w:t> </w:t>
      </w:r>
      <w:r w:rsidRPr="008D0377">
        <w:t>4 Nummer</w:t>
      </w:r>
      <w:r w:rsidR="008B5E0D" w:rsidRPr="008D0377">
        <w:t> </w:t>
      </w:r>
      <w:r w:rsidRPr="008D0377">
        <w:t>1 und des §</w:t>
      </w:r>
      <w:r w:rsidR="008B5E0D" w:rsidRPr="008D0377">
        <w:t> </w:t>
      </w:r>
      <w:r w:rsidRPr="008D0377">
        <w:t>16 Satz</w:t>
      </w:r>
      <w:r w:rsidR="008B5E0D" w:rsidRPr="008D0377">
        <w:t> </w:t>
      </w:r>
      <w:r w:rsidRPr="008D0377">
        <w:t>1 Nummer</w:t>
      </w:r>
      <w:r w:rsidR="008B5E0D" w:rsidRPr="008D0377">
        <w:t> </w:t>
      </w:r>
      <w:r w:rsidRPr="008D0377">
        <w:t>2, Nummer</w:t>
      </w:r>
      <w:r w:rsidR="008B5E0D" w:rsidRPr="008D0377">
        <w:t> </w:t>
      </w:r>
      <w:r w:rsidRPr="008D0377">
        <w:t>3 in Verbindung mit §</w:t>
      </w:r>
      <w:r w:rsidR="008B5E0D" w:rsidRPr="008D0377">
        <w:t> </w:t>
      </w:r>
      <w:r w:rsidRPr="008D0377">
        <w:t>10 Absatz</w:t>
      </w:r>
      <w:r w:rsidR="008B5E0D" w:rsidRPr="008D0377">
        <w:t> </w:t>
      </w:r>
      <w:r w:rsidRPr="008D0377">
        <w:t>2 Nummer</w:t>
      </w:r>
      <w:r w:rsidR="008B5E0D" w:rsidRPr="008D0377">
        <w:t> </w:t>
      </w:r>
      <w:r w:rsidRPr="008D0377">
        <w:t>5 bis 7 des Kreislaufwirtschaftsgesetzes vom 24. Februar 2012 (BGBl.</w:t>
      </w:r>
      <w:r w:rsidR="008B5E0D" w:rsidRPr="008D0377">
        <w:t> </w:t>
      </w:r>
      <w:r w:rsidRPr="008D0377">
        <w:t>I S.</w:t>
      </w:r>
      <w:r w:rsidR="008B5E0D" w:rsidRPr="008D0377">
        <w:t> </w:t>
      </w:r>
      <w:r w:rsidRPr="008D0377">
        <w:t xml:space="preserve">212), </w:t>
      </w:r>
    </w:p>
    <w:p w14:paraId="15AD24AA" w14:textId="77777777" w:rsidR="00C779BA" w:rsidRPr="008D0377" w:rsidRDefault="00C779BA" w:rsidP="00C779BA">
      <w:pPr>
        <w:pStyle w:val="EingangsformelAufzhlungnderungsdokument"/>
      </w:pPr>
      <w:r w:rsidRPr="008D0377">
        <w:t>des §</w:t>
      </w:r>
      <w:r w:rsidR="008B5E0D" w:rsidRPr="008D0377">
        <w:t> </w:t>
      </w:r>
      <w:r w:rsidRPr="008D0377">
        <w:t>6, des §</w:t>
      </w:r>
      <w:r w:rsidR="008B5E0D" w:rsidRPr="008D0377">
        <w:t> </w:t>
      </w:r>
      <w:r w:rsidRPr="008D0377">
        <w:t>8 Absatz</w:t>
      </w:r>
      <w:r w:rsidR="008B5E0D" w:rsidRPr="008D0377">
        <w:t> </w:t>
      </w:r>
      <w:r w:rsidRPr="008D0377">
        <w:t>1 und 2 in Verbindung mit Absatz</w:t>
      </w:r>
      <w:r w:rsidR="008B5E0D" w:rsidRPr="008D0377">
        <w:t> </w:t>
      </w:r>
      <w:r w:rsidRPr="008D0377">
        <w:t>3 und des §</w:t>
      </w:r>
      <w:r w:rsidR="008B5E0D" w:rsidRPr="008D0377">
        <w:t> </w:t>
      </w:r>
      <w:r w:rsidRPr="008D0377">
        <w:t>13 Absatz</w:t>
      </w:r>
      <w:r w:rsidR="008B5E0D" w:rsidRPr="008D0377">
        <w:t> </w:t>
      </w:r>
      <w:r w:rsidRPr="008D0377">
        <w:t>1 Satz</w:t>
      </w:r>
      <w:r w:rsidR="008B5E0D" w:rsidRPr="008D0377">
        <w:t> </w:t>
      </w:r>
      <w:r w:rsidRPr="008D0377">
        <w:t>2 des Bundes-Bodenschutzgesetzes vom 17. März 1998 (BGBl.</w:t>
      </w:r>
      <w:r w:rsidR="008B5E0D" w:rsidRPr="008D0377">
        <w:t> </w:t>
      </w:r>
      <w:r w:rsidRPr="008D0377">
        <w:t>I S.</w:t>
      </w:r>
      <w:r w:rsidR="008B5E0D" w:rsidRPr="008D0377">
        <w:t> </w:t>
      </w:r>
      <w:r w:rsidRPr="008D0377">
        <w:t>502) und</w:t>
      </w:r>
    </w:p>
    <w:p w14:paraId="2E64437C" w14:textId="77777777" w:rsidR="00C779BA" w:rsidRPr="008D0377" w:rsidRDefault="00C779BA" w:rsidP="00C779BA">
      <w:pPr>
        <w:pStyle w:val="EingangsformelAufzhlungnderungsdokument"/>
      </w:pPr>
      <w:r w:rsidRPr="008D0377">
        <w:t>des §</w:t>
      </w:r>
      <w:r w:rsidR="008B5E0D" w:rsidRPr="008D0377">
        <w:t> </w:t>
      </w:r>
      <w:r w:rsidRPr="008D0377">
        <w:t>23 Absatz</w:t>
      </w:r>
      <w:r w:rsidR="008B5E0D" w:rsidRPr="008D0377">
        <w:t> </w:t>
      </w:r>
      <w:r w:rsidRPr="008D0377">
        <w:t>1 Nummer</w:t>
      </w:r>
      <w:r w:rsidR="008B5E0D" w:rsidRPr="008D0377">
        <w:t> </w:t>
      </w:r>
      <w:r w:rsidRPr="008D0377">
        <w:t>3, 7 und 10 und Absatz</w:t>
      </w:r>
      <w:r w:rsidR="008B5E0D" w:rsidRPr="008D0377">
        <w:t> </w:t>
      </w:r>
      <w:r w:rsidRPr="008D0377">
        <w:t>2 in Verbindung mit §</w:t>
      </w:r>
      <w:r w:rsidR="008B5E0D" w:rsidRPr="008D0377">
        <w:t> </w:t>
      </w:r>
      <w:r w:rsidRPr="008D0377">
        <w:t>48 Absatz</w:t>
      </w:r>
      <w:r w:rsidR="008B5E0D" w:rsidRPr="008D0377">
        <w:t> </w:t>
      </w:r>
      <w:r w:rsidRPr="008D0377">
        <w:t>1 Satz</w:t>
      </w:r>
      <w:r w:rsidR="008B5E0D" w:rsidRPr="008D0377">
        <w:t> </w:t>
      </w:r>
      <w:r w:rsidRPr="008D0377">
        <w:t>2 des Wasserhaushaltsgesetzes, von denen §</w:t>
      </w:r>
      <w:r w:rsidR="008B5E0D" w:rsidRPr="008D0377">
        <w:t> </w:t>
      </w:r>
      <w:r w:rsidRPr="008D0377">
        <w:t>23 Absatz</w:t>
      </w:r>
      <w:r w:rsidR="008B5E0D" w:rsidRPr="008D0377">
        <w:t> </w:t>
      </w:r>
      <w:r w:rsidRPr="008D0377">
        <w:t>1 zuletzt durch Artikel</w:t>
      </w:r>
      <w:r w:rsidR="008B5E0D" w:rsidRPr="008D0377">
        <w:t> </w:t>
      </w:r>
      <w:r w:rsidRPr="008D0377">
        <w:t>1 Nummer</w:t>
      </w:r>
      <w:r w:rsidR="008B5E0D" w:rsidRPr="008D0377">
        <w:t> </w:t>
      </w:r>
      <w:r w:rsidRPr="008D0377">
        <w:t>4 Buchstabe a des Gesetzes vom 6. Oktober 2011 (BGBl.</w:t>
      </w:r>
      <w:r w:rsidR="008B5E0D" w:rsidRPr="008D0377">
        <w:t> </w:t>
      </w:r>
      <w:r w:rsidRPr="008D0377">
        <w:t>I S.</w:t>
      </w:r>
      <w:r w:rsidR="008B5E0D" w:rsidRPr="008D0377">
        <w:t> </w:t>
      </w:r>
      <w:r w:rsidRPr="008D0377">
        <w:t>1986) geändert worden ist,</w:t>
      </w:r>
    </w:p>
    <w:p w14:paraId="577DA896" w14:textId="77777777" w:rsidR="006632E7" w:rsidRPr="008D0377" w:rsidRDefault="009B0B0B" w:rsidP="00C779BA">
      <w:pPr>
        <w:pStyle w:val="EingangsformelAufzhlungnderungsdokument"/>
      </w:pPr>
      <w:r>
        <w:t>verordne</w:t>
      </w:r>
      <w:r w:rsidR="006632E7">
        <w:t>t</w:t>
      </w:r>
      <w:r w:rsidR="006632E7" w:rsidRPr="008D0377">
        <w:t xml:space="preserve"> die Bundesregierung nach Anhörung der beteiligten Kreise sowie im Falle des</w:t>
      </w:r>
    </w:p>
    <w:p w14:paraId="0AB979B5" w14:textId="77777777" w:rsidR="006632E7" w:rsidRDefault="006632E7" w:rsidP="00AA1E49">
      <w:pPr>
        <w:pStyle w:val="EingangsformelAufzhlungnderungsdokument"/>
      </w:pPr>
      <w:r>
        <w:t>§</w:t>
      </w:r>
      <w:r w:rsidR="008B5E0D">
        <w:t> </w:t>
      </w:r>
      <w:r>
        <w:t>10 Absatz</w:t>
      </w:r>
      <w:r w:rsidR="008B5E0D">
        <w:t> </w:t>
      </w:r>
      <w:r>
        <w:t>1 Nummer</w:t>
      </w:r>
      <w:r w:rsidR="008B5E0D">
        <w:t> </w:t>
      </w:r>
      <w:r>
        <w:t>4 Buchstabe a und b des Kreislaufwirtschaftsgesetzes und des</w:t>
      </w:r>
    </w:p>
    <w:p w14:paraId="087EC7DC" w14:textId="77777777" w:rsidR="006632E7" w:rsidRPr="006632E7" w:rsidRDefault="006632E7" w:rsidP="00AA1E49">
      <w:pPr>
        <w:pStyle w:val="EingangsformelAufzhlungnderungsdokument"/>
      </w:pPr>
      <w:r>
        <w:t>§</w:t>
      </w:r>
      <w:r w:rsidR="008B5E0D">
        <w:t> </w:t>
      </w:r>
      <w:r>
        <w:t>48 Absatz</w:t>
      </w:r>
      <w:r w:rsidR="008B5E0D">
        <w:t> </w:t>
      </w:r>
      <w:r>
        <w:t>1 Satz</w:t>
      </w:r>
      <w:r w:rsidR="008B5E0D">
        <w:t> </w:t>
      </w:r>
      <w:r>
        <w:t>2 des Wasserhaushaltsgesetzes</w:t>
      </w:r>
    </w:p>
    <w:p w14:paraId="02C5F1C2" w14:textId="77777777" w:rsidR="009B0B0B" w:rsidRDefault="006632E7" w:rsidP="00BA64B0">
      <w:pPr>
        <w:pStyle w:val="EingangsformelFolgeabsatznderungsdokument"/>
      </w:pPr>
      <w:r w:rsidRPr="006632E7">
        <w:t>unter Wahrung der Rechte des Bundestags gemäß §</w:t>
      </w:r>
      <w:r w:rsidR="008B5E0D">
        <w:t> </w:t>
      </w:r>
      <w:r w:rsidRPr="006632E7">
        <w:t>67 des Kreislaufwirtschaftsgesetzes sowie des §</w:t>
      </w:r>
      <w:r w:rsidR="008B5E0D">
        <w:t> </w:t>
      </w:r>
      <w:r w:rsidRPr="006632E7">
        <w:t>48 Absatz</w:t>
      </w:r>
      <w:r w:rsidR="008B5E0D">
        <w:t> </w:t>
      </w:r>
      <w:r w:rsidRPr="006632E7">
        <w:t>1 Satz</w:t>
      </w:r>
      <w:r w:rsidR="008B5E0D">
        <w:t> </w:t>
      </w:r>
      <w:r w:rsidRPr="006632E7">
        <w:t>3 und 4 des Wasserhaushaltsgesetzes:</w:t>
      </w:r>
    </w:p>
    <w:p w14:paraId="76D9AAC6" w14:textId="1CA6FC9F" w:rsidR="00A10B6A" w:rsidRPr="00A10B6A" w:rsidRDefault="00A10B6A" w:rsidP="00A10B6A">
      <w:pPr>
        <w:pStyle w:val="ArtikelBezeichner"/>
      </w:pPr>
    </w:p>
    <w:p w14:paraId="5D56E7F0" w14:textId="6A0CD0B4" w:rsidR="00BA64B0" w:rsidRDefault="00881303" w:rsidP="00BA64B0">
      <w:pPr>
        <w:pStyle w:val="BezeichnungStammdokument"/>
      </w:pPr>
      <w:r w:rsidRPr="008D0377">
        <w:t xml:space="preserve">Verordnung über Anforderungen an den Einbau von mineralischen Ersatzbaustoffen </w:t>
      </w:r>
      <w:proofErr w:type="gramStart"/>
      <w:r w:rsidRPr="008D0377">
        <w:t>in technischen Bauwerke</w:t>
      </w:r>
      <w:proofErr w:type="gramEnd"/>
    </w:p>
    <w:p w14:paraId="08AF8686" w14:textId="7CEEC46F" w:rsidR="00BA64B0" w:rsidRDefault="00BA64B0" w:rsidP="00BA64B0">
      <w:pPr>
        <w:pStyle w:val="Kurzbezeichnung-AbkrzungStammdokument"/>
      </w:pPr>
      <w:r w:rsidRPr="008D0377">
        <w:t xml:space="preserve">(Ersatzbaustoffverordnung – </w:t>
      </w:r>
      <w:proofErr w:type="spellStart"/>
      <w:r w:rsidRPr="008D0377">
        <w:t>ErsatzbaustoffV</w:t>
      </w:r>
      <w:proofErr w:type="spellEnd"/>
      <w:r w:rsidRPr="008D0377">
        <w:t>)</w:t>
      </w:r>
    </w:p>
    <w:p w14:paraId="1E275001" w14:textId="77777777" w:rsidR="00AB41E6" w:rsidRDefault="00AB41E6" w:rsidP="00AB41E6">
      <w:pPr>
        <w:pStyle w:val="VerzeichnisTitelStammdokument"/>
      </w:pPr>
      <w:r>
        <w:t>Inhaltsübersicht</w:t>
      </w:r>
    </w:p>
    <w:p w14:paraId="5B542B9B" w14:textId="3939269D" w:rsidR="00AB41E6" w:rsidRPr="00AB41E6" w:rsidRDefault="00D27887" w:rsidP="00AB41E6">
      <w:pPr>
        <w:pStyle w:val="Verzeichnis5"/>
      </w:pPr>
      <w:hyperlink w:anchor="_Toc64379990" w:history="1">
        <w:r w:rsidR="00AB41E6" w:rsidRPr="00AB41E6">
          <w:t>Abschnitt 1</w:t>
        </w:r>
        <w:r w:rsidR="00AB41E6" w:rsidRPr="00AB41E6">
          <w:br/>
          <w:t>Allgemeine Bestimmungen</w:t>
        </w:r>
      </w:hyperlink>
    </w:p>
    <w:p w14:paraId="420E528D" w14:textId="4502A0E4" w:rsidR="00AB41E6" w:rsidRPr="00AB41E6" w:rsidRDefault="00D27887" w:rsidP="00AB41E6">
      <w:pPr>
        <w:pStyle w:val="Verzeichnis9"/>
      </w:pPr>
      <w:hyperlink w:anchor="_Toc64379992" w:history="1">
        <w:r w:rsidR="00AB41E6" w:rsidRPr="00AB41E6">
          <w:t>§ 1</w:t>
        </w:r>
        <w:r w:rsidR="00AB41E6" w:rsidRPr="00AB41E6">
          <w:tab/>
          <w:t>Anwendungsbereich</w:t>
        </w:r>
      </w:hyperlink>
    </w:p>
    <w:p w14:paraId="201B60DB" w14:textId="5AEE0485" w:rsidR="00AB41E6" w:rsidRPr="00AB41E6" w:rsidRDefault="00D27887" w:rsidP="00AB41E6">
      <w:pPr>
        <w:pStyle w:val="Verzeichnis9"/>
      </w:pPr>
      <w:hyperlink w:anchor="_Toc64379994" w:history="1">
        <w:r w:rsidR="00AB41E6" w:rsidRPr="00AB41E6">
          <w:t>§ 2</w:t>
        </w:r>
        <w:r w:rsidR="00AB41E6" w:rsidRPr="00AB41E6">
          <w:tab/>
          <w:t>Begriffsbestimmungen</w:t>
        </w:r>
      </w:hyperlink>
    </w:p>
    <w:p w14:paraId="4B7110E0" w14:textId="605DE76F" w:rsidR="00AB41E6" w:rsidRPr="00AB41E6" w:rsidRDefault="00D27887" w:rsidP="00AB41E6">
      <w:pPr>
        <w:pStyle w:val="Verzeichnis5"/>
      </w:pPr>
      <w:hyperlink w:anchor="_Toc64379996" w:history="1">
        <w:r w:rsidR="00AB41E6" w:rsidRPr="00AB41E6">
          <w:t>Abschnitt 2</w:t>
        </w:r>
        <w:r w:rsidR="00AB41E6" w:rsidRPr="00AB41E6">
          <w:br/>
          <w:t>Annahme von mineralischen Abfällen</w:t>
        </w:r>
      </w:hyperlink>
    </w:p>
    <w:p w14:paraId="04A8904D" w14:textId="3B844EA5" w:rsidR="00AB41E6" w:rsidRPr="00AB41E6" w:rsidRDefault="00D27887" w:rsidP="00AB41E6">
      <w:pPr>
        <w:pStyle w:val="Verzeichnis9"/>
      </w:pPr>
      <w:hyperlink w:anchor="_Toc64379998" w:history="1">
        <w:r w:rsidR="00AB41E6" w:rsidRPr="00AB41E6">
          <w:t>§ 3</w:t>
        </w:r>
        <w:r w:rsidR="00AB41E6" w:rsidRPr="00AB41E6">
          <w:tab/>
          <w:t>Annahmekontrolle</w:t>
        </w:r>
      </w:hyperlink>
    </w:p>
    <w:p w14:paraId="1702222F" w14:textId="2284DCD8" w:rsidR="00AB41E6" w:rsidRPr="00AB41E6" w:rsidRDefault="00D27887" w:rsidP="00AB41E6">
      <w:pPr>
        <w:pStyle w:val="Verzeichnis5"/>
      </w:pPr>
      <w:hyperlink w:anchor="_Toc64380000" w:history="1">
        <w:r w:rsidR="00AB41E6" w:rsidRPr="00AB41E6">
          <w:t>Abschnitt 3</w:t>
        </w:r>
        <w:r w:rsidR="00AB41E6" w:rsidRPr="00AB41E6">
          <w:br/>
          <w:t>Herstellen von mineralischen Ersatzbaustoffen</w:t>
        </w:r>
      </w:hyperlink>
    </w:p>
    <w:p w14:paraId="63D52D89" w14:textId="6623D262" w:rsidR="00AB41E6" w:rsidRPr="00AB41E6" w:rsidRDefault="00D27887" w:rsidP="00AB41E6">
      <w:pPr>
        <w:pStyle w:val="Verzeichnis6"/>
      </w:pPr>
      <w:hyperlink w:anchor="_Toc64380002" w:history="1">
        <w:r w:rsidR="00AB41E6" w:rsidRPr="00AB41E6">
          <w:t>Unterabschnitt 1</w:t>
        </w:r>
        <w:r w:rsidR="00AB41E6" w:rsidRPr="00AB41E6">
          <w:br/>
          <w:t>Güteüberwachung</w:t>
        </w:r>
      </w:hyperlink>
    </w:p>
    <w:p w14:paraId="45BBFC62" w14:textId="10E6FC55" w:rsidR="00AB41E6" w:rsidRPr="00AB41E6" w:rsidRDefault="00D27887" w:rsidP="00AB41E6">
      <w:pPr>
        <w:pStyle w:val="Verzeichnis9"/>
      </w:pPr>
      <w:hyperlink w:anchor="_Toc64380004" w:history="1">
        <w:r w:rsidR="00AB41E6" w:rsidRPr="00AB41E6">
          <w:t>§ 4</w:t>
        </w:r>
        <w:r w:rsidR="00AB41E6" w:rsidRPr="00AB41E6">
          <w:tab/>
          <w:t>Allgemeine Anforderungen an die Güteüberwachung</w:t>
        </w:r>
      </w:hyperlink>
    </w:p>
    <w:p w14:paraId="16EB8F4E" w14:textId="27E1A9DB" w:rsidR="00AB41E6" w:rsidRPr="00AB41E6" w:rsidRDefault="00D27887" w:rsidP="00AB41E6">
      <w:pPr>
        <w:pStyle w:val="Verzeichnis9"/>
      </w:pPr>
      <w:hyperlink w:anchor="_Toc64380006" w:history="1">
        <w:r w:rsidR="00AB41E6" w:rsidRPr="00AB41E6">
          <w:t>§ 5</w:t>
        </w:r>
        <w:r w:rsidR="00AB41E6" w:rsidRPr="00AB41E6">
          <w:tab/>
          <w:t>Eignungsnachweis</w:t>
        </w:r>
      </w:hyperlink>
    </w:p>
    <w:p w14:paraId="2BCA0985" w14:textId="7AE5C59C" w:rsidR="00AB41E6" w:rsidRPr="00AB41E6" w:rsidRDefault="00D27887" w:rsidP="00AB41E6">
      <w:pPr>
        <w:pStyle w:val="Verzeichnis9"/>
      </w:pPr>
      <w:hyperlink w:anchor="_Toc64380008" w:history="1">
        <w:r w:rsidR="00AB41E6" w:rsidRPr="00AB41E6">
          <w:t>§ 6</w:t>
        </w:r>
        <w:r w:rsidR="00AB41E6" w:rsidRPr="00AB41E6">
          <w:tab/>
          <w:t>Werkseigene Produktionskontrolle</w:t>
        </w:r>
      </w:hyperlink>
    </w:p>
    <w:p w14:paraId="10C15972" w14:textId="1505E0B2" w:rsidR="00AB41E6" w:rsidRPr="00AB41E6" w:rsidRDefault="00D27887" w:rsidP="00AB41E6">
      <w:pPr>
        <w:pStyle w:val="Verzeichnis9"/>
      </w:pPr>
      <w:hyperlink w:anchor="_Toc64380010" w:history="1">
        <w:r w:rsidR="00AB41E6" w:rsidRPr="00AB41E6">
          <w:t>§ 7</w:t>
        </w:r>
        <w:r w:rsidR="00AB41E6" w:rsidRPr="00AB41E6">
          <w:tab/>
          <w:t>Fremdüberwachung</w:t>
        </w:r>
      </w:hyperlink>
    </w:p>
    <w:p w14:paraId="2E87ED41" w14:textId="359DE29A" w:rsidR="00AB41E6" w:rsidRPr="00AB41E6" w:rsidRDefault="00D27887" w:rsidP="00AB41E6">
      <w:pPr>
        <w:pStyle w:val="Verzeichnis9"/>
      </w:pPr>
      <w:hyperlink w:anchor="_Toc64380012" w:history="1">
        <w:r w:rsidR="00AB41E6" w:rsidRPr="00AB41E6">
          <w:t>§ 8</w:t>
        </w:r>
        <w:r w:rsidR="00AB41E6" w:rsidRPr="00AB41E6">
          <w:tab/>
          <w:t>Probenahme und Probenaufbereitung</w:t>
        </w:r>
      </w:hyperlink>
    </w:p>
    <w:p w14:paraId="7E27F515" w14:textId="1415786C" w:rsidR="00AB41E6" w:rsidRPr="00AB41E6" w:rsidRDefault="00D27887" w:rsidP="00AB41E6">
      <w:pPr>
        <w:pStyle w:val="Verzeichnis9"/>
      </w:pPr>
      <w:hyperlink w:anchor="_Toc64380014" w:history="1">
        <w:r w:rsidR="00AB41E6" w:rsidRPr="00AB41E6">
          <w:t>§ 9</w:t>
        </w:r>
        <w:r w:rsidR="00AB41E6" w:rsidRPr="00AB41E6">
          <w:tab/>
          <w:t>Analytik der Proben</w:t>
        </w:r>
      </w:hyperlink>
    </w:p>
    <w:p w14:paraId="2D4CF09D" w14:textId="2240C477" w:rsidR="00AB41E6" w:rsidRPr="00AB41E6" w:rsidRDefault="00D27887" w:rsidP="00AB41E6">
      <w:pPr>
        <w:pStyle w:val="Verzeichnis9"/>
      </w:pPr>
      <w:hyperlink w:anchor="_Toc64380016" w:history="1">
        <w:r w:rsidR="00AB41E6" w:rsidRPr="00AB41E6">
          <w:t>§ 10</w:t>
        </w:r>
        <w:r w:rsidR="00AB41E6" w:rsidRPr="00AB41E6">
          <w:tab/>
          <w:t>Bewertung der Untersuchungsergebnisse der Güteüberwachung</w:t>
        </w:r>
      </w:hyperlink>
    </w:p>
    <w:p w14:paraId="49FBED0B" w14:textId="2B00A227" w:rsidR="00AB41E6" w:rsidRPr="00AB41E6" w:rsidRDefault="00D27887" w:rsidP="00AB41E6">
      <w:pPr>
        <w:pStyle w:val="Verzeichnis9"/>
      </w:pPr>
      <w:hyperlink w:anchor="_Toc64380018" w:history="1">
        <w:r w:rsidR="00AB41E6" w:rsidRPr="00AB41E6">
          <w:t>§ 11</w:t>
        </w:r>
        <w:r w:rsidR="00AB41E6" w:rsidRPr="00AB41E6">
          <w:tab/>
          <w:t>Klassifizierung mineralischer Ersatzbaustoffe</w:t>
        </w:r>
      </w:hyperlink>
    </w:p>
    <w:p w14:paraId="7BA9F716" w14:textId="76BB4DC8" w:rsidR="00AB41E6" w:rsidRPr="00AB41E6" w:rsidRDefault="00D27887" w:rsidP="00AB41E6">
      <w:pPr>
        <w:pStyle w:val="Verzeichnis9"/>
      </w:pPr>
      <w:hyperlink w:anchor="_Toc64380020" w:history="1">
        <w:r w:rsidR="00AB41E6" w:rsidRPr="00AB41E6">
          <w:t>§ 12</w:t>
        </w:r>
        <w:r w:rsidR="00AB41E6" w:rsidRPr="00AB41E6">
          <w:tab/>
          <w:t>Dokumentation der Güteüberwachung</w:t>
        </w:r>
      </w:hyperlink>
    </w:p>
    <w:p w14:paraId="37F35C77" w14:textId="50471452" w:rsidR="00AB41E6" w:rsidRPr="00AB41E6" w:rsidRDefault="00D27887" w:rsidP="00AB41E6">
      <w:pPr>
        <w:pStyle w:val="Verzeichnis9"/>
      </w:pPr>
      <w:hyperlink w:anchor="_Toc64380022" w:history="1">
        <w:r w:rsidR="00AB41E6" w:rsidRPr="00AB41E6">
          <w:t>§ 13</w:t>
        </w:r>
        <w:r w:rsidR="00AB41E6" w:rsidRPr="00AB41E6">
          <w:tab/>
          <w:t>Maßnahmen bei in der Güteüberwachung festgestellten Mängeln</w:t>
        </w:r>
      </w:hyperlink>
    </w:p>
    <w:p w14:paraId="3D121709" w14:textId="1F8F7916" w:rsidR="00AB41E6" w:rsidRPr="00AB41E6" w:rsidRDefault="00D27887" w:rsidP="00AB41E6">
      <w:pPr>
        <w:pStyle w:val="Verzeichnis6"/>
      </w:pPr>
      <w:hyperlink w:anchor="_Toc64380024" w:history="1">
        <w:r w:rsidR="00AB41E6" w:rsidRPr="00AB41E6">
          <w:t>Unterabschnitt 2</w:t>
        </w:r>
        <w:r w:rsidR="00AB41E6" w:rsidRPr="00AB41E6">
          <w:br/>
          <w:t>Untersuchung von nicht aufbereitetem Bodenmaterial und nicht aufbereitetem Baggergut</w:t>
        </w:r>
      </w:hyperlink>
    </w:p>
    <w:p w14:paraId="00820ACA" w14:textId="3DC827C0" w:rsidR="00AB41E6" w:rsidRPr="00AB41E6" w:rsidRDefault="00D27887" w:rsidP="00AB41E6">
      <w:pPr>
        <w:pStyle w:val="Verzeichnis9"/>
      </w:pPr>
      <w:hyperlink w:anchor="_Toc64380026" w:history="1">
        <w:r w:rsidR="00AB41E6" w:rsidRPr="00AB41E6">
          <w:t>§ 14</w:t>
        </w:r>
        <w:r w:rsidR="00AB41E6" w:rsidRPr="00AB41E6">
          <w:tab/>
          <w:t>Untersuchungspflicht</w:t>
        </w:r>
      </w:hyperlink>
    </w:p>
    <w:p w14:paraId="3871B775" w14:textId="614EDFF2" w:rsidR="00AB41E6" w:rsidRPr="00AB41E6" w:rsidRDefault="00D27887" w:rsidP="00AB41E6">
      <w:pPr>
        <w:pStyle w:val="Verzeichnis9"/>
      </w:pPr>
      <w:hyperlink w:anchor="_Toc64380028" w:history="1">
        <w:r w:rsidR="00AB41E6" w:rsidRPr="00AB41E6">
          <w:t>§ 15</w:t>
        </w:r>
        <w:r w:rsidR="00AB41E6" w:rsidRPr="00AB41E6">
          <w:tab/>
          <w:t>Bewertung der Untersuchungsergebnisse</w:t>
        </w:r>
      </w:hyperlink>
    </w:p>
    <w:p w14:paraId="45376492" w14:textId="01085415" w:rsidR="00AB41E6" w:rsidRPr="00AB41E6" w:rsidRDefault="00D27887" w:rsidP="00AB41E6">
      <w:pPr>
        <w:pStyle w:val="Verzeichnis9"/>
      </w:pPr>
      <w:hyperlink w:anchor="_Toc64380030" w:history="1">
        <w:r w:rsidR="00AB41E6" w:rsidRPr="00AB41E6">
          <w:t>§ 16</w:t>
        </w:r>
        <w:r w:rsidR="00AB41E6" w:rsidRPr="00AB41E6">
          <w:tab/>
          <w:t>Klassifizierung von Bodenmaterial und Baggergut</w:t>
        </w:r>
      </w:hyperlink>
    </w:p>
    <w:p w14:paraId="796E8BC0" w14:textId="6BDD0FC7" w:rsidR="00AB41E6" w:rsidRPr="00AB41E6" w:rsidRDefault="00D27887" w:rsidP="00AB41E6">
      <w:pPr>
        <w:pStyle w:val="Verzeichnis9"/>
      </w:pPr>
      <w:hyperlink w:anchor="_Toc64380032" w:history="1">
        <w:r w:rsidR="00AB41E6" w:rsidRPr="00AB41E6">
          <w:t>§ 17</w:t>
        </w:r>
        <w:r w:rsidR="00AB41E6" w:rsidRPr="00AB41E6">
          <w:tab/>
          <w:t>Dokumentation</w:t>
        </w:r>
      </w:hyperlink>
    </w:p>
    <w:p w14:paraId="5417ACA1" w14:textId="388166B9" w:rsidR="00AB41E6" w:rsidRPr="00AB41E6" w:rsidRDefault="00D27887" w:rsidP="00AB41E6">
      <w:pPr>
        <w:pStyle w:val="Verzeichnis9"/>
      </w:pPr>
      <w:hyperlink w:anchor="_Toc64380034" w:history="1">
        <w:r w:rsidR="00AB41E6" w:rsidRPr="00AB41E6">
          <w:t>§ 18</w:t>
        </w:r>
        <w:r w:rsidR="00AB41E6" w:rsidRPr="00AB41E6">
          <w:tab/>
          <w:t>Zwischenlager</w:t>
        </w:r>
      </w:hyperlink>
    </w:p>
    <w:p w14:paraId="4CEDBB61" w14:textId="04D64790" w:rsidR="00AB41E6" w:rsidRPr="00AB41E6" w:rsidRDefault="00D27887" w:rsidP="00AB41E6">
      <w:pPr>
        <w:pStyle w:val="Verzeichnis5"/>
      </w:pPr>
      <w:hyperlink w:anchor="_Toc64380036" w:history="1">
        <w:r w:rsidR="00AB41E6" w:rsidRPr="00AB41E6">
          <w:t>Abschnitt 4</w:t>
        </w:r>
        <w:r w:rsidR="00AB41E6" w:rsidRPr="00AB41E6">
          <w:br/>
          <w:t>Einbau von mineralischen Ersatzbaustoffen</w:t>
        </w:r>
      </w:hyperlink>
    </w:p>
    <w:p w14:paraId="75E6DE5A" w14:textId="4A46AC6F" w:rsidR="00AB41E6" w:rsidRPr="00AB41E6" w:rsidRDefault="00D27887" w:rsidP="00AB41E6">
      <w:pPr>
        <w:pStyle w:val="Verzeichnis9"/>
      </w:pPr>
      <w:hyperlink w:anchor="_Toc64380038" w:history="1">
        <w:r w:rsidR="00AB41E6" w:rsidRPr="00AB41E6">
          <w:t>§ 19</w:t>
        </w:r>
        <w:r w:rsidR="00AB41E6" w:rsidRPr="00AB41E6">
          <w:tab/>
          <w:t>Grundsätzliche Anforderungen</w:t>
        </w:r>
      </w:hyperlink>
    </w:p>
    <w:p w14:paraId="09CDB2F5" w14:textId="221CA49D" w:rsidR="00AB41E6" w:rsidRPr="00AB41E6" w:rsidRDefault="00D27887" w:rsidP="00AB41E6">
      <w:pPr>
        <w:pStyle w:val="Verzeichnis9"/>
      </w:pPr>
      <w:hyperlink w:anchor="_Toc64380040" w:history="1">
        <w:r w:rsidR="00AB41E6" w:rsidRPr="00AB41E6">
          <w:t>§ 20</w:t>
        </w:r>
        <w:r w:rsidR="00AB41E6" w:rsidRPr="00AB41E6">
          <w:tab/>
          <w:t>Zusätzliche Einbaubeschränkungen bei bestimmten Schlacken und Aschen</w:t>
        </w:r>
      </w:hyperlink>
    </w:p>
    <w:p w14:paraId="2D0D37A0" w14:textId="5FA8F0A6" w:rsidR="00AB41E6" w:rsidRPr="00AB41E6" w:rsidRDefault="00D27887" w:rsidP="00AB41E6">
      <w:pPr>
        <w:pStyle w:val="Verzeichnis9"/>
      </w:pPr>
      <w:hyperlink w:anchor="_Toc64380042" w:history="1">
        <w:r w:rsidR="00AB41E6" w:rsidRPr="00AB41E6">
          <w:t>§ 21</w:t>
        </w:r>
        <w:r w:rsidR="00AB41E6" w:rsidRPr="00AB41E6">
          <w:tab/>
          <w:t>Behördliche Entscheidungen</w:t>
        </w:r>
      </w:hyperlink>
    </w:p>
    <w:p w14:paraId="18D70BCB" w14:textId="00B62440" w:rsidR="00AB41E6" w:rsidRPr="00AB41E6" w:rsidRDefault="00D27887" w:rsidP="00AB41E6">
      <w:pPr>
        <w:pStyle w:val="Verzeichnis9"/>
      </w:pPr>
      <w:hyperlink w:anchor="_Toc64380044" w:history="1">
        <w:r w:rsidR="00AB41E6" w:rsidRPr="00AB41E6">
          <w:t>§ 22</w:t>
        </w:r>
        <w:r w:rsidR="00AB41E6" w:rsidRPr="00AB41E6">
          <w:tab/>
          <w:t>Anzeigepflichten</w:t>
        </w:r>
      </w:hyperlink>
    </w:p>
    <w:p w14:paraId="5B1C2DAF" w14:textId="742224B0" w:rsidR="00AB41E6" w:rsidRPr="00AB41E6" w:rsidRDefault="00D27887" w:rsidP="00AB41E6">
      <w:pPr>
        <w:pStyle w:val="Verzeichnis9"/>
      </w:pPr>
      <w:hyperlink w:anchor="_Toc64380046" w:history="1">
        <w:r w:rsidR="00AB41E6" w:rsidRPr="00AB41E6">
          <w:t>§ 23</w:t>
        </w:r>
        <w:r w:rsidR="00AB41E6" w:rsidRPr="00AB41E6">
          <w:tab/>
          <w:t>Ersatzbaustoffkataster</w:t>
        </w:r>
      </w:hyperlink>
    </w:p>
    <w:p w14:paraId="33137B28" w14:textId="700732EE" w:rsidR="00AB41E6" w:rsidRPr="00AB41E6" w:rsidRDefault="00D27887" w:rsidP="00AB41E6">
      <w:pPr>
        <w:pStyle w:val="Verzeichnis5"/>
      </w:pPr>
      <w:hyperlink w:anchor="_Toc64380048" w:history="1">
        <w:r w:rsidR="00AB41E6" w:rsidRPr="00AB41E6">
          <w:t>Abschnitt 5</w:t>
        </w:r>
        <w:r w:rsidR="00AB41E6" w:rsidRPr="00AB41E6">
          <w:br/>
          <w:t>Getrennte Sammlung von mineralischen Abfällen</w:t>
        </w:r>
      </w:hyperlink>
    </w:p>
    <w:p w14:paraId="7DCD9CCD" w14:textId="761EA47C" w:rsidR="00AB41E6" w:rsidRPr="00AB41E6" w:rsidRDefault="00D27887" w:rsidP="00AB41E6">
      <w:pPr>
        <w:pStyle w:val="Verzeichnis9"/>
      </w:pPr>
      <w:hyperlink w:anchor="_Toc64380050" w:history="1">
        <w:r w:rsidR="00AB41E6" w:rsidRPr="00AB41E6">
          <w:t>§ 24</w:t>
        </w:r>
        <w:r w:rsidR="00AB41E6" w:rsidRPr="00AB41E6">
          <w:tab/>
          <w:t>Getrennte Sammlung und Verwertung von mineralischen Abfällen aus technischen Bauwerken</w:t>
        </w:r>
      </w:hyperlink>
    </w:p>
    <w:p w14:paraId="6DEE52DA" w14:textId="1712400A" w:rsidR="00AB41E6" w:rsidRPr="00AB41E6" w:rsidRDefault="00D27887" w:rsidP="00AB41E6">
      <w:pPr>
        <w:pStyle w:val="Verzeichnis5"/>
      </w:pPr>
      <w:hyperlink w:anchor="_Toc64380052" w:history="1">
        <w:r w:rsidR="00AB41E6" w:rsidRPr="00AB41E6">
          <w:t>Abschnitt 6</w:t>
        </w:r>
        <w:r w:rsidR="00AB41E6" w:rsidRPr="00AB41E6">
          <w:br/>
          <w:t>Gemeinsame Bestimmungen</w:t>
        </w:r>
      </w:hyperlink>
    </w:p>
    <w:p w14:paraId="2F342477" w14:textId="5C15EEE1" w:rsidR="00AB41E6" w:rsidRPr="00AB41E6" w:rsidRDefault="00D27887" w:rsidP="00AB41E6">
      <w:pPr>
        <w:pStyle w:val="Verzeichnis9"/>
      </w:pPr>
      <w:hyperlink w:anchor="_Toc64380054" w:history="1">
        <w:r w:rsidR="00AB41E6" w:rsidRPr="00AB41E6">
          <w:t>§ 25</w:t>
        </w:r>
        <w:r w:rsidR="00AB41E6" w:rsidRPr="00AB41E6">
          <w:tab/>
          <w:t>Lieferschein und Deckblatt</w:t>
        </w:r>
      </w:hyperlink>
    </w:p>
    <w:p w14:paraId="6CB66697" w14:textId="287FBA06" w:rsidR="00AB41E6" w:rsidRPr="00AB41E6" w:rsidRDefault="00D27887" w:rsidP="00AB41E6">
      <w:pPr>
        <w:pStyle w:val="Verzeichnis9"/>
      </w:pPr>
      <w:hyperlink w:anchor="_Toc64380056" w:history="1">
        <w:r w:rsidR="00AB41E6" w:rsidRPr="00AB41E6">
          <w:t>§ 26</w:t>
        </w:r>
        <w:r w:rsidR="00AB41E6" w:rsidRPr="00AB41E6">
          <w:tab/>
          <w:t>Ordnungswidrigkeiten</w:t>
        </w:r>
      </w:hyperlink>
    </w:p>
    <w:p w14:paraId="5C3A48EC" w14:textId="68C67D85" w:rsidR="00AB41E6" w:rsidRPr="00AB41E6" w:rsidRDefault="00D27887" w:rsidP="00AB41E6">
      <w:pPr>
        <w:pStyle w:val="Verzeichnis9"/>
      </w:pPr>
      <w:hyperlink w:anchor="_Toc64380058" w:history="1">
        <w:r w:rsidR="00AB41E6" w:rsidRPr="00AB41E6">
          <w:t>§ 27</w:t>
        </w:r>
        <w:r w:rsidR="00AB41E6" w:rsidRPr="00AB41E6">
          <w:tab/>
          <w:t>Übergangsvorschriften</w:t>
        </w:r>
      </w:hyperlink>
    </w:p>
    <w:p w14:paraId="50A0CF33" w14:textId="2D63395C" w:rsidR="00AB41E6" w:rsidRPr="00AB41E6" w:rsidRDefault="00D27887" w:rsidP="00AB41E6">
      <w:pPr>
        <w:pStyle w:val="Verzeichnis9"/>
        <w:tabs>
          <w:tab w:val="clear" w:pos="624"/>
          <w:tab w:val="left" w:pos="907"/>
        </w:tabs>
        <w:spacing w:before="280"/>
        <w:ind w:left="907" w:hanging="907"/>
      </w:pPr>
      <w:hyperlink w:anchor="_Toc64380060" w:history="1">
        <w:r w:rsidR="00AB41E6" w:rsidRPr="00AB41E6">
          <w:t>Anlage 1</w:t>
        </w:r>
        <w:r w:rsidR="00AB41E6" w:rsidRPr="00AB41E6">
          <w:tab/>
          <w:t>Abkürzungsverzeichnis und Materialwerte für die in den Anlagen bezeichneten mineralischen Ersatzbaustoffe</w:t>
        </w:r>
      </w:hyperlink>
    </w:p>
    <w:p w14:paraId="72AFA7D4" w14:textId="058637DB" w:rsidR="00AB41E6" w:rsidRPr="00AB41E6" w:rsidRDefault="00D27887" w:rsidP="00AB41E6">
      <w:pPr>
        <w:pStyle w:val="Verzeichnis9"/>
        <w:tabs>
          <w:tab w:val="clear" w:pos="624"/>
          <w:tab w:val="left" w:pos="907"/>
        </w:tabs>
        <w:ind w:left="907" w:hanging="907"/>
      </w:pPr>
      <w:hyperlink w:anchor="_Toc64380062" w:history="1">
        <w:r w:rsidR="00AB41E6" w:rsidRPr="00AB41E6">
          <w:t>Anlage 2</w:t>
        </w:r>
        <w:r w:rsidR="00AB41E6" w:rsidRPr="00AB41E6">
          <w:tab/>
          <w:t>Einsatzmöglichkeiten von mineralischen Ersatzbaustoffen in technischen Bauwerken</w:t>
        </w:r>
      </w:hyperlink>
    </w:p>
    <w:p w14:paraId="718714C7" w14:textId="6270C111" w:rsidR="00AB41E6" w:rsidRPr="00AB41E6" w:rsidRDefault="00D27887" w:rsidP="00AB41E6">
      <w:pPr>
        <w:pStyle w:val="Verzeichnis9"/>
        <w:tabs>
          <w:tab w:val="clear" w:pos="624"/>
          <w:tab w:val="left" w:pos="907"/>
        </w:tabs>
        <w:ind w:left="907" w:hanging="907"/>
      </w:pPr>
      <w:hyperlink w:anchor="_Toc64380064" w:history="1">
        <w:r w:rsidR="00AB41E6" w:rsidRPr="00AB41E6">
          <w:t>Anlage 3</w:t>
        </w:r>
        <w:r w:rsidR="00AB41E6" w:rsidRPr="00AB41E6">
          <w:tab/>
          <w:t>Einsatzmöglichkeiten von mineralischen Ersatzbaustoffen in spezifischen Bahnbauweisen</w:t>
        </w:r>
      </w:hyperlink>
    </w:p>
    <w:p w14:paraId="1ABE99B7" w14:textId="75332F36" w:rsidR="00AB41E6" w:rsidRPr="00AB41E6" w:rsidRDefault="00D27887" w:rsidP="00AB41E6">
      <w:pPr>
        <w:pStyle w:val="Verzeichnis9"/>
        <w:tabs>
          <w:tab w:val="clear" w:pos="624"/>
          <w:tab w:val="left" w:pos="907"/>
        </w:tabs>
        <w:ind w:left="907" w:hanging="907"/>
      </w:pPr>
      <w:hyperlink w:anchor="_Toc64380066" w:history="1">
        <w:r w:rsidR="00AB41E6" w:rsidRPr="00AB41E6">
          <w:t>Anlage 4</w:t>
        </w:r>
        <w:r w:rsidR="00AB41E6" w:rsidRPr="00AB41E6">
          <w:tab/>
          <w:t>Art und Turnus der Untersuchungen von mineralischen Ersatzbaustoffen im Rahmen der Güteüberwachung</w:t>
        </w:r>
      </w:hyperlink>
    </w:p>
    <w:p w14:paraId="4D35F2F0" w14:textId="28E1EE46" w:rsidR="00AB41E6" w:rsidRPr="00AB41E6" w:rsidRDefault="00D27887" w:rsidP="00AB41E6">
      <w:pPr>
        <w:pStyle w:val="Verzeichnis9"/>
        <w:tabs>
          <w:tab w:val="clear" w:pos="624"/>
          <w:tab w:val="left" w:pos="907"/>
        </w:tabs>
        <w:ind w:left="907" w:hanging="907"/>
      </w:pPr>
      <w:hyperlink w:anchor="_Toc64380068" w:history="1">
        <w:r w:rsidR="00AB41E6" w:rsidRPr="00AB41E6">
          <w:t>Anlage 5</w:t>
        </w:r>
        <w:r w:rsidR="00AB41E6" w:rsidRPr="00AB41E6">
          <w:tab/>
          <w:t>Bestimmungsverfahren</w:t>
        </w:r>
      </w:hyperlink>
    </w:p>
    <w:p w14:paraId="3F5884BC" w14:textId="3C10B33E" w:rsidR="00AB41E6" w:rsidRPr="00AB41E6" w:rsidRDefault="00D27887" w:rsidP="00AB41E6">
      <w:pPr>
        <w:pStyle w:val="Verzeichnis9"/>
        <w:tabs>
          <w:tab w:val="clear" w:pos="624"/>
          <w:tab w:val="left" w:pos="907"/>
        </w:tabs>
        <w:ind w:left="907" w:hanging="907"/>
      </w:pPr>
      <w:hyperlink w:anchor="_Toc64380070" w:history="1">
        <w:r w:rsidR="00AB41E6" w:rsidRPr="00AB41E6">
          <w:t>Anlage 6</w:t>
        </w:r>
        <w:r w:rsidR="00AB41E6" w:rsidRPr="00AB41E6">
          <w:tab/>
          <w:t>Zulässige Überschreitungen</w:t>
        </w:r>
      </w:hyperlink>
    </w:p>
    <w:p w14:paraId="23EA6A34" w14:textId="13BC50C2" w:rsidR="00AB41E6" w:rsidRPr="00AB41E6" w:rsidRDefault="00D27887" w:rsidP="00AB41E6">
      <w:pPr>
        <w:pStyle w:val="Verzeichnis9"/>
        <w:tabs>
          <w:tab w:val="clear" w:pos="624"/>
          <w:tab w:val="left" w:pos="907"/>
        </w:tabs>
        <w:ind w:left="907" w:hanging="907"/>
      </w:pPr>
      <w:hyperlink w:anchor="_Toc64380072" w:history="1">
        <w:r w:rsidR="00AB41E6" w:rsidRPr="00AB41E6">
          <w:t>Anlage 7</w:t>
        </w:r>
        <w:r w:rsidR="00AB41E6" w:rsidRPr="00AB41E6">
          <w:tab/>
          <w:t>Muster Lieferschein</w:t>
        </w:r>
      </w:hyperlink>
    </w:p>
    <w:p w14:paraId="5ABD0C33" w14:textId="77190F6E" w:rsidR="00AB41E6" w:rsidRPr="00AB41E6" w:rsidRDefault="00D27887" w:rsidP="00AB41E6">
      <w:pPr>
        <w:pStyle w:val="Verzeichnis9"/>
        <w:tabs>
          <w:tab w:val="clear" w:pos="624"/>
          <w:tab w:val="left" w:pos="907"/>
        </w:tabs>
        <w:ind w:left="907" w:hanging="907"/>
      </w:pPr>
      <w:hyperlink w:anchor="_Toc64380074" w:history="1">
        <w:r w:rsidR="00AB41E6" w:rsidRPr="00AB41E6">
          <w:t>Anlage 8</w:t>
        </w:r>
        <w:r w:rsidR="00AB41E6" w:rsidRPr="00AB41E6">
          <w:tab/>
          <w:t>Muster Deckblatt/ Voranzeige/ Abschlussanzeige</w:t>
        </w:r>
      </w:hyperlink>
    </w:p>
    <w:p w14:paraId="39F33055" w14:textId="1820234C" w:rsidR="008B5E0D" w:rsidRPr="008B5E0D" w:rsidRDefault="008B5E0D" w:rsidP="00C17FD1">
      <w:pPr>
        <w:pStyle w:val="AbschnittBezeichner"/>
        <w:numPr>
          <w:ilvl w:val="3"/>
          <w:numId w:val="32"/>
        </w:numPr>
      </w:pPr>
    </w:p>
    <w:p w14:paraId="419208E4" w14:textId="77777777" w:rsidR="004F0B5E" w:rsidRPr="008D0377" w:rsidRDefault="004F0B5E" w:rsidP="00C17FD1">
      <w:pPr>
        <w:pStyle w:val="Abschnittberschrift"/>
        <w:numPr>
          <w:ilvl w:val="3"/>
          <w:numId w:val="33"/>
        </w:numPr>
      </w:pPr>
      <w:bookmarkStart w:id="1" w:name="_Toc64379990"/>
      <w:r w:rsidRPr="008D0377">
        <w:t>Allgemeine Bestimmungen</w:t>
      </w:r>
      <w:bookmarkEnd w:id="1"/>
    </w:p>
    <w:p w14:paraId="1A6BEEC5" w14:textId="77777777" w:rsidR="008B5E0D" w:rsidRDefault="008B5E0D" w:rsidP="008B5E0D">
      <w:pPr>
        <w:pStyle w:val="ParagraphBezeichner"/>
      </w:pPr>
    </w:p>
    <w:p w14:paraId="39B3AA2C" w14:textId="77777777" w:rsidR="008B5E0D" w:rsidRPr="008B5E0D" w:rsidRDefault="008B5E0D" w:rsidP="008B5E0D">
      <w:pPr>
        <w:pStyle w:val="Paragraphberschrift"/>
      </w:pPr>
      <w:bookmarkStart w:id="2" w:name="_Toc64379992"/>
      <w:r>
        <w:t>Anwendungsbereich</w:t>
      </w:r>
      <w:bookmarkEnd w:id="2"/>
    </w:p>
    <w:p w14:paraId="3C943313" w14:textId="77777777" w:rsidR="00881303" w:rsidRPr="00881303" w:rsidRDefault="00881303" w:rsidP="00881303">
      <w:pPr>
        <w:pStyle w:val="JuristischerAbsatznummeriert"/>
      </w:pPr>
      <w:r w:rsidRPr="008D0377">
        <w:t>Die Vorschriften dieser Verordnung regeln im Hinblick auf mineralische Ersatzbaustoffe im Sinne des §</w:t>
      </w:r>
      <w:r w:rsidR="008B5E0D" w:rsidRPr="008D0377">
        <w:t> </w:t>
      </w:r>
      <w:r w:rsidRPr="008D0377">
        <w:t>2 Nummer</w:t>
      </w:r>
      <w:r w:rsidR="008B5E0D" w:rsidRPr="008D0377">
        <w:t> </w:t>
      </w:r>
      <w:r w:rsidRPr="008D0377">
        <w:t>1 die</w:t>
      </w:r>
    </w:p>
    <w:p w14:paraId="1C78389F" w14:textId="77777777" w:rsidR="00881303" w:rsidRPr="008D0377" w:rsidRDefault="00C779BA" w:rsidP="00C779BA">
      <w:pPr>
        <w:pStyle w:val="NummerierungStufe1"/>
      </w:pPr>
      <w:r w:rsidRPr="008D0377">
        <w:t>Anforderungen an die Herstellung dieser mineralischen Ersatzbaustoffe in mobilen und stationären Anlagen und an das Inverkehrbringen von mineralischen Ersatzbaustoffen</w:t>
      </w:r>
      <w:r w:rsidR="00881303" w:rsidRPr="008D0377">
        <w:t>,</w:t>
      </w:r>
    </w:p>
    <w:p w14:paraId="4B20E1A3" w14:textId="77777777" w:rsidR="00881303" w:rsidRPr="008D0377" w:rsidRDefault="00C779BA" w:rsidP="00C779BA">
      <w:pPr>
        <w:pStyle w:val="NummerierungStufe1"/>
      </w:pPr>
      <w:r w:rsidRPr="008D0377">
        <w:t>Anforderungen an die Probenahme und Untersuchung von nicht aufbereitetem Bodenmaterial und nicht aufbereitetem Baggergut, das ausgehoben oder abgeschoben werden soll</w:t>
      </w:r>
      <w:r w:rsidR="00881303" w:rsidRPr="008D0377">
        <w:t>,</w:t>
      </w:r>
    </w:p>
    <w:p w14:paraId="477CF4B2" w14:textId="77777777" w:rsidR="00881303" w:rsidRPr="00BA64B0" w:rsidRDefault="00C779BA" w:rsidP="00C779BA">
      <w:pPr>
        <w:pStyle w:val="NummerierungStufe1"/>
      </w:pPr>
      <w:r w:rsidRPr="00BA64B0">
        <w:t xml:space="preserve">Voraussetzungen, unter denen die Verwendung dieser mineralischen Ersatzbaustoffe insgesamt nicht zu schädlichen Auswirkungen </w:t>
      </w:r>
      <w:proofErr w:type="gramStart"/>
      <w:r w:rsidRPr="00BA64B0">
        <w:t>auf Mensch</w:t>
      </w:r>
      <w:proofErr w:type="gramEnd"/>
      <w:r w:rsidRPr="00BA64B0">
        <w:t xml:space="preserve"> und Umwelt im Sinne des §</w:t>
      </w:r>
      <w:r w:rsidR="008B5E0D" w:rsidRPr="00BA64B0">
        <w:t> </w:t>
      </w:r>
      <w:r w:rsidRPr="00BA64B0">
        <w:t>4 Absatz</w:t>
      </w:r>
      <w:r w:rsidR="008B5E0D" w:rsidRPr="00BA64B0">
        <w:t> </w:t>
      </w:r>
      <w:r w:rsidRPr="00BA64B0">
        <w:t>1 Nummer</w:t>
      </w:r>
      <w:r w:rsidR="008B5E0D" w:rsidRPr="00BA64B0">
        <w:t> </w:t>
      </w:r>
      <w:r w:rsidRPr="00BA64B0">
        <w:t>4 letzter Halbsatz des Kreislaufwirtschaftsgesetzes oder des § 5 Absatz</w:t>
      </w:r>
      <w:r w:rsidR="008B5E0D" w:rsidRPr="00BA64B0">
        <w:t> </w:t>
      </w:r>
      <w:r w:rsidRPr="00BA64B0">
        <w:t>1 Nummer</w:t>
      </w:r>
      <w:r w:rsidR="008B5E0D" w:rsidRPr="00BA64B0">
        <w:t> </w:t>
      </w:r>
      <w:r w:rsidRPr="00BA64B0">
        <w:t>4 des Kreislaufwirtschaftsgesetzes führt</w:t>
      </w:r>
      <w:r w:rsidR="006632E7" w:rsidRPr="00BA64B0">
        <w:t>,</w:t>
      </w:r>
    </w:p>
    <w:p w14:paraId="1FC41946" w14:textId="77777777" w:rsidR="006632E7" w:rsidRPr="00BA64B0" w:rsidRDefault="006632E7" w:rsidP="006632E7">
      <w:pPr>
        <w:pStyle w:val="NummerierungStufe1"/>
      </w:pPr>
      <w:r w:rsidRPr="00BA64B0">
        <w:t>Anforderungen an den Einbau dieser mineralischen Ersatzbaustoffe in technische Bauwerke sowie</w:t>
      </w:r>
    </w:p>
    <w:p w14:paraId="410A4648" w14:textId="77777777" w:rsidR="006632E7" w:rsidRPr="00BA64B0" w:rsidRDefault="006632E7" w:rsidP="006632E7">
      <w:pPr>
        <w:pStyle w:val="NummerierungStufe1"/>
      </w:pPr>
      <w:r w:rsidRPr="00BA64B0">
        <w:lastRenderedPageBreak/>
        <w:t>Anforderungen an die getrennte Sammlung von mineralischen Abfällen aus technischen Bauwerken.</w:t>
      </w:r>
    </w:p>
    <w:p w14:paraId="4237064F" w14:textId="77777777" w:rsidR="006632E7" w:rsidRDefault="006632E7" w:rsidP="006632E7">
      <w:pPr>
        <w:pStyle w:val="JuristischerAbsatznummeriert"/>
      </w:pPr>
      <w:r w:rsidRPr="006632E7">
        <w:t>Die Vorschriften dieser Verordnung gelten nicht für</w:t>
      </w:r>
    </w:p>
    <w:p w14:paraId="53F9C97C" w14:textId="77777777" w:rsidR="006632E7" w:rsidRDefault="006632E7" w:rsidP="006632E7">
      <w:pPr>
        <w:pStyle w:val="NummerierungStufe1"/>
      </w:pPr>
      <w:r w:rsidRPr="006632E7">
        <w:t>Bodenschätze, wie Minerale, Steine, Kiese, Sande und Tone, die in Trocken- oder Nassabgrabungen, Tagebauen oder Brüchen gewonnen werden</w:t>
      </w:r>
      <w:r>
        <w:t>,</w:t>
      </w:r>
    </w:p>
    <w:p w14:paraId="30B36A25" w14:textId="77777777" w:rsidR="006632E7" w:rsidRDefault="004A770D" w:rsidP="006632E7">
      <w:pPr>
        <w:pStyle w:val="NummerierungStufe1"/>
      </w:pPr>
      <w:r>
        <w:t xml:space="preserve">die Verwendung </w:t>
      </w:r>
      <w:r w:rsidR="006632E7" w:rsidRPr="006632E7">
        <w:t>mineralische</w:t>
      </w:r>
      <w:r>
        <w:t>r</w:t>
      </w:r>
      <w:r w:rsidR="006632E7" w:rsidRPr="006632E7">
        <w:t xml:space="preserve"> Ersatzbaustoff</w:t>
      </w:r>
      <w:r>
        <w:t>e im Sinne des §</w:t>
      </w:r>
      <w:r w:rsidR="008B5E0D">
        <w:t> </w:t>
      </w:r>
      <w:r>
        <w:t>2 Nummer</w:t>
      </w:r>
      <w:r w:rsidR="008B5E0D">
        <w:t> </w:t>
      </w:r>
      <w:r>
        <w:t>1</w:t>
      </w:r>
    </w:p>
    <w:p w14:paraId="6DFBEDF2" w14:textId="77777777" w:rsidR="004A770D" w:rsidRDefault="004A770D" w:rsidP="004A770D">
      <w:pPr>
        <w:pStyle w:val="NummerierungStufe2"/>
      </w:pPr>
      <w:r w:rsidRPr="004A770D">
        <w:t>auf oder in einer durchwurzelbaren Bodenschicht, auch dann nicht, wenn die durchwurzelbare Bodenschicht im Zusammenhang mit der Errichtung eines technischen Bauwerkes auf- oder eingebracht oder hergestellt wird,</w:t>
      </w:r>
    </w:p>
    <w:p w14:paraId="74E45B51" w14:textId="77777777" w:rsidR="006632E7" w:rsidRDefault="006632E7" w:rsidP="004A770D">
      <w:pPr>
        <w:pStyle w:val="NummerierungStufe2"/>
      </w:pPr>
      <w:r>
        <w:t>zur Verfüllung einer Abgrabung unterhalb oder außerhalb einer durchwurzelbaren Bodenschicht auf- oder eingebracht werden,</w:t>
      </w:r>
    </w:p>
    <w:p w14:paraId="77901CBF" w14:textId="77777777" w:rsidR="006632E7" w:rsidRDefault="006632E7" w:rsidP="006632E7">
      <w:pPr>
        <w:pStyle w:val="NummerierungStufe2"/>
      </w:pPr>
      <w:r>
        <w:t>als Deponieersatzbaustoffe nach Teil 3 der De</w:t>
      </w:r>
      <w:r w:rsidR="004A770D">
        <w:t>ponieverordnung</w:t>
      </w:r>
      <w:r>
        <w:t>,</w:t>
      </w:r>
    </w:p>
    <w:p w14:paraId="6EABC1FF" w14:textId="77777777" w:rsidR="006632E7" w:rsidRDefault="006632E7" w:rsidP="006632E7">
      <w:pPr>
        <w:pStyle w:val="NummerierungStufe2"/>
      </w:pPr>
      <w:r>
        <w:t>auf Halden oder in Absetzteichen des Bergb</w:t>
      </w:r>
      <w:r w:rsidR="004A770D">
        <w:t>aus</w:t>
      </w:r>
      <w:r>
        <w:t xml:space="preserve">, </w:t>
      </w:r>
    </w:p>
    <w:p w14:paraId="4E3E4228" w14:textId="77777777" w:rsidR="006632E7" w:rsidRDefault="006632E7" w:rsidP="006632E7">
      <w:pPr>
        <w:pStyle w:val="NummerierungStufe2"/>
      </w:pPr>
      <w:r>
        <w:t>in bergbauliche Hohlräume gemäß der Vers</w:t>
      </w:r>
      <w:r w:rsidR="004A770D">
        <w:t>atzverordnung</w:t>
      </w:r>
      <w:r>
        <w:t>,</w:t>
      </w:r>
    </w:p>
    <w:p w14:paraId="457CCF60" w14:textId="77777777" w:rsidR="006632E7" w:rsidRDefault="004A770D" w:rsidP="006632E7">
      <w:pPr>
        <w:pStyle w:val="NummerierungStufe2"/>
      </w:pPr>
      <w:r>
        <w:t>im Deichbau</w:t>
      </w:r>
      <w:r w:rsidR="006632E7">
        <w:t xml:space="preserve">, </w:t>
      </w:r>
    </w:p>
    <w:p w14:paraId="602C5D5B" w14:textId="77777777" w:rsidR="006632E7" w:rsidRDefault="004A770D" w:rsidP="006632E7">
      <w:pPr>
        <w:pStyle w:val="NummerierungStufe2"/>
      </w:pPr>
      <w:r>
        <w:t>in Gewässern</w:t>
      </w:r>
      <w:r w:rsidR="006632E7">
        <w:t>,</w:t>
      </w:r>
    </w:p>
    <w:p w14:paraId="210650D7" w14:textId="77777777" w:rsidR="006632E7" w:rsidRDefault="004A770D" w:rsidP="004A770D">
      <w:pPr>
        <w:pStyle w:val="NummerierungStufe2"/>
      </w:pPr>
      <w:r w:rsidRPr="004A770D">
        <w:t xml:space="preserve">als Ausbauasphalt der Verwertungsklasse A im Straßenbau, sofern die "Richtlinien für die umweltverträgliche Verwertung von Ausbaustoffen mit teer-/pechtypischen Bestandteilen sowie für die Verwertung von Ausbauasphalt im Straßenbau - </w:t>
      </w:r>
      <w:proofErr w:type="spellStart"/>
      <w:r w:rsidRPr="004A770D">
        <w:t>RuVA-StB</w:t>
      </w:r>
      <w:proofErr w:type="spellEnd"/>
      <w:r w:rsidRPr="004A770D">
        <w:t xml:space="preserve"> 01 -, Ausgabe 2001, Fassung 2005" der Forschungsgesellschaft für Straßen- und Verkehrswesen (FGSV)) und die "Technischen Lieferbedingungen für Asphaltgranulat - TL AG-</w:t>
      </w:r>
      <w:proofErr w:type="spellStart"/>
      <w:r w:rsidRPr="004A770D">
        <w:t>StB</w:t>
      </w:r>
      <w:proofErr w:type="spellEnd"/>
      <w:r w:rsidRPr="004A770D">
        <w:t xml:space="preserve"> -, Ausgabe 2009 -" der Forschungsgesellschaft für Straßen- und Verkehr</w:t>
      </w:r>
      <w:r>
        <w:t>swesen (FGSV)</w:t>
      </w:r>
      <w:r w:rsidR="00D07F8C">
        <w:rPr>
          <w:rStyle w:val="Funotenzeichen"/>
        </w:rPr>
        <w:footnoteReference w:id="2"/>
      </w:r>
      <w:r w:rsidR="00D07F8C" w:rsidRPr="00D07F8C">
        <w:rPr>
          <w:rStyle w:val="Funotenzeichen"/>
        </w:rPr>
        <w:t>)</w:t>
      </w:r>
      <w:r>
        <w:t xml:space="preserve"> angewendet werden</w:t>
      </w:r>
      <w:r w:rsidR="006632E7">
        <w:t>,</w:t>
      </w:r>
    </w:p>
    <w:p w14:paraId="0A580759" w14:textId="23379175" w:rsidR="004A770D" w:rsidRDefault="004A770D" w:rsidP="004A770D">
      <w:pPr>
        <w:pStyle w:val="NummerierungStufe2"/>
      </w:pPr>
      <w:r w:rsidRPr="004A770D">
        <w:t>in Anlagen des Bundes gemäß §</w:t>
      </w:r>
      <w:r w:rsidR="008B5E0D">
        <w:t> </w:t>
      </w:r>
      <w:r w:rsidRPr="004A770D">
        <w:t>9a Absatz</w:t>
      </w:r>
      <w:r w:rsidR="008B5E0D">
        <w:t> </w:t>
      </w:r>
      <w:r w:rsidRPr="004A770D">
        <w:t>3 des Atomgesetzes in der Fassung der Bekanntmachung vom 15. Juli 1985 (BGBl.</w:t>
      </w:r>
      <w:r w:rsidR="008B5E0D">
        <w:t> </w:t>
      </w:r>
      <w:r w:rsidRPr="004A770D">
        <w:t>I S.</w:t>
      </w:r>
      <w:r w:rsidR="008B5E0D">
        <w:t> </w:t>
      </w:r>
      <w:r w:rsidRPr="004A770D">
        <w:t>1565), das zuletzt durch Artikel</w:t>
      </w:r>
      <w:r w:rsidR="008B5E0D">
        <w:t> </w:t>
      </w:r>
      <w:r w:rsidRPr="004A770D">
        <w:t>3 des Gesetzes vom 7. Dezember 2020 (BGBl.</w:t>
      </w:r>
      <w:r w:rsidR="008B5E0D">
        <w:t> </w:t>
      </w:r>
      <w:r w:rsidRPr="004A770D">
        <w:t>I S.</w:t>
      </w:r>
      <w:r w:rsidR="008B5E0D">
        <w:t> </w:t>
      </w:r>
      <w:r w:rsidRPr="004A770D">
        <w:t>276</w:t>
      </w:r>
      <w:r w:rsidR="00D07F8C">
        <w:t>0</w:t>
      </w:r>
      <w:r w:rsidRPr="004A770D">
        <w:t xml:space="preserve">) geändert worden ist, </w:t>
      </w:r>
    </w:p>
    <w:p w14:paraId="6E1EA07E" w14:textId="77777777" w:rsidR="004A770D" w:rsidRDefault="004A770D" w:rsidP="004A770D">
      <w:pPr>
        <w:pStyle w:val="NummerierungStufe1"/>
      </w:pPr>
      <w:r>
        <w:t>die Zwischen- oder Umlagerung mineralischer Ersatzbaustoffe im Sinne des §</w:t>
      </w:r>
      <w:r w:rsidR="008B5E0D">
        <w:t> </w:t>
      </w:r>
      <w:r>
        <w:t>2 Nummer</w:t>
      </w:r>
      <w:r w:rsidR="008B5E0D">
        <w:t> </w:t>
      </w:r>
      <w:r>
        <w:t xml:space="preserve">1 </w:t>
      </w:r>
    </w:p>
    <w:p w14:paraId="280006B3" w14:textId="77777777" w:rsidR="004A770D" w:rsidRDefault="004A770D" w:rsidP="008B5E0D">
      <w:pPr>
        <w:pStyle w:val="NummerierungStufe2"/>
      </w:pPr>
      <w:r>
        <w:t xml:space="preserve">im Rahmen der Errichtung, der Änderung oder der Unterhaltung von baulichen und betrieblichen Anlagen, einschließlich der Seitenentnahme von Bodenmaterial und Baggergut, </w:t>
      </w:r>
    </w:p>
    <w:p w14:paraId="240DBD7F" w14:textId="77777777" w:rsidR="004A770D" w:rsidRDefault="004A770D" w:rsidP="008B5E0D">
      <w:pPr>
        <w:pStyle w:val="NummerierungStufe2"/>
      </w:pPr>
      <w:r>
        <w:t>im Tagebau unter vergleichbaren Bodenverhältnissen und geologischen und hydrogeologischen Bedingungen,</w:t>
      </w:r>
    </w:p>
    <w:p w14:paraId="3E2B7B04" w14:textId="77777777" w:rsidR="004A770D" w:rsidRDefault="004A770D" w:rsidP="008B5E0D">
      <w:pPr>
        <w:pStyle w:val="NummerierungStufe2"/>
      </w:pPr>
      <w:r>
        <w:t xml:space="preserve">im Rahmen der Sanierung einer schädlichen Bodenveränderung oder Altlast oder innerhalb des Gebietes eines für verbindlich erklärten Sanierungsplans, und </w:t>
      </w:r>
    </w:p>
    <w:p w14:paraId="251B260A" w14:textId="77777777" w:rsidR="004A770D" w:rsidRPr="006632E7" w:rsidRDefault="004A770D" w:rsidP="004A770D">
      <w:pPr>
        <w:pStyle w:val="NummerierungStufe1"/>
      </w:pPr>
      <w:r>
        <w:lastRenderedPageBreak/>
        <w:t>hydraulisch gebundene Gemische einschließlich ihrer Ausgangs-, Zuschlags- und Zusatzstoffe im Geltungsbereich der Landesbauordnungen sowie im Bereich der Bundesverkehrswege, soweit diese Gemische nicht von den Einbauweisen 1, 3 und 5 der Anlage 2 erfasst sind.</w:t>
      </w:r>
    </w:p>
    <w:p w14:paraId="1D8F2274" w14:textId="77777777" w:rsidR="004A770D" w:rsidRPr="004A770D" w:rsidRDefault="004A770D" w:rsidP="004A770D">
      <w:pPr>
        <w:pStyle w:val="ParagraphBezeichner"/>
      </w:pPr>
    </w:p>
    <w:p w14:paraId="1729874C" w14:textId="77777777" w:rsidR="004A770D" w:rsidRPr="004A770D" w:rsidRDefault="004A770D" w:rsidP="004A770D">
      <w:pPr>
        <w:pStyle w:val="Paragraphberschrift"/>
      </w:pPr>
      <w:bookmarkStart w:id="3" w:name="_Toc64379994"/>
      <w:r w:rsidRPr="008D0377">
        <w:t>Begriffsbestimmungen</w:t>
      </w:r>
      <w:bookmarkEnd w:id="3"/>
    </w:p>
    <w:p w14:paraId="2F382934" w14:textId="77777777" w:rsidR="004A770D" w:rsidRPr="008D0377" w:rsidRDefault="004A770D" w:rsidP="004A770D">
      <w:pPr>
        <w:pStyle w:val="JuristischerAbsatznichtnummeriert"/>
      </w:pPr>
      <w:r w:rsidRPr="008D0377">
        <w:t>Für diese Verordnung gelten folgende Begriffsbestimmungen:</w:t>
      </w:r>
    </w:p>
    <w:p w14:paraId="18918B61" w14:textId="77777777" w:rsidR="004A770D" w:rsidRPr="008D0377" w:rsidRDefault="004A770D" w:rsidP="004F0B5E">
      <w:pPr>
        <w:pStyle w:val="NummerierungStufe1"/>
        <w:jc w:val="left"/>
      </w:pPr>
      <w:r w:rsidRPr="008D0377">
        <w:t xml:space="preserve">mineralischer Ersatzbaustoff: </w:t>
      </w:r>
      <w:r w:rsidR="004F0B5E" w:rsidRPr="008D0377">
        <w:br/>
      </w:r>
      <w:r w:rsidRPr="008D0377">
        <w:t>mineralischer Baustoff, der</w:t>
      </w:r>
    </w:p>
    <w:p w14:paraId="229CD9C3" w14:textId="77777777" w:rsidR="004A770D" w:rsidRPr="008D0377" w:rsidRDefault="004A770D" w:rsidP="004A770D">
      <w:pPr>
        <w:pStyle w:val="NummerierungStufe2"/>
      </w:pPr>
      <w:r w:rsidRPr="008D0377">
        <w:t>als Abfall oder als Nebenprodukt</w:t>
      </w:r>
    </w:p>
    <w:p w14:paraId="765AD94A" w14:textId="77777777" w:rsidR="004A770D" w:rsidRPr="008D0377" w:rsidRDefault="004A770D" w:rsidP="004A770D">
      <w:pPr>
        <w:pStyle w:val="NummerierungStufe3"/>
      </w:pPr>
      <w:r w:rsidRPr="008D0377">
        <w:t>in Aufbereitungsanlagen hergestellt wird oder</w:t>
      </w:r>
    </w:p>
    <w:p w14:paraId="164EE8B7" w14:textId="77777777" w:rsidR="004A770D" w:rsidRPr="00A10B6A" w:rsidRDefault="004A770D" w:rsidP="004A770D">
      <w:pPr>
        <w:pStyle w:val="NummerierungStufe3"/>
      </w:pPr>
      <w:r w:rsidRPr="00A10B6A">
        <w:t>bei Baumaßnahmen, beispielsweise Rückbau, Abriss, Umbau, Ausbau, Neubau und Erhaltung anfällt,</w:t>
      </w:r>
    </w:p>
    <w:p w14:paraId="6C427FA2" w14:textId="77777777" w:rsidR="004A770D" w:rsidRDefault="004A770D" w:rsidP="004A770D">
      <w:pPr>
        <w:pStyle w:val="NummerierungStufe2"/>
      </w:pPr>
      <w:r w:rsidRPr="004A770D">
        <w:t>unmittelbar oder nach Aufbereitung für den Einbau in technische Bauwerke geeignet und bestimmt ist und</w:t>
      </w:r>
    </w:p>
    <w:p w14:paraId="4E274ACF" w14:textId="77777777" w:rsidR="004A770D" w:rsidRDefault="004A770D" w:rsidP="004A770D">
      <w:pPr>
        <w:pStyle w:val="NummerierungStufe2"/>
      </w:pPr>
      <w:r w:rsidRPr="004A770D">
        <w:t>unmittelbar oder nach Aufbereitung unter die in den Nummern 18 bis 33 bezeichneten Stoffe fällt;</w:t>
      </w:r>
    </w:p>
    <w:p w14:paraId="546DC2D6" w14:textId="77777777" w:rsidR="004A770D" w:rsidRDefault="004A770D" w:rsidP="004F0B5E">
      <w:pPr>
        <w:pStyle w:val="NummerierungStufe1"/>
      </w:pPr>
      <w:r>
        <w:t>Gemisch:</w:t>
      </w:r>
      <w:r w:rsidR="004F0B5E">
        <w:t xml:space="preserve"> </w:t>
      </w:r>
      <w:r w:rsidR="004F0B5E">
        <w:br/>
      </w:r>
      <w:r>
        <w:t>ein mineralischer Baustoff, der hergestellt ist aus</w:t>
      </w:r>
    </w:p>
    <w:p w14:paraId="11D86B34" w14:textId="77777777" w:rsidR="004A770D" w:rsidRDefault="004A770D" w:rsidP="004A770D">
      <w:pPr>
        <w:pStyle w:val="NummerierungStufe2"/>
      </w:pPr>
      <w:r w:rsidRPr="004A770D">
        <w:t>einem mineralischen Ersatzbaustoff und mindestens einem sonstigen mineralischen Stoff oder</w:t>
      </w:r>
    </w:p>
    <w:p w14:paraId="36956D1A" w14:textId="77777777" w:rsidR="004A770D" w:rsidRPr="008D0377" w:rsidRDefault="004A770D" w:rsidP="004A770D">
      <w:pPr>
        <w:pStyle w:val="NummerierungStufe2"/>
      </w:pPr>
      <w:r w:rsidRPr="008D0377">
        <w:t>aus mehreren mineralischen Ersatzbaustoffen mit oder ohne Zumischung von sonstigen mineralischen Stoffen;</w:t>
      </w:r>
    </w:p>
    <w:p w14:paraId="1D8755AA" w14:textId="77777777" w:rsidR="004A770D" w:rsidRPr="008D0377" w:rsidRDefault="004A770D" w:rsidP="004A770D">
      <w:pPr>
        <w:pStyle w:val="NummerierungStufe1"/>
        <w:jc w:val="left"/>
      </w:pPr>
      <w:r w:rsidRPr="008D0377">
        <w:t xml:space="preserve">technisches Bauwerk: </w:t>
      </w:r>
      <w:r w:rsidRPr="008D0377">
        <w:br/>
        <w:t>jede mit dem Boden verbundene Anlage oder Einrichtung, die nach einer Einbauweise der Anlage 2 oder 3 errichtet wird; hierzu gehören insbesondere</w:t>
      </w:r>
    </w:p>
    <w:p w14:paraId="6BEE1EB7" w14:textId="77777777" w:rsidR="004F0B5E" w:rsidRPr="008D0377" w:rsidRDefault="004F0B5E" w:rsidP="004F0B5E">
      <w:pPr>
        <w:pStyle w:val="NummerierungStufe2"/>
      </w:pPr>
      <w:r w:rsidRPr="008D0377">
        <w:t>Straßen, Wege und Parkplätze,</w:t>
      </w:r>
    </w:p>
    <w:p w14:paraId="291D4905" w14:textId="77777777" w:rsidR="004F0B5E" w:rsidRPr="008D0377" w:rsidRDefault="004F0B5E" w:rsidP="004F0B5E">
      <w:pPr>
        <w:pStyle w:val="NummerierungStufe2"/>
      </w:pPr>
      <w:r w:rsidRPr="008D0377">
        <w:t>Baustraßen,</w:t>
      </w:r>
    </w:p>
    <w:p w14:paraId="63870614" w14:textId="77777777" w:rsidR="004F0B5E" w:rsidRPr="008D0377" w:rsidRDefault="004F0B5E" w:rsidP="004F0B5E">
      <w:pPr>
        <w:pStyle w:val="NummerierungStufe2"/>
      </w:pPr>
      <w:r w:rsidRPr="008D0377">
        <w:t>Schienenverkehrswege,</w:t>
      </w:r>
    </w:p>
    <w:p w14:paraId="4E010F1F" w14:textId="77777777" w:rsidR="004F0B5E" w:rsidRPr="008D0377" w:rsidRDefault="004F0B5E" w:rsidP="004F0B5E">
      <w:pPr>
        <w:pStyle w:val="NummerierungStufe2"/>
      </w:pPr>
      <w:r w:rsidRPr="008D0377">
        <w:t>Lager-, Stell- und sonstige befestigte Flächen,</w:t>
      </w:r>
    </w:p>
    <w:p w14:paraId="19ADFAA5" w14:textId="77777777" w:rsidR="004F0B5E" w:rsidRPr="008D0377" w:rsidRDefault="004F0B5E" w:rsidP="004F0B5E">
      <w:pPr>
        <w:pStyle w:val="NummerierungStufe2"/>
      </w:pPr>
      <w:r w:rsidRPr="008D0377">
        <w:t xml:space="preserve">Leitungsgräben und Baugruben, </w:t>
      </w:r>
      <w:proofErr w:type="spellStart"/>
      <w:r w:rsidRPr="008D0377">
        <w:t>Hinterfüllungen</w:t>
      </w:r>
      <w:proofErr w:type="spellEnd"/>
      <w:r w:rsidRPr="008D0377">
        <w:t xml:space="preserve"> und Erdbaumaßnahmen, beispielsweise Lärm- und Sichtschutzwälle und </w:t>
      </w:r>
    </w:p>
    <w:p w14:paraId="42755260" w14:textId="77777777" w:rsidR="004F0B5E" w:rsidRPr="008D0377" w:rsidRDefault="004F0B5E" w:rsidP="004F0B5E">
      <w:pPr>
        <w:pStyle w:val="NummerierungStufe2"/>
      </w:pPr>
      <w:r w:rsidRPr="008D0377">
        <w:t>Aufschüttungen zur Stabilisierung von Böschungen und Bermen;</w:t>
      </w:r>
    </w:p>
    <w:p w14:paraId="29E5FCD3" w14:textId="77777777" w:rsidR="004F0B5E" w:rsidRPr="008D0377" w:rsidRDefault="004F0B5E" w:rsidP="004F0B5E">
      <w:pPr>
        <w:pStyle w:val="NummerierungStufe1"/>
        <w:jc w:val="left"/>
      </w:pPr>
      <w:r w:rsidRPr="008D0377">
        <w:t>Inverkehrbringen von mineralischen Ersatzbaustoffen:</w:t>
      </w:r>
      <w:r w:rsidRPr="008D0377">
        <w:br/>
        <w:t xml:space="preserve">Abgabe eines mineralischen Ersatzbaustoffs an Dritte; </w:t>
      </w:r>
    </w:p>
    <w:p w14:paraId="7720FD38" w14:textId="77777777" w:rsidR="004F0B5E" w:rsidRPr="008D0377" w:rsidRDefault="004F0B5E" w:rsidP="004F0B5E">
      <w:pPr>
        <w:pStyle w:val="NummerierungStufe1"/>
      </w:pPr>
      <w:r w:rsidRPr="008D0377">
        <w:lastRenderedPageBreak/>
        <w:t>Aufbereitungsanlage:</w:t>
      </w:r>
      <w:r w:rsidRPr="008D0377">
        <w:br/>
        <w:t>Anlage, in der mineralische Stoffe behandelt, insbesondere sortiert, getrennt, zerkleinert, gesiebt, gereinigt oder abgekühlt werden; als Aufbereitungsanlage gilt auch eine Anlage, in der mineralische Stoffe in einer für den Einbau in technische Bauwerke gemäß dieser Vorschrift geeigneten Form unmittelbar anfallen;</w:t>
      </w:r>
    </w:p>
    <w:p w14:paraId="479F53FD" w14:textId="77777777" w:rsidR="004F0B5E" w:rsidRPr="008D0377" w:rsidRDefault="004F0B5E" w:rsidP="004F0B5E">
      <w:pPr>
        <w:pStyle w:val="NummerierungStufe1"/>
        <w:jc w:val="left"/>
      </w:pPr>
      <w:r w:rsidRPr="008D0377">
        <w:t>mobile Aufbereitungsanlage:</w:t>
      </w:r>
      <w:r w:rsidRPr="008D0377">
        <w:br/>
        <w:t>an wechselnden Standorten betriebene Aufbereitungsanlage;</w:t>
      </w:r>
    </w:p>
    <w:p w14:paraId="4665FA7C" w14:textId="77777777" w:rsidR="004F0B5E" w:rsidRPr="008D0377" w:rsidRDefault="004F0B5E" w:rsidP="004F0B5E">
      <w:pPr>
        <w:pStyle w:val="NummerierungStufe1"/>
        <w:jc w:val="left"/>
      </w:pPr>
      <w:r w:rsidRPr="008D0377">
        <w:t>stationäre Aufbereitungsanlage:</w:t>
      </w:r>
      <w:r w:rsidRPr="008D0377">
        <w:br/>
        <w:t>dauerhaft an demselben Standort betriebene Aufbereitungsanlage;</w:t>
      </w:r>
    </w:p>
    <w:p w14:paraId="51473E43" w14:textId="4E812DBE" w:rsidR="004F0B5E" w:rsidRPr="008D0377" w:rsidRDefault="004F0B5E" w:rsidP="004F0B5E">
      <w:pPr>
        <w:pStyle w:val="NummerierungStufe1"/>
      </w:pPr>
      <w:r w:rsidRPr="008D0377">
        <w:t>Zwischenlager:</w:t>
      </w:r>
      <w:r w:rsidRPr="008D0377">
        <w:br/>
        <w:t>Anlagen zum Lagern von Bodenmaterial oder Baggergut, die in Anhang 1 Nummern 8.12 und 8.14 der Verordnung über genehmigungsbedürftige Anlagen in der Fassung der Bekanntmachung vom 31. Mai 2017 (BGBl.</w:t>
      </w:r>
      <w:r w:rsidR="008B5E0D" w:rsidRPr="008D0377">
        <w:t> </w:t>
      </w:r>
      <w:r w:rsidRPr="008D0377">
        <w:t>I S.</w:t>
      </w:r>
      <w:r w:rsidR="008B5E0D" w:rsidRPr="008D0377">
        <w:t> </w:t>
      </w:r>
      <w:r w:rsidRPr="008D0377">
        <w:t>1440)</w:t>
      </w:r>
      <w:r w:rsidR="005D6233">
        <w:t>, die durch Artikel 1 der Verordnung vom 12. Januar</w:t>
      </w:r>
      <w:r w:rsidRPr="008D0377">
        <w:t xml:space="preserve"> </w:t>
      </w:r>
      <w:r w:rsidR="005D6233">
        <w:t xml:space="preserve">(BGBl. I S.69) geändert worden ist, </w:t>
      </w:r>
      <w:r w:rsidRPr="008D0377">
        <w:t xml:space="preserve">aufgeführt sind; </w:t>
      </w:r>
    </w:p>
    <w:p w14:paraId="352C7AAA" w14:textId="77777777" w:rsidR="004F0B5E" w:rsidRPr="008D0377" w:rsidRDefault="004F0B5E" w:rsidP="004F0B5E">
      <w:pPr>
        <w:pStyle w:val="NummerierungStufe1"/>
      </w:pPr>
      <w:r w:rsidRPr="008D0377">
        <w:t>Überwachungsstelle:</w:t>
      </w:r>
      <w:r w:rsidRPr="008D0377">
        <w:br/>
        <w:t>Die beauftragte Überwachungsstelle, die</w:t>
      </w:r>
    </w:p>
    <w:p w14:paraId="066A9BEF" w14:textId="77777777" w:rsidR="004F0B5E" w:rsidRPr="008D0377" w:rsidRDefault="004F0B5E" w:rsidP="004F0B5E">
      <w:pPr>
        <w:pStyle w:val="NummerierungStufe2"/>
      </w:pPr>
      <w:r w:rsidRPr="008D0377">
        <w:t xml:space="preserve">nach den „Richtlinien für die Anerkennung von Prüfstellen für Baustoffe und Baustoffgemische im Straßenbau“, Ausgabe 2015, - RAP </w:t>
      </w:r>
      <w:proofErr w:type="spellStart"/>
      <w:r w:rsidRPr="008D0377">
        <w:t>Stra</w:t>
      </w:r>
      <w:proofErr w:type="spellEnd"/>
      <w:r w:rsidRPr="008D0377">
        <w:t xml:space="preserve"> 15 - der Forschungsgesellschaft für Straßen- und Verkehrswesen (FGSV) für die Fachgebiete D (Gesteinskörnungen) oder I (Baustoffgemische für Schichten ohne Bindemittel und für den Erdbau) anerkannt ist oder</w:t>
      </w:r>
    </w:p>
    <w:p w14:paraId="42ECE0F0" w14:textId="77777777" w:rsidR="004F0B5E" w:rsidRPr="008D0377" w:rsidRDefault="004F0B5E" w:rsidP="004F0B5E">
      <w:pPr>
        <w:pStyle w:val="NummerierungStufe2"/>
      </w:pPr>
      <w:r w:rsidRPr="008D0377">
        <w:t>nach der DIN EN ISO/IEC 17065 „Konformitätsbewertung - Anforderungen an Stellen, die Produkte, Prozesse und Dienstleistungen zertifizieren“, Ausgabe</w:t>
      </w:r>
      <w:r w:rsidR="00D07F8C" w:rsidRPr="008D0377">
        <w:t xml:space="preserve"> Januar 2013, akkreditiert ist;</w:t>
      </w:r>
      <w:r w:rsidR="00D07F8C" w:rsidRPr="008D0377">
        <w:rPr>
          <w:rStyle w:val="Funotenzeichen"/>
        </w:rPr>
        <w:footnoteReference w:id="3"/>
      </w:r>
      <w:r w:rsidR="00D07F8C" w:rsidRPr="008D0377">
        <w:rPr>
          <w:rStyle w:val="Funotenzeichen"/>
        </w:rPr>
        <w:t>)</w:t>
      </w:r>
      <w:r w:rsidR="00D07F8C" w:rsidRPr="008D0377">
        <w:t xml:space="preserve"> </w:t>
      </w:r>
    </w:p>
    <w:p w14:paraId="147E2B1C" w14:textId="77777777" w:rsidR="004F0B5E" w:rsidRPr="008D0377" w:rsidRDefault="004F0B5E" w:rsidP="004F0B5E">
      <w:pPr>
        <w:pStyle w:val="NummerierungStufe1"/>
      </w:pPr>
      <w:r w:rsidRPr="008D0377">
        <w:t>Untersuchungsstelle:</w:t>
      </w:r>
      <w:r w:rsidRPr="008D0377">
        <w:br/>
        <w:t>Die beauftragte Untersuchungsstelle, die nach der DIN EN ISO/IEC 17025 „Allgemeine Anforderungen an die Kompetenz von Prüf- und Kalibrierlaboratorien“, Ausgabe März 2018, akkreditiert ist;</w:t>
      </w:r>
    </w:p>
    <w:p w14:paraId="4748956E" w14:textId="77777777" w:rsidR="004F0B5E" w:rsidRPr="008D0377" w:rsidRDefault="004F0B5E" w:rsidP="004F0B5E">
      <w:pPr>
        <w:pStyle w:val="NummerierungStufe1"/>
      </w:pPr>
      <w:r w:rsidRPr="008D0377">
        <w:t>Materialwerte:</w:t>
      </w:r>
      <w:r w:rsidRPr="008D0377">
        <w:br/>
        <w:t>Grenzwerte und Orientierungswerte eines mineralischen Ersatzbaustoffs oder einer Materialklasse eines mineralischen Ersatzbaustoffs; die Materialwerte für bestimmte Parameter sind in Anlage 1 festgesetzt;</w:t>
      </w:r>
    </w:p>
    <w:p w14:paraId="46998902" w14:textId="77777777" w:rsidR="004F0B5E" w:rsidRPr="008D0377" w:rsidRDefault="004F0B5E" w:rsidP="004F0B5E">
      <w:pPr>
        <w:pStyle w:val="NummerierungStufe1"/>
      </w:pPr>
      <w:r w:rsidRPr="008D0377">
        <w:t>Eluat:</w:t>
      </w:r>
      <w:r w:rsidRPr="008D0377">
        <w:br/>
        <w:t xml:space="preserve">wässrige Lösung, die durch eine im Labor durchgeführte Auslaugung gewonnen wird; </w:t>
      </w:r>
    </w:p>
    <w:p w14:paraId="0B29E8B9" w14:textId="77777777" w:rsidR="004F0B5E" w:rsidRPr="008D0377" w:rsidRDefault="004F0B5E" w:rsidP="004F0B5E">
      <w:pPr>
        <w:pStyle w:val="NummerierungStufe1"/>
      </w:pPr>
      <w:r w:rsidRPr="008D0377">
        <w:t>Materialklasse:</w:t>
      </w:r>
      <w:r w:rsidRPr="008D0377">
        <w:br/>
        <w:t>Kategorien eines mineralischen Ersatzbaustoffs derselben Art und Herkunft, die sich in ihrer Materialqualität auf Grund unterschiedlicher Materialwerte unterscheiden; für bestimmte Kategorien sind in Anlage 1 Materialklassen festgelegt;</w:t>
      </w:r>
    </w:p>
    <w:p w14:paraId="61D1B043" w14:textId="77777777" w:rsidR="004F0B5E" w:rsidRPr="008D0377" w:rsidRDefault="004F0B5E" w:rsidP="004F0B5E">
      <w:pPr>
        <w:pStyle w:val="NummerierungStufe1"/>
      </w:pPr>
      <w:r w:rsidRPr="008D0377">
        <w:t>Verwender:</w:t>
      </w:r>
      <w:r w:rsidRPr="008D0377">
        <w:br/>
        <w:t>jede natürliche oder juristische Person oder Personenvereinigung, die mineralische Ersatzbaustoffe in technische Bauwerke einbaut;</w:t>
      </w:r>
    </w:p>
    <w:p w14:paraId="4463D6E0" w14:textId="77777777" w:rsidR="004F0B5E" w:rsidRPr="008D0377" w:rsidRDefault="004F0B5E" w:rsidP="004F0B5E">
      <w:pPr>
        <w:pStyle w:val="NummerierungStufe1"/>
      </w:pPr>
      <w:r w:rsidRPr="008D0377">
        <w:t>Einbau:</w:t>
      </w:r>
      <w:r w:rsidRPr="008D0377">
        <w:br/>
        <w:t>Verwendung von mineralischen Ersatzbaustoffen in technischen Bauwerken;</w:t>
      </w:r>
    </w:p>
    <w:p w14:paraId="453735BA" w14:textId="77777777" w:rsidR="004F0B5E" w:rsidRPr="008D0377" w:rsidRDefault="004F0B5E" w:rsidP="004F0B5E">
      <w:pPr>
        <w:pStyle w:val="NummerierungStufe1"/>
      </w:pPr>
      <w:r w:rsidRPr="008D0377">
        <w:lastRenderedPageBreak/>
        <w:t>Einbauweisen:</w:t>
      </w:r>
      <w:r w:rsidRPr="008D0377">
        <w:br/>
        <w:t>die jeweils in der ersten Spalte der Tabellen der Anlagen 2 und 3 bezeichneten Bauweisen;</w:t>
      </w:r>
    </w:p>
    <w:p w14:paraId="7214FF0D" w14:textId="77777777" w:rsidR="004F0B5E" w:rsidRPr="008D0377" w:rsidRDefault="004F0B5E" w:rsidP="004F0B5E">
      <w:pPr>
        <w:pStyle w:val="NummerierungStufe1"/>
      </w:pPr>
      <w:r w:rsidRPr="008D0377">
        <w:t>Wasserschutzbereiche:</w:t>
      </w:r>
      <w:r w:rsidRPr="008D0377">
        <w:br/>
        <w:t>Wasserschutzgebiete der Klassen I, II, III, III A und III B, Heilquellenschutzgebiete der Klassen I, II, III und IV sowie Wasservorranggebiete;</w:t>
      </w:r>
    </w:p>
    <w:p w14:paraId="2A8997CD" w14:textId="77777777" w:rsidR="004F0B5E" w:rsidRPr="008D0377" w:rsidRDefault="004F0B5E" w:rsidP="004F0B5E">
      <w:pPr>
        <w:pStyle w:val="NummerierungStufe1"/>
      </w:pPr>
      <w:r w:rsidRPr="008D0377">
        <w:t>Hochofenstückschlacke:</w:t>
      </w:r>
      <w:r w:rsidRPr="008D0377">
        <w:br/>
        <w:t>Gesteinskörnung, die aus der im Hochofenprozess entstehenden Hochofenschlacke durch Abkühlung und nachfolgende Zerkleinerung und Sortierung gewonnen wird;</w:t>
      </w:r>
    </w:p>
    <w:p w14:paraId="7B915388" w14:textId="77777777" w:rsidR="004F0B5E" w:rsidRPr="008D0377" w:rsidRDefault="004F0B5E" w:rsidP="004F0B5E">
      <w:pPr>
        <w:pStyle w:val="NummerierungStufe1"/>
      </w:pPr>
      <w:r w:rsidRPr="008D0377">
        <w:t>Hüttensand:</w:t>
      </w:r>
      <w:r w:rsidRPr="008D0377">
        <w:br/>
        <w:t>glasiger feinkörniger Mineralstoff, der durch schockartige Abkühlung flüssiger Hochofenschlacke gewonnen wird;</w:t>
      </w:r>
    </w:p>
    <w:p w14:paraId="113E943A" w14:textId="77777777" w:rsidR="004F0B5E" w:rsidRPr="008D0377" w:rsidRDefault="004F0B5E" w:rsidP="004F0B5E">
      <w:pPr>
        <w:pStyle w:val="NummerierungStufe1"/>
      </w:pPr>
      <w:r w:rsidRPr="008D0377">
        <w:t>Stahlwerksschlacke:</w:t>
      </w:r>
      <w:r w:rsidRPr="008D0377">
        <w:br/>
        <w:t>Schlacke, die bei der Verarbeitung von Roheisen, Eisenschwamm und aufbereitetem Stahlschrott zu Stahl im Linz-Donawitz-Konverter oder im Elektroofen anfällt, mit Ausnahme von Schlacken aus der Edelstahlherstellung sowie der im früher verwendeten Siemens-Martin-Verfahren angefallenen Schlacken;</w:t>
      </w:r>
    </w:p>
    <w:p w14:paraId="28C92673" w14:textId="77777777" w:rsidR="004F0B5E" w:rsidRPr="008D0377" w:rsidRDefault="004F0B5E" w:rsidP="004F0B5E">
      <w:pPr>
        <w:pStyle w:val="NummerierungStufe1"/>
      </w:pPr>
      <w:r w:rsidRPr="008D0377">
        <w:t>Gießerei-</w:t>
      </w:r>
      <w:proofErr w:type="spellStart"/>
      <w:r w:rsidRPr="008D0377">
        <w:t>Kupolofenschlacke</w:t>
      </w:r>
      <w:proofErr w:type="spellEnd"/>
      <w:r w:rsidRPr="008D0377">
        <w:t>:</w:t>
      </w:r>
      <w:r w:rsidRPr="008D0377">
        <w:br/>
        <w:t>Schlacke, die in Eisengießereien beim Schmelzen von Gusseisen in Kupolöfen anfällt;</w:t>
      </w:r>
    </w:p>
    <w:p w14:paraId="47D4D827" w14:textId="77777777" w:rsidR="004F0B5E" w:rsidRPr="008D0377" w:rsidRDefault="004F0B5E" w:rsidP="004F0B5E">
      <w:pPr>
        <w:pStyle w:val="NummerierungStufe1"/>
      </w:pPr>
      <w:r w:rsidRPr="008D0377">
        <w:t>Kupferhüttenmaterial:</w:t>
      </w:r>
      <w:r w:rsidRPr="008D0377">
        <w:br/>
        <w:t xml:space="preserve">Schlacke, die bei der Herstellung von Kupfer als Stückschlacke oder als </w:t>
      </w:r>
      <w:proofErr w:type="spellStart"/>
      <w:r w:rsidRPr="008D0377">
        <w:t>Schlackegranulat</w:t>
      </w:r>
      <w:proofErr w:type="spellEnd"/>
      <w:r w:rsidRPr="008D0377">
        <w:t xml:space="preserve"> anfällt; </w:t>
      </w:r>
    </w:p>
    <w:p w14:paraId="4B7529DB" w14:textId="77777777" w:rsidR="004F0B5E" w:rsidRPr="008D0377" w:rsidRDefault="004F0B5E" w:rsidP="004F0B5E">
      <w:pPr>
        <w:pStyle w:val="NummerierungStufe1"/>
      </w:pPr>
      <w:r w:rsidRPr="008D0377">
        <w:t>Gießereirestsand:</w:t>
      </w:r>
      <w:r w:rsidRPr="008D0377">
        <w:br/>
        <w:t xml:space="preserve">rieselfähiger Sand, der in Eisen-, Stahl-, Temper- und Nichteisenmetall-Gießereien anfällt; </w:t>
      </w:r>
    </w:p>
    <w:p w14:paraId="68D3A0A8" w14:textId="77777777" w:rsidR="004F0B5E" w:rsidRPr="008D0377" w:rsidRDefault="004F0B5E" w:rsidP="004F0B5E">
      <w:pPr>
        <w:pStyle w:val="NummerierungStufe1"/>
        <w:jc w:val="left"/>
      </w:pPr>
      <w:r w:rsidRPr="008D0377">
        <w:t>Schmelzkammergranulat aus der Schmelzfeuerung von Steinkohle:</w:t>
      </w:r>
      <w:r w:rsidRPr="008D0377">
        <w:br/>
        <w:t>glasiges Granulat, das durch schockartige Abkühlung des bei der Verbrennung von Steinkohle oder Steinkohle mit anteiliger Mitverbrennung von Abfällen in Kohlenstaubfeuerungen mit flüssigem Ascheabzug anfallenden Mineralstoffs entsteht;</w:t>
      </w:r>
    </w:p>
    <w:p w14:paraId="19C72EAA" w14:textId="77777777" w:rsidR="004F0B5E" w:rsidRPr="008D0377" w:rsidRDefault="004F0B5E" w:rsidP="004F0B5E">
      <w:pPr>
        <w:pStyle w:val="NummerierungStufe1"/>
      </w:pPr>
      <w:r w:rsidRPr="008D0377">
        <w:t>Steinkohlenkesselasche:</w:t>
      </w:r>
      <w:r w:rsidRPr="008D0377">
        <w:br/>
        <w:t>Asche, die bei der Trockenfeuerung von Steinkohle oder Steinkohle mit anteiliger Mitverbrennung von Abfällen am Kesselboden über eine Rinne nass oder trocken abgezogen wurde;</w:t>
      </w:r>
    </w:p>
    <w:p w14:paraId="0955FD3D" w14:textId="77777777" w:rsidR="004F0B5E" w:rsidRPr="008D0377" w:rsidRDefault="004F0B5E" w:rsidP="004F0B5E">
      <w:pPr>
        <w:pStyle w:val="NummerierungStufe1"/>
      </w:pPr>
      <w:r w:rsidRPr="008D0377">
        <w:t>Steinkohlenflugasche:</w:t>
      </w:r>
      <w:r w:rsidRPr="008D0377">
        <w:br/>
        <w:t>Mineralstoffpartikel, die aus der Trocken- oder Schmelzfeuerung mit Steinkohle oder Steinkohle mit anteiliger Mitverbrennung von Abfällen im Rauchgasstrom mitgeführt und mit Elektrofiltern abgeschieden wurden;</w:t>
      </w:r>
    </w:p>
    <w:p w14:paraId="42E0B998" w14:textId="77777777" w:rsidR="004F0B5E" w:rsidRPr="008D0377" w:rsidRDefault="004F0B5E" w:rsidP="004F0B5E">
      <w:pPr>
        <w:pStyle w:val="NummerierungStufe1"/>
      </w:pPr>
      <w:r w:rsidRPr="008D0377">
        <w:t>Braunkohlenflugasche:</w:t>
      </w:r>
      <w:r w:rsidRPr="008D0377">
        <w:br/>
        <w:t>Mineralstoffpartikel, die aus der Feuerung mit Braunkohle oder Braunkohle mit anteiliger Mitverbrennung von Abfällen im Rauchgasstrom mitgeführt und mit Elektrofiltern abgeschieden wurden;</w:t>
      </w:r>
    </w:p>
    <w:p w14:paraId="423CCB0B" w14:textId="77777777" w:rsidR="004F0B5E" w:rsidRPr="008D0377" w:rsidRDefault="004F0B5E" w:rsidP="004F0B5E">
      <w:pPr>
        <w:pStyle w:val="NummerierungStufe1"/>
      </w:pPr>
      <w:r w:rsidRPr="008D0377">
        <w:t>Hausmüllverbrennungsasche:</w:t>
      </w:r>
      <w:r w:rsidRPr="008D0377">
        <w:br/>
        <w:t>aufbereitete und gealterte Rost- und Kesselasche aus Anlagen zur Verbrennung von Haushaltsabfällen und ähnlichen gewerblichen und industriellen Abfällen sowie Abfällen aus privaten und öffentlichen Einrichtungen;</w:t>
      </w:r>
    </w:p>
    <w:p w14:paraId="31464222" w14:textId="77777777" w:rsidR="004F0B5E" w:rsidRPr="008D0377" w:rsidRDefault="004F0B5E" w:rsidP="004F0B5E">
      <w:pPr>
        <w:pStyle w:val="NummerierungStufe1"/>
      </w:pPr>
      <w:r w:rsidRPr="008D0377">
        <w:lastRenderedPageBreak/>
        <w:t>Recycling-Baustoff:</w:t>
      </w:r>
      <w:r w:rsidRPr="008D0377">
        <w:br/>
        <w:t>mineralischer Baustoff, der durch die Aufbereitung von mineralischen Abfällen hergestellt wird, die</w:t>
      </w:r>
    </w:p>
    <w:p w14:paraId="6F63E3B9" w14:textId="77777777" w:rsidR="004F0B5E" w:rsidRPr="008D0377" w:rsidRDefault="004F0B5E" w:rsidP="004F0B5E">
      <w:pPr>
        <w:pStyle w:val="NummerierungStufe2"/>
      </w:pPr>
      <w:r w:rsidRPr="008D0377">
        <w:t>bei Baumaßnahmen, beispielsweise Rückbau, Abriss, Umbau, Ausbau, Neubau und Erhaltung oder</w:t>
      </w:r>
    </w:p>
    <w:p w14:paraId="66241416" w14:textId="77777777" w:rsidR="004F0B5E" w:rsidRPr="008D0377" w:rsidRDefault="004F0B5E" w:rsidP="004F0B5E">
      <w:pPr>
        <w:pStyle w:val="NummerierungStufe2"/>
      </w:pPr>
      <w:r w:rsidRPr="008D0377">
        <w:t xml:space="preserve">bei der Herstellung mineralischer Bauprodukte </w:t>
      </w:r>
    </w:p>
    <w:p w14:paraId="11236EC8" w14:textId="77777777" w:rsidR="004F0B5E" w:rsidRPr="008D0377" w:rsidRDefault="004F0B5E" w:rsidP="00A10B6A">
      <w:pPr>
        <w:pStyle w:val="NummerierungFolgeabsatzStufe1"/>
      </w:pPr>
      <w:r w:rsidRPr="008D0377">
        <w:t xml:space="preserve">angefallen sind; </w:t>
      </w:r>
    </w:p>
    <w:p w14:paraId="175D9985" w14:textId="77777777" w:rsidR="004F0B5E" w:rsidRPr="008D0377" w:rsidRDefault="004F0B5E" w:rsidP="004F0B5E">
      <w:pPr>
        <w:pStyle w:val="NummerierungStufe1"/>
      </w:pPr>
      <w:r w:rsidRPr="008D0377">
        <w:t>Baggergut:</w:t>
      </w:r>
      <w:r w:rsidRPr="008D0377">
        <w:br/>
        <w:t xml:space="preserve">Material, das im Rahmen von Unterhaltungs-, Neu- oder Ausbaumaßnahmen aus oder an Gewässern entnommen oder aufbereitet wird oder wurde; Baggergut kann bestehen aus Sedimenten und </w:t>
      </w:r>
      <w:proofErr w:type="spellStart"/>
      <w:r w:rsidRPr="008D0377">
        <w:t>subhydrischen</w:t>
      </w:r>
      <w:proofErr w:type="spellEnd"/>
      <w:r w:rsidRPr="008D0377">
        <w:t xml:space="preserve"> Böden der Gewässersohle, aus dem Oberboden, dem Unterboden oder dem Untergrund im unmittelbaren Umfeld des Gewässerbettes oder aus Oberböden im Ufer- und Überschwemmungsbereich des Gewässers;</w:t>
      </w:r>
    </w:p>
    <w:p w14:paraId="7CD732E4" w14:textId="77777777" w:rsidR="004F0B5E" w:rsidRPr="008D0377" w:rsidRDefault="004F0B5E" w:rsidP="004F0B5E">
      <w:pPr>
        <w:pStyle w:val="NummerierungStufe1"/>
      </w:pPr>
      <w:r w:rsidRPr="008D0377">
        <w:t>Gleisschotter:</w:t>
      </w:r>
      <w:r w:rsidRPr="008D0377">
        <w:br/>
        <w:t>Bettungsmaterial aus Naturstein, das bei Baumaßnahmen an Schienenverkehrswegen oberhalb der Tragschicht oder des Planums anfällt oder in einer Aufbereitungsanlage behandelt wurde;</w:t>
      </w:r>
    </w:p>
    <w:p w14:paraId="66C86224" w14:textId="77777777" w:rsidR="004F0B5E" w:rsidRPr="008D0377" w:rsidRDefault="004F0B5E" w:rsidP="004F0B5E">
      <w:pPr>
        <w:pStyle w:val="NummerierungStufe1"/>
      </w:pPr>
      <w:r w:rsidRPr="008D0377">
        <w:t>Ziegelmaterial:</w:t>
      </w:r>
      <w:r w:rsidRPr="008D0377">
        <w:br/>
        <w:t>Ziegelsand, Ziegelsplitt und Ziegelbruch aus sortenrein erfassten und in einer Aufbereitungsanlage behandelten Abfällen aus Ziegel aus dem thermischen Produktionsprozess (Brennbruch) oder aus sortenrein erfasstem und in einer Aufbereitungsanlage behandeltem Ziegelabbruch aus Abfällen, die bei Baumaßnahmen wie Rückbau, Abriss, Umbau, Ausbau, Neubau und Erhaltung anfallen;</w:t>
      </w:r>
    </w:p>
    <w:p w14:paraId="3069EF19" w14:textId="77777777" w:rsidR="004F0B5E" w:rsidRPr="008D0377" w:rsidRDefault="004F0B5E" w:rsidP="004F0B5E">
      <w:pPr>
        <w:pStyle w:val="NummerierungStufe1"/>
      </w:pPr>
      <w:r w:rsidRPr="008D0377">
        <w:t xml:space="preserve">Bodenmaterial: </w:t>
      </w:r>
      <w:r w:rsidRPr="008D0377">
        <w:br/>
        <w:t>Bodenmaterial im Sinne von §</w:t>
      </w:r>
      <w:r w:rsidR="008B5E0D" w:rsidRPr="008D0377">
        <w:t> </w:t>
      </w:r>
      <w:r w:rsidRPr="008D0377">
        <w:t>2 Nummer</w:t>
      </w:r>
      <w:r w:rsidR="008B5E0D" w:rsidRPr="008D0377">
        <w:t> </w:t>
      </w:r>
      <w:r w:rsidRPr="008D0377">
        <w:t>6 der Bundes-Bodenschutz- und Altlastenverordnung, das nach dem Aushub nicht mit anderen Ersatzbaustoffen als Bodenmaterial vermischt wurde;</w:t>
      </w:r>
    </w:p>
    <w:p w14:paraId="6B065AC3" w14:textId="77777777" w:rsidR="004F0B5E" w:rsidRPr="008D0377" w:rsidRDefault="004F0B5E" w:rsidP="004F0B5E">
      <w:pPr>
        <w:pStyle w:val="NummerierungStufe1"/>
        <w:jc w:val="left"/>
      </w:pPr>
      <w:r w:rsidRPr="008D0377">
        <w:t xml:space="preserve">Grundwasserfreie Sickerstrecke: </w:t>
      </w:r>
      <w:r w:rsidRPr="008D0377">
        <w:br/>
        <w:t xml:space="preserve">der Abstand zwischen der Unterkante des unteren Einbauhorizontes des mineralischen Ersatzbaustoffs und dem höchsten zu erwartenden Grundwasserstand. Bei der Einstufung in die nach Anlage 2 festgelegten Konfigurationen der Grundwasserdeckschicht wird der grundwasserfreien Sickerstrecke ein Sicherheitsabstand von 0,5 Meter zugeschlagen; </w:t>
      </w:r>
    </w:p>
    <w:p w14:paraId="6DD4CC05" w14:textId="77777777" w:rsidR="004F0B5E" w:rsidRPr="008D0377" w:rsidRDefault="004F0B5E" w:rsidP="004F0B5E">
      <w:pPr>
        <w:pStyle w:val="NummerierungStufe1"/>
        <w:jc w:val="left"/>
      </w:pPr>
      <w:r w:rsidRPr="008D0377">
        <w:t xml:space="preserve">Höchster </w:t>
      </w:r>
      <w:proofErr w:type="gramStart"/>
      <w:r w:rsidRPr="008D0377">
        <w:t>zu erwartender Grundwasserstand</w:t>
      </w:r>
      <w:proofErr w:type="gramEnd"/>
      <w:r w:rsidRPr="008D0377">
        <w:t>:</w:t>
      </w:r>
      <w:r w:rsidRPr="008D0377">
        <w:br/>
        <w:t>der höchste gemessene oder aus Messdaten abgeleitete sowie von nicht dauerhafter Grundwasserabsenkung unbeeinflusste Grundwasserstand.</w:t>
      </w:r>
    </w:p>
    <w:p w14:paraId="17A3CC49" w14:textId="77777777" w:rsidR="004F0B5E" w:rsidRPr="004F0B5E" w:rsidRDefault="004F0B5E" w:rsidP="004F0B5E">
      <w:pPr>
        <w:pStyle w:val="AbschnittBezeichner"/>
      </w:pPr>
    </w:p>
    <w:p w14:paraId="01E0D8BA" w14:textId="77777777" w:rsidR="004F0B5E" w:rsidRPr="008D0377" w:rsidRDefault="004F0B5E" w:rsidP="004F0B5E">
      <w:pPr>
        <w:pStyle w:val="Abschnittberschrift"/>
      </w:pPr>
      <w:bookmarkStart w:id="4" w:name="_Toc64379996"/>
      <w:r w:rsidRPr="008D0377">
        <w:t>Annahme von mineralischen Abfällen</w:t>
      </w:r>
      <w:bookmarkEnd w:id="4"/>
    </w:p>
    <w:p w14:paraId="29E700A2" w14:textId="77777777" w:rsidR="004F0B5E" w:rsidRDefault="004F0B5E" w:rsidP="004F0B5E">
      <w:pPr>
        <w:pStyle w:val="ParagraphBezeichner"/>
      </w:pPr>
    </w:p>
    <w:p w14:paraId="1E100F03" w14:textId="77777777" w:rsidR="004F0B5E" w:rsidRDefault="004F0B5E" w:rsidP="004F0B5E">
      <w:pPr>
        <w:pStyle w:val="Paragraphberschrift"/>
      </w:pPr>
      <w:bookmarkStart w:id="5" w:name="_Toc64379998"/>
      <w:r>
        <w:t>Annahmekontrolle</w:t>
      </w:r>
      <w:bookmarkEnd w:id="5"/>
    </w:p>
    <w:p w14:paraId="691CAD7F" w14:textId="77777777" w:rsidR="004F0B5E" w:rsidRDefault="004F0B5E" w:rsidP="004F0B5E">
      <w:pPr>
        <w:pStyle w:val="JuristischerAbsatznummeriert"/>
      </w:pPr>
      <w:r w:rsidRPr="004F0B5E">
        <w:t>Der Betreiber einer Aufbereitungsanlage, in der Recycling-Baustoffe hergestellt werden, hat bei der Anlieferung von mineralischen Abfällen unverzüglich eine Annahmekontrolle durchzuführen und deren Ergebnis zu dokumentieren. Die Annahmekontrolle umfasst eine Sichtkontrolle und Feststellungen zur Charakterisierun</w:t>
      </w:r>
      <w:r>
        <w:t>g, insbesondere die Feststellung</w:t>
      </w:r>
    </w:p>
    <w:p w14:paraId="0C38BEF3" w14:textId="77777777" w:rsidR="004F0B5E" w:rsidRDefault="004F0B5E" w:rsidP="004F0B5E">
      <w:pPr>
        <w:pStyle w:val="NummerierungStufe1"/>
      </w:pPr>
      <w:r>
        <w:t>des Namens und der Anschrift des Sammlers oder Beförderers,</w:t>
      </w:r>
    </w:p>
    <w:p w14:paraId="780233A3" w14:textId="77777777" w:rsidR="004F0B5E" w:rsidRDefault="004F0B5E" w:rsidP="004F0B5E">
      <w:pPr>
        <w:pStyle w:val="NummerierungStufe1"/>
      </w:pPr>
      <w:r>
        <w:t>der Masse und des Herkunftsbereichs des angelieferten Abfalls,</w:t>
      </w:r>
    </w:p>
    <w:p w14:paraId="0783D95F" w14:textId="77777777" w:rsidR="004F0B5E" w:rsidRDefault="004F0B5E" w:rsidP="004F0B5E">
      <w:pPr>
        <w:pStyle w:val="NummerierungStufe1"/>
      </w:pPr>
      <w:r>
        <w:t>des Abfallschlüssels gemäß der Anlage der Abfallverzeichnis-Verordnung,</w:t>
      </w:r>
    </w:p>
    <w:p w14:paraId="6836CD61" w14:textId="77777777" w:rsidR="004F0B5E" w:rsidRDefault="004F0B5E" w:rsidP="004F0B5E">
      <w:pPr>
        <w:pStyle w:val="NummerierungStufe1"/>
      </w:pPr>
      <w:r>
        <w:t xml:space="preserve">der Bezeichnung der Baumaßnahme oder von Angaben zur </w:t>
      </w:r>
      <w:proofErr w:type="spellStart"/>
      <w:r>
        <w:t>Anfallstelle</w:t>
      </w:r>
      <w:proofErr w:type="spellEnd"/>
      <w:r>
        <w:t>,</w:t>
      </w:r>
    </w:p>
    <w:p w14:paraId="1971E11A" w14:textId="77777777" w:rsidR="00585B32" w:rsidRDefault="004F0B5E" w:rsidP="004F0B5E">
      <w:pPr>
        <w:pStyle w:val="NummerierungStufe1"/>
      </w:pPr>
      <w:r>
        <w:t xml:space="preserve">der Zusammensetzung, der Verschmutzung, der Konsistenz, des Aussehens, der Farbe und des Geruchs. </w:t>
      </w:r>
    </w:p>
    <w:p w14:paraId="40D55446" w14:textId="77777777" w:rsidR="004F0B5E" w:rsidRDefault="004F0B5E" w:rsidP="00A10B6A">
      <w:pPr>
        <w:pStyle w:val="JuristischerAbsatzFolgeabsatz"/>
      </w:pPr>
      <w:r>
        <w:t xml:space="preserve">Die Annahmekontrolle kann auch weitere Feststellungen zur Charakterisierung umfassen, insbesondere bezüglich der </w:t>
      </w:r>
    </w:p>
    <w:p w14:paraId="530ED340" w14:textId="77777777" w:rsidR="00585B32" w:rsidRPr="008D0377" w:rsidRDefault="00585B32" w:rsidP="00656043">
      <w:pPr>
        <w:pStyle w:val="NummerierungStufe1"/>
        <w:numPr>
          <w:ilvl w:val="3"/>
          <w:numId w:val="1"/>
        </w:numPr>
      </w:pPr>
      <w:r w:rsidRPr="008D0377">
        <w:t>Materialwerte nach Anlage 1 Tabellen 1 und 4 und Überwachungswerte nach Anlage 4 Tabelle 2.2 für Recycling-Baustoffe und</w:t>
      </w:r>
    </w:p>
    <w:p w14:paraId="7ACB2593" w14:textId="77777777" w:rsidR="00585B32" w:rsidRPr="008D0377" w:rsidRDefault="00585B32" w:rsidP="00656043">
      <w:pPr>
        <w:pStyle w:val="NummerierungStufe1"/>
        <w:numPr>
          <w:ilvl w:val="3"/>
          <w:numId w:val="1"/>
        </w:numPr>
      </w:pPr>
      <w:r w:rsidRPr="008D0377">
        <w:t>Materialwerte nach Anlage 1 Tabellen 3 und 4 für Bodenmaterial.</w:t>
      </w:r>
    </w:p>
    <w:p w14:paraId="5E6D64BF" w14:textId="77777777" w:rsidR="00585B32" w:rsidRDefault="004F0B5E" w:rsidP="00A10B6A">
      <w:pPr>
        <w:pStyle w:val="JuristischerAbsatzFolgeabsatz"/>
      </w:pPr>
      <w:r>
        <w:t>Für ausgebaute mineralische Ersatzbaustoffe, die nach Art und Materialklasse eindeutig bestimmt werden können, gelten die jeweils stoffspezifischen Materialwerte nach Anlage 1 Tabelle 1.</w:t>
      </w:r>
    </w:p>
    <w:p w14:paraId="25BEE667" w14:textId="77777777" w:rsidR="004F0B5E" w:rsidRPr="00585B32" w:rsidRDefault="004F0B5E" w:rsidP="00A10B6A">
      <w:pPr>
        <w:pStyle w:val="JuristischerAbsatzFolgeabsatz"/>
      </w:pPr>
      <w:r>
        <w:t>Für die Ermittlung der Schadstoffgehalte in mineralischen Abfällen wesentliche, vorliegende Untersuchungsergebnisse oder aus der Vorerkundung von Bauwerken oder Böden vorliegende Hinweise auf Schadstoffe sind vom Abfallerzeuger oder –</w:t>
      </w:r>
      <w:proofErr w:type="spellStart"/>
      <w:r>
        <w:t>besitzer</w:t>
      </w:r>
      <w:proofErr w:type="spellEnd"/>
      <w:r>
        <w:t xml:space="preserve"> dem Betreiber der Anlage bei der Anlieferung vorzulegen.</w:t>
      </w:r>
    </w:p>
    <w:p w14:paraId="2799D04A" w14:textId="77777777" w:rsidR="004F0B5E" w:rsidRPr="008D0377" w:rsidRDefault="004F0B5E" w:rsidP="00585B32">
      <w:pPr>
        <w:pStyle w:val="JuristischerAbsatznummeriert"/>
      </w:pPr>
      <w:r w:rsidRPr="008D0377">
        <w:t>Besteht bei der Anlieferung von mineralischen Abfällen in eine Aufbereitungsanlage auf Grund der Feststellungen zur Charakterisierung der Verdacht, dass Materialwerte für Recycling-Baustoffe</w:t>
      </w:r>
      <w:r w:rsidR="00585B32">
        <w:t xml:space="preserve"> </w:t>
      </w:r>
      <w:r w:rsidR="00585B32" w:rsidRPr="00585B32">
        <w:t>der Klasse 3 -RC-3 - nach Anlage 1 Tabelle 1 oder Materialwerte, die als Feststoffwerte für Bodenmaterial der Klasse F3 - BM-F3 - der Anlage 1 Tabelle 4 angegeben werden, überschritten werden, sind diese Abfälle getrennt zu lagern und vor der Behandlung von einer Untersuchungsstelle getrennt zu beproben und zu untersuchen. Gleiches gilt, wenn der Verdacht besteht, dass Überwachungswerte nach Anlage 4 Tabelle 2.2, oder, soweit es sich um nicht aufbereitetes Bodenmaterial handelt, Materialwerte für Bodenmaterial der Klasse F3 – BM-F3 – nach Anlage 1 Tabelle 3 oder 4 überschritten werden. Die §§</w:t>
      </w:r>
      <w:r w:rsidR="008B5E0D">
        <w:t> </w:t>
      </w:r>
      <w:r w:rsidR="00585B32" w:rsidRPr="00585B32">
        <w:t>8 und 9 gelten entsprechend. Liegen Anhaltspunkte vor, dass die angelieferten mineralischen Abfälle erhöhte Gehalte weiterer, durch die Materialwerte nicht begrenzter Stoffe aufweisen, ist auf diese Stoffe zusätzlich analytisch zu untersuchen</w:t>
      </w:r>
      <w:r w:rsidR="00585B32">
        <w:t>.</w:t>
      </w:r>
    </w:p>
    <w:p w14:paraId="52D87CAD" w14:textId="77777777" w:rsidR="004F0B5E" w:rsidRPr="004F0B5E" w:rsidRDefault="00585B32" w:rsidP="00585B32">
      <w:pPr>
        <w:pStyle w:val="JuristischerAbsatznummeriert"/>
      </w:pPr>
      <w:r w:rsidRPr="008D0377">
        <w:lastRenderedPageBreak/>
        <w:t>Ergibt die Untersuchung, dass ein Messwert oder mehrere Messwerte die in Absatz</w:t>
      </w:r>
      <w:r w:rsidR="008B5E0D" w:rsidRPr="008D0377">
        <w:t> </w:t>
      </w:r>
      <w:r w:rsidRPr="008D0377">
        <w:t>2 bezeichneten Materialwerte oder Überwachungswerte nach Maßgabe des §</w:t>
      </w:r>
      <w:r w:rsidR="008B5E0D" w:rsidRPr="008D0377">
        <w:t> </w:t>
      </w:r>
      <w:r w:rsidRPr="008D0377">
        <w:t>10 überschreiten, dürfen diese Abfälle nicht mit anderen Abfällen oder Materialien gemischt werden. Eine getrennte Aufbereitung zur Einhaltung der Materialwerte nach Anlage 1 ist zulässig. Bei erhöhten Gehalten weiterer Schadstoffe, für die keine Materialwerte festgesetzt sind, und die einer ordnungsgemäßen und schadlosen Verwertung gemäß §</w:t>
      </w:r>
      <w:r w:rsidR="008B5E0D" w:rsidRPr="008D0377">
        <w:t> </w:t>
      </w:r>
      <w:r w:rsidRPr="008D0377">
        <w:t>7 Absatz</w:t>
      </w:r>
      <w:r w:rsidR="008B5E0D" w:rsidRPr="008D0377">
        <w:t> </w:t>
      </w:r>
      <w:r w:rsidRPr="008D0377">
        <w:t>3 des Kreislaufwirtschaftsgesetzes entgegenstehen, gilt Satz</w:t>
      </w:r>
      <w:r w:rsidR="008B5E0D" w:rsidRPr="008D0377">
        <w:t> </w:t>
      </w:r>
      <w:r w:rsidRPr="008D0377">
        <w:t>1 entsprechend.</w:t>
      </w:r>
    </w:p>
    <w:p w14:paraId="5633D1DD" w14:textId="77777777" w:rsidR="0077202B" w:rsidRPr="0077202B" w:rsidRDefault="0077202B" w:rsidP="0077202B">
      <w:pPr>
        <w:pStyle w:val="AbschnittBezeichner"/>
      </w:pPr>
    </w:p>
    <w:p w14:paraId="1D06DD09" w14:textId="77777777" w:rsidR="0077202B" w:rsidRPr="008D0377" w:rsidRDefault="0077202B" w:rsidP="0077202B">
      <w:pPr>
        <w:pStyle w:val="Abschnittberschrift"/>
      </w:pPr>
      <w:bookmarkStart w:id="6" w:name="_Toc64380000"/>
      <w:r w:rsidRPr="008D0377">
        <w:t>Herstellen von mineralischen Ersatzbaustoffen</w:t>
      </w:r>
      <w:bookmarkEnd w:id="6"/>
    </w:p>
    <w:p w14:paraId="2B5A5C44" w14:textId="77777777" w:rsidR="0077202B" w:rsidRPr="0077202B" w:rsidRDefault="0077202B" w:rsidP="0077202B">
      <w:pPr>
        <w:pStyle w:val="UnterabschnittBezeichner"/>
      </w:pPr>
    </w:p>
    <w:p w14:paraId="449266CF" w14:textId="77777777" w:rsidR="0077202B" w:rsidRPr="0077202B" w:rsidRDefault="0077202B" w:rsidP="0077202B">
      <w:pPr>
        <w:pStyle w:val="Unterabschnittberschrift"/>
      </w:pPr>
      <w:bookmarkStart w:id="7" w:name="_Toc64380002"/>
      <w:r w:rsidRPr="008D0377">
        <w:t>Güteüberwachung</w:t>
      </w:r>
      <w:bookmarkEnd w:id="7"/>
    </w:p>
    <w:p w14:paraId="3F7EDF54" w14:textId="77777777" w:rsidR="0077202B" w:rsidRDefault="0077202B" w:rsidP="0077202B">
      <w:pPr>
        <w:pStyle w:val="ParagraphBezeichner"/>
      </w:pPr>
    </w:p>
    <w:p w14:paraId="014A61FA" w14:textId="77777777" w:rsidR="0077202B" w:rsidRDefault="0077202B" w:rsidP="0077202B">
      <w:pPr>
        <w:pStyle w:val="Paragraphberschrift"/>
      </w:pPr>
      <w:bookmarkStart w:id="8" w:name="_Toc64380004"/>
      <w:r w:rsidRPr="0077202B">
        <w:t>Allgemeine Anforderungen an die Güteüberwachung</w:t>
      </w:r>
      <w:bookmarkEnd w:id="8"/>
    </w:p>
    <w:p w14:paraId="1D9D59BD" w14:textId="77777777" w:rsidR="0077202B" w:rsidRDefault="0077202B" w:rsidP="0077202B">
      <w:pPr>
        <w:pStyle w:val="JuristischerAbsatznummeriert"/>
      </w:pPr>
      <w:r>
        <w:t>Der Betreiber einer Aufbereitungsanlage, in der mineralische Ersatzbaustoffe hergestellt werden, hat eine Güteüberwachung durchzuführen. Die Güteüberwachung besteht aus:</w:t>
      </w:r>
    </w:p>
    <w:p w14:paraId="388857B1" w14:textId="77777777" w:rsidR="0077202B" w:rsidRDefault="0077202B" w:rsidP="0077202B">
      <w:pPr>
        <w:pStyle w:val="NummerierungStufe1"/>
      </w:pPr>
      <w:r>
        <w:t>dem Eignungsnachweis,</w:t>
      </w:r>
    </w:p>
    <w:p w14:paraId="6198F0D6" w14:textId="77777777" w:rsidR="0077202B" w:rsidRDefault="0077202B" w:rsidP="0077202B">
      <w:pPr>
        <w:pStyle w:val="NummerierungStufe1"/>
      </w:pPr>
      <w:r>
        <w:t xml:space="preserve">der werkseigenen Produktionskontrolle und </w:t>
      </w:r>
    </w:p>
    <w:p w14:paraId="435C277F" w14:textId="77777777" w:rsidR="0077202B" w:rsidRDefault="0077202B" w:rsidP="0077202B">
      <w:pPr>
        <w:pStyle w:val="NummerierungStufe1"/>
      </w:pPr>
      <w:r>
        <w:t>der Fremdüberwachung.</w:t>
      </w:r>
    </w:p>
    <w:p w14:paraId="4164003D" w14:textId="77777777" w:rsidR="0077202B" w:rsidRDefault="0077202B" w:rsidP="0077202B">
      <w:pPr>
        <w:pStyle w:val="JuristischerAbsatznummeriert"/>
      </w:pPr>
      <w:r>
        <w:t>Der Betreiber der Aufbereitungsanlage hat den Eignungsnachweis und die Fremdüberwachung von einer Überwachungsstelle durchführen zu lassen.</w:t>
      </w:r>
    </w:p>
    <w:p w14:paraId="3469FA7B" w14:textId="77777777" w:rsidR="0077202B" w:rsidRDefault="0077202B" w:rsidP="0077202B">
      <w:pPr>
        <w:pStyle w:val="JuristischerAbsatznummeriert"/>
      </w:pPr>
      <w:r>
        <w:t>Abweichend von Absatz</w:t>
      </w:r>
      <w:r w:rsidR="008B5E0D">
        <w:t> </w:t>
      </w:r>
      <w:r>
        <w:t>1 bedarf Gleisschotter in einer Körnung ab 31,5 Millimeter keiner Güteüberwachung, sofern er nach organoleptischem Befund nicht belastet ist und ausschließlich als Schotteroberbau nach den Einbauweisen B1 bis B4 der Anlage 3 in Gleisbauwerken wieder eingebaut wird. Der Wiedereinbau als Schotteroberbau nach den Einbauweisen B1 bis B4 der Anlage 3 im Gleisbauwerk bedarf keiner Erlaubnis nach §</w:t>
      </w:r>
      <w:r w:rsidR="008B5E0D">
        <w:t> </w:t>
      </w:r>
      <w:r>
        <w:t>8 Absatz</w:t>
      </w:r>
      <w:r w:rsidR="008B5E0D">
        <w:t> </w:t>
      </w:r>
      <w:r>
        <w:t>1 des Wasserhaushaltgesetzes.</w:t>
      </w:r>
    </w:p>
    <w:p w14:paraId="60BAFDC0" w14:textId="77777777" w:rsidR="0077202B" w:rsidRPr="0077202B" w:rsidRDefault="0077202B" w:rsidP="0077202B">
      <w:pPr>
        <w:pStyle w:val="JuristischerAbsatznummeriert"/>
      </w:pPr>
      <w:r>
        <w:t>Anforderungen an die Überprüfung der bautechnischen Eigenschaften von mineralischen Ersatzbaustoffen nach anderen Vorschriften bleiben unberührt.</w:t>
      </w:r>
    </w:p>
    <w:p w14:paraId="00A58A04" w14:textId="77777777" w:rsidR="0077202B" w:rsidRPr="0077202B" w:rsidRDefault="0077202B" w:rsidP="0077202B">
      <w:pPr>
        <w:pStyle w:val="ParagraphBezeichner"/>
      </w:pPr>
    </w:p>
    <w:p w14:paraId="69AC7811" w14:textId="77777777" w:rsidR="0077202B" w:rsidRPr="0077202B" w:rsidRDefault="0077202B" w:rsidP="0077202B">
      <w:pPr>
        <w:pStyle w:val="Paragraphberschrift"/>
      </w:pPr>
      <w:bookmarkStart w:id="9" w:name="_Toc64380006"/>
      <w:r w:rsidRPr="008D0377">
        <w:t>Eignungsnachweis</w:t>
      </w:r>
      <w:bookmarkEnd w:id="9"/>
    </w:p>
    <w:p w14:paraId="1887225C" w14:textId="77777777" w:rsidR="0077202B" w:rsidRPr="008D0377" w:rsidRDefault="0077202B" w:rsidP="0077202B">
      <w:pPr>
        <w:pStyle w:val="JuristischerAbsatznummeriert"/>
      </w:pPr>
      <w:r w:rsidRPr="008D0377">
        <w:t>Der Betreiber der Aufbereitungsanlage hat einen Eignungsnachweis zu erbringen oder einen vorhandenen Eignungsnachweis nach Maßgabe der Absätze 2 und 3 zu aktualisieren</w:t>
      </w:r>
    </w:p>
    <w:p w14:paraId="133DDDDE" w14:textId="77777777" w:rsidR="0077202B" w:rsidRPr="008D0377" w:rsidRDefault="0077202B" w:rsidP="0077202B">
      <w:pPr>
        <w:pStyle w:val="NummerierungStufe1"/>
      </w:pPr>
      <w:r w:rsidRPr="008D0377">
        <w:lastRenderedPageBreak/>
        <w:t xml:space="preserve">bei der erstmaligen Inbetriebnahme einer mobilen oder stationären Anlage, </w:t>
      </w:r>
    </w:p>
    <w:p w14:paraId="47755B33" w14:textId="77777777" w:rsidR="0077202B" w:rsidRPr="008D0377" w:rsidRDefault="0077202B" w:rsidP="0077202B">
      <w:pPr>
        <w:pStyle w:val="NummerierungStufe1"/>
      </w:pPr>
      <w:r w:rsidRPr="008D0377">
        <w:t>nach einer Änderung an einer genehmigungsbedürftigen Anlage gemäß den §§</w:t>
      </w:r>
      <w:r w:rsidR="008B5E0D" w:rsidRPr="008D0377">
        <w:t> </w:t>
      </w:r>
      <w:r w:rsidRPr="008D0377">
        <w:t>15 und 16 des Bundes-Immissionsschutzgesetzes,</w:t>
      </w:r>
    </w:p>
    <w:p w14:paraId="7C388D4A" w14:textId="77777777" w:rsidR="0077202B" w:rsidRPr="008D0377" w:rsidRDefault="0077202B" w:rsidP="0077202B">
      <w:pPr>
        <w:pStyle w:val="NummerierungStufe1"/>
      </w:pPr>
      <w:r w:rsidRPr="008D0377">
        <w:t xml:space="preserve">bei nicht genehmigungsbedürftigen Anlagen nach einem Wechsel der Baumaßnahme oder </w:t>
      </w:r>
    </w:p>
    <w:p w14:paraId="209140F4" w14:textId="77777777" w:rsidR="0077202B" w:rsidRPr="008D0377" w:rsidRDefault="0077202B" w:rsidP="0077202B">
      <w:pPr>
        <w:pStyle w:val="NummerierungStufe1"/>
      </w:pPr>
      <w:r w:rsidRPr="008D0377">
        <w:t xml:space="preserve">wenn andere, nicht vom Eignungsnachweis erfasste mineralische Ersatzbaustoffe in der Anlage hergestellt werden. </w:t>
      </w:r>
    </w:p>
    <w:p w14:paraId="7F7587DC" w14:textId="77777777" w:rsidR="0077202B" w:rsidRPr="008D0377" w:rsidRDefault="0077202B" w:rsidP="00A10B6A">
      <w:pPr>
        <w:pStyle w:val="JuristischerAbsatzFolgeabsatz"/>
      </w:pPr>
      <w:r w:rsidRPr="008D0377">
        <w:t xml:space="preserve">Der Eignungsnachweis besteht aus der Erstprüfung und der Betriebsbeurteilung. </w:t>
      </w:r>
    </w:p>
    <w:p w14:paraId="5AE9FE1A" w14:textId="77777777" w:rsidR="0077202B" w:rsidRPr="008D0377" w:rsidRDefault="0077202B" w:rsidP="0077202B">
      <w:pPr>
        <w:pStyle w:val="JuristischerAbsatznummeriert"/>
      </w:pPr>
      <w:r w:rsidRPr="008D0377">
        <w:t>Im Rahmen der Erstprüfung ist von der Überwachungsstelle festzustellen, ob die hergestellten mineralischen Ersatzbaustoffe die geltenden Materialwerte der Anlage 1 nach Maßgabe des §</w:t>
      </w:r>
      <w:r w:rsidR="008B5E0D" w:rsidRPr="008D0377">
        <w:t> </w:t>
      </w:r>
      <w:r w:rsidRPr="008D0377">
        <w:t>10 Absatz</w:t>
      </w:r>
      <w:r w:rsidR="008B5E0D" w:rsidRPr="008D0377">
        <w:t> </w:t>
      </w:r>
      <w:r w:rsidRPr="008D0377">
        <w:t>1 und 2 einhalten und ob sie Schadstoffe nach Anlage 4 Tabelle 2.1 enthalten, für die keine Materialwerte festgesetzt sind. Die Erstprüfung umfasst auch die Ermittlung der in §</w:t>
      </w:r>
      <w:r w:rsidR="008B5E0D" w:rsidRPr="008D0377">
        <w:t> </w:t>
      </w:r>
      <w:r w:rsidRPr="008D0377">
        <w:t>10 Absatz</w:t>
      </w:r>
      <w:r w:rsidR="008B5E0D" w:rsidRPr="008D0377">
        <w:t> </w:t>
      </w:r>
      <w:r w:rsidRPr="008D0377">
        <w:t>5 genannten Materialwerte. Die Erstprüfung einer Aufbereitungsanlage zur Herstellung von Recycling-Baustoffen umfasst zusätzlich die Feststellung, ob die Überwachungswerte nach Anlage 4 Tabelle 2.2. eingehalten werden. Der Eignungsnachweis für Stahlwerksschlacken, die für einen Einbau nach Anlage 2, Einbauweise 12 vorgesehen sind, umfasst zusätzlich den CBR-Versuch nach Anlage 4 Tabelle 2.3. Die Überwachungsstelle entnimmt alle die nach diesem Absatz notwendigen Proben des in der Anlage hergestellten mineralischen Ersatzbaustoffs nach Maßgabe des §</w:t>
      </w:r>
      <w:r w:rsidR="008B5E0D" w:rsidRPr="008D0377">
        <w:t> </w:t>
      </w:r>
      <w:r w:rsidRPr="008D0377">
        <w:t>8 Absatz</w:t>
      </w:r>
      <w:r w:rsidR="008B5E0D" w:rsidRPr="008D0377">
        <w:t> </w:t>
      </w:r>
      <w:r w:rsidRPr="008D0377">
        <w:t>1. Die Proben sollen in Gegenwart eines Vertreters des Betreibers der Aufbereitungsanlage entnommen werden. Die Analytik der Proben nach Maßgabe des §</w:t>
      </w:r>
      <w:r w:rsidR="008B5E0D" w:rsidRPr="008D0377">
        <w:t> </w:t>
      </w:r>
      <w:r w:rsidRPr="008D0377">
        <w:t xml:space="preserve">9 hat eine Untersuchungsstelle durchzuführen. </w:t>
      </w:r>
    </w:p>
    <w:p w14:paraId="5DC61CF6" w14:textId="77777777" w:rsidR="0077202B" w:rsidRPr="008D0377" w:rsidRDefault="0077202B" w:rsidP="0077202B">
      <w:pPr>
        <w:pStyle w:val="JuristischerAbsatznummeriert"/>
      </w:pPr>
      <w:r w:rsidRPr="008D0377">
        <w:t>Die Betriebsbeurteilung hat durch dieselbe Überwachungsstelle zu erfolgen, die auch die Erstprüfung durchführt. Die Betriebsbeurteilung ist bestanden, wenn die Anlage aufgrund ihrer technischen Anlagenkomponenten, ihrer Betriebsorganisation und personellen Ausstattung geeignet ist und der Betreiber der Aufbereitungsanlage die Gewähr dafür bietet, dass die Anforderungen der Abschnitte 2 und 3 Unterabschnitt 1 erfüllt werden.</w:t>
      </w:r>
    </w:p>
    <w:p w14:paraId="1451EA54" w14:textId="77777777" w:rsidR="0077202B" w:rsidRPr="008D0377" w:rsidRDefault="0077202B" w:rsidP="0077202B">
      <w:pPr>
        <w:pStyle w:val="JuristischerAbsatznummeriert"/>
      </w:pPr>
      <w:r w:rsidRPr="008D0377">
        <w:t>Die Überwachungsstelle hat dem Betreiber der Aufbereitungsanlage ein Prüf-zeugnis über den erbrachten Eignungsnachweis auszustellen. Das Prüfzeugnis muss folgende Angaben enthalten:</w:t>
      </w:r>
    </w:p>
    <w:p w14:paraId="25974DA4" w14:textId="77777777" w:rsidR="0077202B" w:rsidRPr="008D0377" w:rsidRDefault="0077202B" w:rsidP="0077202B">
      <w:pPr>
        <w:pStyle w:val="NummerierungStufe1"/>
      </w:pPr>
      <w:r w:rsidRPr="008D0377">
        <w:t>die Durchführung der Erstprüfung einschließlich der Probenahme und der Analyseergebnisse der untersuchten Parameter,</w:t>
      </w:r>
    </w:p>
    <w:p w14:paraId="388A5E1A" w14:textId="77777777" w:rsidR="0077202B" w:rsidRPr="008D0377" w:rsidRDefault="0077202B" w:rsidP="0077202B">
      <w:pPr>
        <w:pStyle w:val="NummerierungStufe1"/>
      </w:pPr>
      <w:r w:rsidRPr="008D0377">
        <w:t>eine abschließende Bewertung darüber, ob die Materialwerte nach Maßgabe des § 10 eingehalten werden, und</w:t>
      </w:r>
    </w:p>
    <w:p w14:paraId="2F48D6E6" w14:textId="77777777" w:rsidR="0077202B" w:rsidRPr="008D0377" w:rsidRDefault="0077202B" w:rsidP="0077202B">
      <w:pPr>
        <w:pStyle w:val="NummerierungStufe1"/>
      </w:pPr>
      <w:r w:rsidRPr="008D0377">
        <w:t>das Ergebnis der Betriebsbeurteilung.</w:t>
      </w:r>
    </w:p>
    <w:p w14:paraId="18690C06" w14:textId="77777777" w:rsidR="0077202B" w:rsidRPr="008D0377" w:rsidRDefault="0077202B" w:rsidP="00A10B6A">
      <w:pPr>
        <w:pStyle w:val="JuristischerAbsatzFolgeabsatz"/>
      </w:pPr>
      <w:r w:rsidRPr="008D0377">
        <w:t xml:space="preserve">Sind für Parameter aus der Anlage 4 Tabelle 2.1 und 2.2, die keine Materialwerte sind, Gehalte nachweisbar, sind diese Parameter mit den gemessenen Konzentrationswerten ebenfalls im Prüfzeugnis zu dokumentieren. </w:t>
      </w:r>
    </w:p>
    <w:p w14:paraId="10FF0D30" w14:textId="77777777" w:rsidR="0077202B" w:rsidRPr="008D0377" w:rsidRDefault="0077202B" w:rsidP="0077202B">
      <w:pPr>
        <w:pStyle w:val="JuristischerAbsatznummeriert"/>
      </w:pPr>
      <w:r w:rsidRPr="008D0377">
        <w:t>Der Betreiber der Aufbereitungsanlage darf mineralische Ersatzbaustoffe erst dann in Verkehr bringen, wenn er das Prüfzeugnis über den erbrachten Eignungsnachweis von der Überwachungsstelle erhalten hat.</w:t>
      </w:r>
    </w:p>
    <w:p w14:paraId="23A99719" w14:textId="77777777" w:rsidR="0077202B" w:rsidRPr="008D0377" w:rsidRDefault="0077202B" w:rsidP="0077202B">
      <w:pPr>
        <w:pStyle w:val="JuristischerAbsatznummeriert"/>
      </w:pPr>
      <w:r w:rsidRPr="008D0377">
        <w:t xml:space="preserve">Der Betreiber der Aufbereitungsanlage, der mineralische Ersatzbaustoffe in einer mobilen Aufbereitungsanlage herstellt, hat der zuständigen Behörde bei jeder neuen </w:t>
      </w:r>
      <w:r w:rsidRPr="008D0377">
        <w:lastRenderedPageBreak/>
        <w:t xml:space="preserve">Baumaßnahme oder bei jedem sonstigen Wechsel des Einsatzortes unverzüglich Folgendes zu übermitteln: </w:t>
      </w:r>
    </w:p>
    <w:p w14:paraId="3C165773" w14:textId="77777777" w:rsidR="0077202B" w:rsidRPr="008D0377" w:rsidRDefault="0077202B" w:rsidP="0077202B">
      <w:pPr>
        <w:pStyle w:val="NummerierungStufe1"/>
      </w:pPr>
      <w:r w:rsidRPr="008D0377">
        <w:t>den Namen des Betreibers der Aufbereitungsanlage,</w:t>
      </w:r>
    </w:p>
    <w:p w14:paraId="4025A78D" w14:textId="77777777" w:rsidR="0077202B" w:rsidRPr="008D0377" w:rsidRDefault="0077202B" w:rsidP="0077202B">
      <w:pPr>
        <w:pStyle w:val="NummerierungStufe1"/>
      </w:pPr>
      <w:r w:rsidRPr="008D0377">
        <w:t>den Einsatzort, an dem die Aufbereitungsanlage betrieben wird, und</w:t>
      </w:r>
    </w:p>
    <w:p w14:paraId="7F999EB7" w14:textId="77777777" w:rsidR="0077202B" w:rsidRPr="0077202B" w:rsidRDefault="0077202B" w:rsidP="0077202B">
      <w:pPr>
        <w:pStyle w:val="NummerierungStufe1"/>
      </w:pPr>
      <w:r w:rsidRPr="008D0377">
        <w:t>eine Kopie des Prüfzeugnisses.</w:t>
      </w:r>
    </w:p>
    <w:p w14:paraId="436AD229" w14:textId="77777777" w:rsidR="0077202B" w:rsidRPr="0077202B" w:rsidRDefault="0077202B" w:rsidP="0077202B">
      <w:pPr>
        <w:pStyle w:val="ParagraphBezeichner"/>
      </w:pPr>
    </w:p>
    <w:p w14:paraId="740D3626" w14:textId="77777777" w:rsidR="0077202B" w:rsidRPr="0077202B" w:rsidRDefault="0077202B" w:rsidP="0077202B">
      <w:pPr>
        <w:pStyle w:val="Paragraphberschrift"/>
      </w:pPr>
      <w:bookmarkStart w:id="10" w:name="_Toc64380008"/>
      <w:r w:rsidRPr="008D0377">
        <w:t>Werkseigene Produktionskontrolle</w:t>
      </w:r>
      <w:bookmarkEnd w:id="10"/>
    </w:p>
    <w:p w14:paraId="39E3460B" w14:textId="77777777" w:rsidR="00C30FB0" w:rsidRPr="008D0377" w:rsidRDefault="00C30FB0" w:rsidP="00C30FB0">
      <w:pPr>
        <w:pStyle w:val="JuristischerAbsatznummeriert"/>
      </w:pPr>
      <w:r w:rsidRPr="008D0377">
        <w:t xml:space="preserve">Sofern diese Verordnung keine Regelungen enthält, richten sich Umfang und Durchführung der werkseigenen Produktionskontrolle nach den Anforderungen der "Technischen Lieferbedingungen für Baustoffgemische und Böden zur Herstellung von Schichten ohne Bindemittel im Straßenbau", Anhang A - TL </w:t>
      </w:r>
      <w:proofErr w:type="spellStart"/>
      <w:r w:rsidRPr="008D0377">
        <w:t>SoB-StB</w:t>
      </w:r>
      <w:proofErr w:type="spellEnd"/>
      <w:r w:rsidRPr="008D0377">
        <w:t xml:space="preserve"> 04, Ausgabe 2004, Fassung 2007 (FGSV).</w:t>
      </w:r>
    </w:p>
    <w:p w14:paraId="5F02DFBF" w14:textId="77777777" w:rsidR="00C30FB0" w:rsidRPr="008D0377" w:rsidRDefault="00C30FB0" w:rsidP="00C30FB0">
      <w:pPr>
        <w:pStyle w:val="JuristischerAbsatznummeriert"/>
      </w:pPr>
      <w:r w:rsidRPr="008D0377">
        <w:t>Der Betreiber der Aufbereitungsanlage hat die für die jeweiligen mineralischen Ersatzbaustoffe geltenden Materialwerte der Anlage 1 durch die werkseigene Produktionskontrolle in eigener Verantwortung nach dem in der Anlage 4 Tabelle 1 angegebenen Überwachungsturnus zu überwachen. Die Probenahme nach Maßgabe von §</w:t>
      </w:r>
      <w:r w:rsidR="008B5E0D" w:rsidRPr="008D0377">
        <w:t> </w:t>
      </w:r>
      <w:r w:rsidRPr="008D0377">
        <w:t>8 Absatz</w:t>
      </w:r>
      <w:r w:rsidR="008B5E0D" w:rsidRPr="008D0377">
        <w:t> </w:t>
      </w:r>
      <w:r w:rsidRPr="008D0377">
        <w:t>2 und die Analytik der Proben nach Maßgabe von §</w:t>
      </w:r>
      <w:r w:rsidR="008B5E0D" w:rsidRPr="008D0377">
        <w:t> </w:t>
      </w:r>
      <w:r w:rsidRPr="008D0377">
        <w:t>9 hat eine Untersuchungsstelle durchzuführen. Ergibt die werkseigene Produktionskontrolle, dass die Materialwerte nicht eingehalten werden, hat der Betreiber der Aufbereitungsanlage die Ursachen zu ermitteln und unverzüglich Maßnahmen zur Abhilfe zu ergreifen. Die betreffende Charge des mineralischen Ersatzbaustoffs ist</w:t>
      </w:r>
    </w:p>
    <w:p w14:paraId="0C4E94BB" w14:textId="77777777" w:rsidR="00C30FB0" w:rsidRPr="008D0377" w:rsidRDefault="00C30FB0" w:rsidP="00C30FB0">
      <w:pPr>
        <w:pStyle w:val="JuristischerAbsatznummeriert"/>
      </w:pPr>
      <w:r w:rsidRPr="008D0377">
        <w:t>der nächst höheren Materialklasse zuzuordnen, für die die Materialwerte eingehalten werden, oder</w:t>
      </w:r>
    </w:p>
    <w:p w14:paraId="3DAC8474" w14:textId="77777777" w:rsidR="00C30FB0" w:rsidRPr="008D0377" w:rsidRDefault="00C30FB0" w:rsidP="00C30FB0">
      <w:pPr>
        <w:pStyle w:val="JuristischerAbsatznummeriert"/>
      </w:pPr>
      <w:r w:rsidRPr="008D0377">
        <w:t>sofern keine Materialklasse in Anlage 1 definiert ist oder eingehalten wird, vorrangig ordnungsgemäß und schadlos zu verwerten oder gemeinwohlverträglich zu beseitigen.</w:t>
      </w:r>
    </w:p>
    <w:p w14:paraId="1E622AAA" w14:textId="77777777" w:rsidR="00C30FB0" w:rsidRPr="008D0377" w:rsidRDefault="00C30FB0" w:rsidP="00C30FB0">
      <w:pPr>
        <w:pStyle w:val="JuristischerAbsatznummeriert"/>
      </w:pPr>
      <w:r w:rsidRPr="008D0377">
        <w:t>Wird im Auftrag eines Betreibers einer stationären Aufbereitungsanlage eine mobile Aufbereitungsanlage auf dem Betriebsgelände der stationären Aufbereitungsanlage in einem einheitlichen Betriebsablauf betrieben, ist für die Berechnung der festgelegten Mengen nach Anlage 4 Tabelle 1 zur Durchführung einer werkseigenen Produktionskontrolle die von der mobilen Aufbereitungsanlage hergestellte Menge eines mineralischen Ersatzbaustoffs zu der von der stationären Aufbereitungsanlage hergestellten Menge des gleichen Ersatzbaustoffs zu addieren. In diesen Fällen entfällt eine separate werkseigene Produktionskontrolle für die mobile Anlage.</w:t>
      </w:r>
    </w:p>
    <w:p w14:paraId="370B6B0A" w14:textId="77777777" w:rsidR="0077202B" w:rsidRPr="00A10B6A" w:rsidRDefault="00C30FB0" w:rsidP="00C30FB0">
      <w:pPr>
        <w:pStyle w:val="JuristischerAbsatznummeriert"/>
      </w:pPr>
      <w:r w:rsidRPr="008D0377">
        <w:t>Fällt der Zeitpunkt der Probenahme im Rahmen der werkseigenen Produktionskontrolle mit dem Zeitpunkt der Fremdüberwachung zusammen, entfällt die werkseigene Produktionskontrolle.</w:t>
      </w:r>
    </w:p>
    <w:p w14:paraId="4C1629B6" w14:textId="77777777" w:rsidR="00C30FB0" w:rsidRPr="00C30FB0" w:rsidRDefault="00C30FB0" w:rsidP="00C30FB0">
      <w:pPr>
        <w:pStyle w:val="ParagraphBezeichner"/>
      </w:pPr>
    </w:p>
    <w:p w14:paraId="094B051C" w14:textId="77777777" w:rsidR="00C30FB0" w:rsidRPr="00C30FB0" w:rsidRDefault="00C30FB0" w:rsidP="00C30FB0">
      <w:pPr>
        <w:pStyle w:val="Paragraphberschrift"/>
      </w:pPr>
      <w:bookmarkStart w:id="11" w:name="_Toc64380010"/>
      <w:r w:rsidRPr="008D0377">
        <w:t>Fremdüberwachung</w:t>
      </w:r>
      <w:bookmarkEnd w:id="11"/>
    </w:p>
    <w:p w14:paraId="1E0FBC6B" w14:textId="77777777" w:rsidR="00C30FB0" w:rsidRPr="008D0377" w:rsidRDefault="00C30FB0" w:rsidP="00C30FB0">
      <w:pPr>
        <w:pStyle w:val="JuristischerAbsatznummeriert"/>
      </w:pPr>
      <w:r w:rsidRPr="008D0377">
        <w:t xml:space="preserve">Der Betreiber der Aufbereitungsanlage hat die für die jeweiligen mineralischen Ersatzbaustoffe geltenden Materialwerte der Anlage 1 durch die Fremdüberwachung von </w:t>
      </w:r>
      <w:r w:rsidRPr="008D0377">
        <w:lastRenderedPageBreak/>
        <w:t>einer Überwachungsstelle nach dem in der Anlage 4 Tabelle 1 angegebenen Überwachungsturnus überwachen zu lassen. Abweichend von Anlage 4 Tabelle 1 beginnt bei mobilen Aufbereitungsanlagen der Überwachungsturnus mit einer Fremdüberwachung bei jedem neuen Einsatzort.</w:t>
      </w:r>
    </w:p>
    <w:p w14:paraId="5CBC2604" w14:textId="77777777" w:rsidR="00C30FB0" w:rsidRPr="008D0377" w:rsidRDefault="00C30FB0" w:rsidP="00C30FB0">
      <w:pPr>
        <w:pStyle w:val="JuristischerAbsatznummeriert"/>
      </w:pPr>
      <w:r w:rsidRPr="008D0377">
        <w:t>Der Betreiber einer Aufbereitungsanlage, in der Recycling-Baustoffe hergestellt werden, hat bei jeder zweiten Fremdüberwachung zusätzlich zu den in Absatz</w:t>
      </w:r>
      <w:r w:rsidR="008B5E0D" w:rsidRPr="008D0377">
        <w:t> </w:t>
      </w:r>
      <w:r w:rsidRPr="008D0377">
        <w:t>1 Satz</w:t>
      </w:r>
      <w:r w:rsidR="008B5E0D" w:rsidRPr="008D0377">
        <w:t> </w:t>
      </w:r>
      <w:r w:rsidRPr="008D0377">
        <w:t>1 genannten Materialwerten die Überwachungswerte nach Anlage 4 Tabelle 2.2 von einer Überwachungsstelle überwachen zu lassen. Für die Bewertung der Untersuchungsergebnisse gilt §</w:t>
      </w:r>
      <w:r w:rsidR="008B5E0D" w:rsidRPr="008D0377">
        <w:t> </w:t>
      </w:r>
      <w:r w:rsidRPr="008D0377">
        <w:t>10 entsprechend. Werden die Überwachungswerte überschritten, hat der Betreiber der Aufbereitungsanlage die Ursache zu ermitteln und Maßnahmen zur Abhilfe zu ergreifen. §</w:t>
      </w:r>
      <w:r w:rsidR="008B5E0D" w:rsidRPr="008D0377">
        <w:t> </w:t>
      </w:r>
      <w:r w:rsidRPr="008D0377">
        <w:t>6 Absatz</w:t>
      </w:r>
      <w:r w:rsidR="008B5E0D" w:rsidRPr="008D0377">
        <w:t> </w:t>
      </w:r>
      <w:r w:rsidRPr="008D0377">
        <w:t>2 Satz</w:t>
      </w:r>
      <w:r w:rsidR="008B5E0D" w:rsidRPr="008D0377">
        <w:t> </w:t>
      </w:r>
      <w:r w:rsidRPr="008D0377">
        <w:t>4 Nummer</w:t>
      </w:r>
      <w:r w:rsidR="008B5E0D" w:rsidRPr="008D0377">
        <w:t> </w:t>
      </w:r>
      <w:r w:rsidRPr="008D0377">
        <w:t xml:space="preserve">2 gilt entsprechend. </w:t>
      </w:r>
    </w:p>
    <w:p w14:paraId="390B5CCB" w14:textId="77777777" w:rsidR="00C30FB0" w:rsidRPr="008D0377" w:rsidRDefault="00C30FB0" w:rsidP="00C30FB0">
      <w:pPr>
        <w:pStyle w:val="JuristischerAbsatznummeriert"/>
      </w:pPr>
      <w:r w:rsidRPr="008D0377">
        <w:t>Zur Durchführung der Fremdüberwachung entnimmt die Überwachungsstelle nach Maßgabe des §</w:t>
      </w:r>
      <w:r w:rsidR="008B5E0D" w:rsidRPr="008D0377">
        <w:t> </w:t>
      </w:r>
      <w:r w:rsidRPr="008D0377">
        <w:t>8 Absatz</w:t>
      </w:r>
      <w:r w:rsidR="008B5E0D" w:rsidRPr="008D0377">
        <w:t> </w:t>
      </w:r>
      <w:r w:rsidRPr="008D0377">
        <w:t>2 Proben des hergestellten mineralischen Ersatzbaustoffs. Die Proben sollen in Gegenwart eines Vertreters des Betreibers der Aufbereitungsanlage entnommen werden. Die Analytik der Proben nach Maßgabe des §</w:t>
      </w:r>
      <w:r w:rsidR="008B5E0D" w:rsidRPr="008D0377">
        <w:t> </w:t>
      </w:r>
      <w:r w:rsidRPr="008D0377">
        <w:t>9 hat eine Untersuchungsstelle durchzuführen. Die Überwachungsstelle hat auch zu prüfen, ob die Annahmekontrolle den Anforderungen nach §</w:t>
      </w:r>
      <w:r w:rsidR="008B5E0D" w:rsidRPr="008D0377">
        <w:t> </w:t>
      </w:r>
      <w:r w:rsidRPr="008D0377">
        <w:t>3 und die werkseigene Produktionskontrolle den Anforderungen nach §</w:t>
      </w:r>
      <w:r w:rsidR="008B5E0D" w:rsidRPr="008D0377">
        <w:t> </w:t>
      </w:r>
      <w:r w:rsidRPr="008D0377">
        <w:t>6 entspricht.</w:t>
      </w:r>
    </w:p>
    <w:p w14:paraId="03F39C76" w14:textId="77777777" w:rsidR="00C30FB0" w:rsidRPr="008D0377" w:rsidRDefault="00C30FB0" w:rsidP="00C30FB0">
      <w:pPr>
        <w:pStyle w:val="JuristischerAbsatznummeriert"/>
      </w:pPr>
      <w:r w:rsidRPr="008D0377">
        <w:t>Über die durchgeführte Fremdüberwachung stellt die Überwachungsstelle ein Prüfzeugnis aus. Dieses Prüfzeugnis muss folgende Angaben enthalten:</w:t>
      </w:r>
    </w:p>
    <w:p w14:paraId="33C5FDA3" w14:textId="77777777" w:rsidR="00C30FB0" w:rsidRPr="008D0377" w:rsidRDefault="00C30FB0" w:rsidP="00C30FB0">
      <w:pPr>
        <w:pStyle w:val="NummerierungStufe1"/>
      </w:pPr>
      <w:r w:rsidRPr="008D0377">
        <w:t>die Durchführung der Fremdüberwachung einschließlich der Probenahme und der Analyseergebnisse der untersuchten Parameter,</w:t>
      </w:r>
    </w:p>
    <w:p w14:paraId="4DA0147B" w14:textId="77777777" w:rsidR="00C30FB0" w:rsidRPr="008D0377" w:rsidRDefault="00C30FB0" w:rsidP="00C30FB0">
      <w:pPr>
        <w:pStyle w:val="NummerierungStufe1"/>
      </w:pPr>
      <w:r w:rsidRPr="008D0377">
        <w:t>die Bewertung der werkseigenen Produktionskontrolle,</w:t>
      </w:r>
    </w:p>
    <w:p w14:paraId="113E8A5A" w14:textId="77777777" w:rsidR="00C30FB0" w:rsidRPr="008D0377" w:rsidRDefault="00C30FB0" w:rsidP="00C30FB0">
      <w:pPr>
        <w:pStyle w:val="NummerierungStufe1"/>
      </w:pPr>
      <w:r w:rsidRPr="008D0377">
        <w:t>eine abschließende Bewertung darüber, ob die Materialwerte nach Maßgabe des §</w:t>
      </w:r>
      <w:r w:rsidR="008B5E0D" w:rsidRPr="008D0377">
        <w:t> </w:t>
      </w:r>
      <w:r w:rsidRPr="008D0377">
        <w:t>10 Absatz</w:t>
      </w:r>
      <w:r w:rsidR="008B5E0D" w:rsidRPr="008D0377">
        <w:t> </w:t>
      </w:r>
      <w:r w:rsidRPr="008D0377">
        <w:t>1 und 3 eingehalten werden, und</w:t>
      </w:r>
    </w:p>
    <w:p w14:paraId="274E661B" w14:textId="77777777" w:rsidR="00C30FB0" w:rsidRPr="008D0377" w:rsidRDefault="00C30FB0" w:rsidP="00C30FB0">
      <w:pPr>
        <w:pStyle w:val="NummerierungStufe1"/>
      </w:pPr>
      <w:r w:rsidRPr="008D0377">
        <w:t>die Ermittlung der in §</w:t>
      </w:r>
      <w:r w:rsidR="008B5E0D" w:rsidRPr="008D0377">
        <w:t> </w:t>
      </w:r>
      <w:r w:rsidRPr="008D0377">
        <w:t>10 Absatz</w:t>
      </w:r>
      <w:r w:rsidR="008B5E0D" w:rsidRPr="008D0377">
        <w:t> </w:t>
      </w:r>
      <w:r w:rsidRPr="008D0377">
        <w:t>5 angegebenen Materialwerte.</w:t>
      </w:r>
    </w:p>
    <w:p w14:paraId="05AFD142" w14:textId="77777777" w:rsidR="00C30FB0" w:rsidRPr="00A10B6A" w:rsidRDefault="00C30FB0" w:rsidP="00C30FB0">
      <w:pPr>
        <w:pStyle w:val="JuristischerAbsatznummeriert"/>
        <w:tabs>
          <w:tab w:val="clear" w:pos="850"/>
        </w:tabs>
      </w:pPr>
      <w:r w:rsidRPr="008D0377">
        <w:t>Wird im Auftrag eines Betreibers einer stationären Aufbereitungsanlage eine mobile Aufbereitungsanlage auf dem Betriebsgelände der stationären Aufbereitungsanlage in einem einheitlichen Betriebsablauf betrieben, ist für die Berechnung der festgelegten Mengen nach Anlage 4 Tabelle 1 zur Durchführung einer Fremdüberwachung die von der mobilen Aufbereitungsanlage hergestellte Menge eines mineralischen Ersatzbaustoffs zu der von der stationären Aufbereitungsanlage hergestellten Menge des gleichen Ersatzbaustoffs zu addieren. In diesen Fällen entfällt für die mobile Anlage die Fremdüberwachung.</w:t>
      </w:r>
    </w:p>
    <w:p w14:paraId="44FB9456" w14:textId="77777777" w:rsidR="00C30FB0" w:rsidRPr="00C30FB0" w:rsidRDefault="00C30FB0" w:rsidP="00C30FB0">
      <w:pPr>
        <w:pStyle w:val="ParagraphBezeichner"/>
      </w:pPr>
    </w:p>
    <w:p w14:paraId="02768C66" w14:textId="77777777" w:rsidR="00C30FB0" w:rsidRPr="00C30FB0" w:rsidRDefault="00C30FB0" w:rsidP="00C30FB0">
      <w:pPr>
        <w:pStyle w:val="Paragraphberschrift"/>
      </w:pPr>
      <w:bookmarkStart w:id="12" w:name="_Toc64380012"/>
      <w:r w:rsidRPr="008D0377">
        <w:t>Probenahme und Probenaufbereitung</w:t>
      </w:r>
      <w:bookmarkEnd w:id="12"/>
    </w:p>
    <w:p w14:paraId="18F4E0C6" w14:textId="77777777" w:rsidR="00C30FB0" w:rsidRPr="008D0377" w:rsidRDefault="00C30FB0" w:rsidP="00C30FB0">
      <w:pPr>
        <w:pStyle w:val="JuristischerAbsatznummeriert"/>
      </w:pPr>
      <w:r w:rsidRPr="008D0377">
        <w:t>Die Probenahme für die Erstprüfung im Rahmen des Eignungsnachweises nach §</w:t>
      </w:r>
      <w:r w:rsidR="008B5E0D" w:rsidRPr="008D0377">
        <w:t> </w:t>
      </w:r>
      <w:r w:rsidRPr="008D0377">
        <w:t>5 Absatz</w:t>
      </w:r>
      <w:r w:rsidR="008B5E0D" w:rsidRPr="008D0377">
        <w:t> </w:t>
      </w:r>
      <w:r w:rsidRPr="008D0377">
        <w:t>2 hat nach der PN 98 - Richtlinie für das Vorgehen bei physikalischen, chemischen und biologischen Untersuchungen im Zusammenhang mit der Verwertung/Beseitigung von Abfällen, Stand Mai 2019, der Bund/Länder Arbeitsgemeinscha</w:t>
      </w:r>
      <w:r w:rsidR="00D07F8C" w:rsidRPr="008D0377">
        <w:t>ft Abfall (LAGA)</w:t>
      </w:r>
      <w:r w:rsidR="00D07F8C" w:rsidRPr="008D0377">
        <w:rPr>
          <w:rStyle w:val="Funotenzeichen"/>
        </w:rPr>
        <w:footnoteReference w:id="4"/>
      </w:r>
      <w:r w:rsidR="00D07F8C" w:rsidRPr="008D0377">
        <w:rPr>
          <w:rStyle w:val="Funotenzeichen"/>
        </w:rPr>
        <w:t>)</w:t>
      </w:r>
      <w:r w:rsidRPr="008D0377">
        <w:t xml:space="preserve">, zu erfolgen. Die Probenahme </w:t>
      </w:r>
      <w:proofErr w:type="gramStart"/>
      <w:r w:rsidRPr="008D0377">
        <w:t>ist</w:t>
      </w:r>
      <w:proofErr w:type="gramEnd"/>
      <w:r w:rsidRPr="008D0377">
        <w:t xml:space="preserve"> zu protokollieren. Die </w:t>
      </w:r>
      <w:proofErr w:type="spellStart"/>
      <w:r w:rsidRPr="008D0377">
        <w:t>Probenahmepro</w:t>
      </w:r>
      <w:r w:rsidRPr="008D0377">
        <w:lastRenderedPageBreak/>
        <w:t>tokolle</w:t>
      </w:r>
      <w:proofErr w:type="spellEnd"/>
      <w:r w:rsidRPr="008D0377">
        <w:t xml:space="preserve"> sind fünf Jahre aufzubewahren und der zuständigen Behörde auf Verlangen vorzulegen. Die Probenahme ist von Personen durchzuführen, die über die für die Durchführung der Probenahme erforderliche Fachkunde verfügen. Die Fachkunde kann durch qualifizierte Ausbildung oder langjährige praktische Erfahrung jeweils in Verbindung mit einer erfolgreichen Teilnahme an einem Probenehmerlehrgang nach LAGA PN 98 nachgewiesen werden. Die Kenntnisse zur Probenahme von Haufwerken sind mindestens alle fünf Jahre durch eine Teilnahme an geeigneten Lehrgängen zu aktualisieren. Bei der Probenahme ist aus der jeweils ersten Produktionscharge von 200 Kubikmeter bis 500 Kubikmeter des mineralischen Ersatzbaustoffs die in der Norm angegebene Zahl an Laborproben zu entnehmen. Im Labor ist aus den entnommenen Laborproben und nach vorheriger Aliquotierung und Abtrennung von entsprechenden Rückstellproben durch Mischen und Homogenisieren jeweils eine Prüfprobe mit dem Charakter einer Durchschnittsprobe zu erstellen. Die Rückstellproben sind mindestens sechs Monate aufzubewahren. Ergänzend kann die DIN 19698 Untersuchung von Feststoffen - Probenahme von festen und stichfesten Materialien - Teile 1 (2014-05) und 2 (2016-12) herangezogen werden. </w:t>
      </w:r>
    </w:p>
    <w:p w14:paraId="055FDCDC" w14:textId="77777777" w:rsidR="00C30FB0" w:rsidRPr="008D0377" w:rsidRDefault="00C30FB0" w:rsidP="00C30FB0">
      <w:pPr>
        <w:pStyle w:val="JuristischerAbsatznummeriert"/>
      </w:pPr>
      <w:r w:rsidRPr="008D0377">
        <w:t>Absatz</w:t>
      </w:r>
      <w:r w:rsidR="008B5E0D" w:rsidRPr="008D0377">
        <w:t> </w:t>
      </w:r>
      <w:r w:rsidRPr="008D0377">
        <w:t>1 gilt für die Probenahme im Rahmen der werkseigenen Produktionskontrolle und der Fremdüberwachung nach den §§</w:t>
      </w:r>
      <w:r w:rsidR="008B5E0D" w:rsidRPr="008D0377">
        <w:t> </w:t>
      </w:r>
      <w:r w:rsidRPr="008D0377">
        <w:t>6 und 7 entsprechend. Zusätzlich sind im Rahmen der Fremdüberwachung die Laborproben aus der Charge zu entnehmen, die als erste in Verkehr gebracht werden soll; im Rahmen der werkseigenen Produktionskontrolle sind die Laborproben aus der jeweils aktuellen Produktionscharge zu entnehmen. Abweichend von Absatz</w:t>
      </w:r>
      <w:r w:rsidR="008B5E0D" w:rsidRPr="008D0377">
        <w:t> </w:t>
      </w:r>
      <w:r w:rsidRPr="008D0377">
        <w:t xml:space="preserve">1 kann die Probenahme im Rahmen der werkseigenen Produktionskontrolle durch einen sachkundigen Probenehmer erfolgen, wenn eine Einweisung durch die Untersuchungsstelle erfolgt ist und ein Fachkundiger die ordnungsgemäße Probenahme bestätigt. </w:t>
      </w:r>
    </w:p>
    <w:p w14:paraId="49A88EA1" w14:textId="7BE82DE9" w:rsidR="00C30FB0" w:rsidRPr="008D0377" w:rsidRDefault="00C30FB0" w:rsidP="00C30FB0">
      <w:pPr>
        <w:pStyle w:val="JuristischerAbsatznummeriert"/>
      </w:pPr>
      <w:r w:rsidRPr="008D0377">
        <w:t>Der mineralische Ersatzbaustoff ist in der Korngrößenverteilung zu untersuchen, in der er in Verkehr gebracht werden soll. Soll der mineralische Ersatzbaustoff in mehreren Körnungen in Verkehr gebracht werden, kann abweichend von Satz</w:t>
      </w:r>
      <w:r w:rsidR="008B5E0D" w:rsidRPr="008D0377">
        <w:t> </w:t>
      </w:r>
      <w:r w:rsidRPr="008D0377">
        <w:t>1 für die Überwachungsverfahren nach §</w:t>
      </w:r>
      <w:r w:rsidR="008B5E0D" w:rsidRPr="008D0377">
        <w:t> </w:t>
      </w:r>
      <w:r w:rsidRPr="008D0377">
        <w:t>4 Absatz</w:t>
      </w:r>
      <w:r w:rsidR="008B5E0D" w:rsidRPr="008D0377">
        <w:t> </w:t>
      </w:r>
      <w:r w:rsidRPr="008D0377">
        <w:t>1 Satz</w:t>
      </w:r>
      <w:r w:rsidR="008B5E0D" w:rsidRPr="008D0377">
        <w:t> </w:t>
      </w:r>
      <w:r w:rsidRPr="008D0377">
        <w:t>2 Nummer</w:t>
      </w:r>
      <w:r w:rsidR="008B5E0D" w:rsidRPr="008D0377">
        <w:t> </w:t>
      </w:r>
      <w:r w:rsidRPr="008D0377">
        <w:t>1 bis 3 im Einvernehmen mit der Überwachungsstelle auch eine den Ersatzbaustoff charakterisierende Prüfkörnung in der Korngröße von null Millimeter bis 22,4 Millimeter mit einem Massenanteil der Kornfraktion kleiner als vier Mil</w:t>
      </w:r>
      <w:r w:rsidR="005D6233">
        <w:t>limeter von mindestens 45 Masse</w:t>
      </w:r>
      <w:r w:rsidRPr="008D0377">
        <w:t>prozent für den zu untersuchenden mineralischen Ersatzbaustoff herangezogen werden.</w:t>
      </w:r>
    </w:p>
    <w:p w14:paraId="6274A4DB" w14:textId="77777777" w:rsidR="00C30FB0" w:rsidRPr="00A10B6A" w:rsidRDefault="00C30FB0" w:rsidP="00C30FB0">
      <w:pPr>
        <w:pStyle w:val="JuristischerAbsatznummeriert"/>
        <w:tabs>
          <w:tab w:val="clear" w:pos="850"/>
        </w:tabs>
      </w:pPr>
      <w:r w:rsidRPr="008D0377">
        <w:t xml:space="preserve">Zur Bestimmung der Feststoff- und </w:t>
      </w:r>
      <w:proofErr w:type="spellStart"/>
      <w:r w:rsidRPr="008D0377">
        <w:t>Eluatkonzentrationen</w:t>
      </w:r>
      <w:proofErr w:type="spellEnd"/>
      <w:r w:rsidRPr="008D0377">
        <w:t xml:space="preserve"> ist die Probenaufbereitung nach der DIN 19747 "Untersuchung von Feststoffen - Probenvorbehandlung, -vorbereitung und -aufarbeitung für chemische, biologische und physikalische Untersuchungen", Ausgabe Juli 2009, in Verbindung mit der DIN EN 932-2 "Prüfverfahren für allgemeine Eigenschaften von Gesteinskörnungen - Teil 2: Verfahren zum Einengen von </w:t>
      </w:r>
      <w:proofErr w:type="spellStart"/>
      <w:r w:rsidRPr="008D0377">
        <w:t>Laboratoriumsproben</w:t>
      </w:r>
      <w:proofErr w:type="spellEnd"/>
      <w:r w:rsidRPr="008D0377">
        <w:t>", Ausgabe März 1999, vorzunehmen. Abweichend von Satz</w:t>
      </w:r>
      <w:r w:rsidR="008B5E0D" w:rsidRPr="008D0377">
        <w:t> </w:t>
      </w:r>
      <w:r w:rsidRPr="008D0377">
        <w:t xml:space="preserve">1 sind zur Bestimmung der </w:t>
      </w:r>
      <w:proofErr w:type="spellStart"/>
      <w:r w:rsidRPr="008D0377">
        <w:t>Eluatkonzentrationen</w:t>
      </w:r>
      <w:proofErr w:type="spellEnd"/>
      <w:r w:rsidRPr="008D0377">
        <w:t xml:space="preserve"> mineralische Ersatzbaustoffe mit einem </w:t>
      </w:r>
      <w:proofErr w:type="spellStart"/>
      <w:r w:rsidRPr="008D0377">
        <w:t>Größtkorn</w:t>
      </w:r>
      <w:proofErr w:type="spellEnd"/>
      <w:r w:rsidRPr="008D0377">
        <w:t xml:space="preserve"> von mehr als 32 Millimeter nach der DIN 19528, "Elution von Feststoffen - Perkolationsverfahren zur gemeinsamen Untersuchung des </w:t>
      </w:r>
      <w:proofErr w:type="spellStart"/>
      <w:r w:rsidRPr="008D0377">
        <w:t>Elutionsverhaltens</w:t>
      </w:r>
      <w:proofErr w:type="spellEnd"/>
      <w:r w:rsidRPr="008D0377">
        <w:t xml:space="preserve"> von anorganischen und organischen Stoffen", Ausgabe Januar 2009 oder der DIN 19529 "Elution von Feststoffen - Schüttelverfahren zur Untersuchung des </w:t>
      </w:r>
      <w:proofErr w:type="spellStart"/>
      <w:r w:rsidRPr="008D0377">
        <w:t>Elutionsverhaltens</w:t>
      </w:r>
      <w:proofErr w:type="spellEnd"/>
      <w:r w:rsidRPr="008D0377">
        <w:t xml:space="preserve"> von anorganischen Stoffen und organischen Stoffen mit einem Wasser/Feststoff-Verhältnis von 2 l/kg", Ausgabe Dezember 2015 aufzubereiten.</w:t>
      </w:r>
    </w:p>
    <w:p w14:paraId="2FE554C1" w14:textId="77777777" w:rsidR="00C30FB0" w:rsidRPr="00C30FB0" w:rsidRDefault="00C30FB0" w:rsidP="00C30FB0">
      <w:pPr>
        <w:pStyle w:val="ParagraphBezeichner"/>
      </w:pPr>
    </w:p>
    <w:p w14:paraId="0BF138DF" w14:textId="77777777" w:rsidR="00C30FB0" w:rsidRPr="00C30FB0" w:rsidRDefault="00C30FB0" w:rsidP="00C30FB0">
      <w:pPr>
        <w:pStyle w:val="Paragraphberschrift"/>
      </w:pPr>
      <w:bookmarkStart w:id="13" w:name="_Toc64380014"/>
      <w:r w:rsidRPr="008D0377">
        <w:t>Analytik der Proben</w:t>
      </w:r>
      <w:bookmarkEnd w:id="13"/>
    </w:p>
    <w:p w14:paraId="401F84CD" w14:textId="77777777" w:rsidR="00C30FB0" w:rsidRPr="008D0377" w:rsidRDefault="00C30FB0" w:rsidP="00C30FB0">
      <w:pPr>
        <w:pStyle w:val="JuristischerAbsatznummeriert"/>
      </w:pPr>
      <w:r w:rsidRPr="008D0377">
        <w:t xml:space="preserve">Nach der Probenahme und Probenaufbereitung ist zur Überwachung solcher Materialwerte der Anlage 1, die als </w:t>
      </w:r>
      <w:proofErr w:type="spellStart"/>
      <w:r w:rsidRPr="008D0377">
        <w:t>Eluatkonzentrationswert</w:t>
      </w:r>
      <w:proofErr w:type="spellEnd"/>
      <w:r w:rsidRPr="008D0377">
        <w:t xml:space="preserve"> angegeben sind, aus der jeweiligen Prüfprobe ein Eluat zur Bestimmung der Konzentrationen der relevanten anorganischen und organischen Parameter in der wässrigen Lösung herzustellen. Die Herstellung des Eluats hat entweder durch den ausführlichen Säulenversuch oder den Säulenkurztest nach der DIN 19528, Ausgabe Januar 2009, oder durch den Schüttelversuch nach der DIN 19529, Ausgabe Dezember 2015 zu erfolgen.</w:t>
      </w:r>
    </w:p>
    <w:p w14:paraId="14367262" w14:textId="77777777" w:rsidR="00C30FB0" w:rsidRPr="008D0377" w:rsidRDefault="00C30FB0" w:rsidP="00C30FB0">
      <w:pPr>
        <w:pStyle w:val="JuristischerAbsatznummeriert"/>
      </w:pPr>
      <w:r w:rsidRPr="008D0377">
        <w:t>Abweichend von Absatz</w:t>
      </w:r>
      <w:r w:rsidR="008B5E0D" w:rsidRPr="008D0377">
        <w:t> </w:t>
      </w:r>
      <w:r w:rsidRPr="008D0377">
        <w:t>1 Satz</w:t>
      </w:r>
      <w:r w:rsidR="008B5E0D" w:rsidRPr="008D0377">
        <w:t> </w:t>
      </w:r>
      <w:r w:rsidRPr="008D0377">
        <w:t xml:space="preserve">2 werden beim Eignungsnachweis die zur Überwachung der Materialwerte erforderlichen </w:t>
      </w:r>
      <w:proofErr w:type="spellStart"/>
      <w:r w:rsidRPr="008D0377">
        <w:t>Eluatkonzentrationen</w:t>
      </w:r>
      <w:proofErr w:type="spellEnd"/>
      <w:r w:rsidRPr="008D0377">
        <w:t xml:space="preserve"> bei einem Wasser-zu-Feststoffverhältnis von zwei zu eins nach der DIN 19528, Ausgabe Januar 2009, aus dem Ergebnis des ausführlichen Säulenversuchs berechnet. </w:t>
      </w:r>
    </w:p>
    <w:p w14:paraId="07CEDF24" w14:textId="77777777" w:rsidR="00C30FB0" w:rsidRPr="008D0377" w:rsidRDefault="00C30FB0" w:rsidP="00C30FB0">
      <w:pPr>
        <w:pStyle w:val="JuristischerAbsatznummeriert"/>
      </w:pPr>
      <w:r w:rsidRPr="008D0377">
        <w:t xml:space="preserve">Die beim ausführlichen Säulenversuch oder Säulenkurztest nach der DIN 19528, Ausgabe Januar 2009, schwer </w:t>
      </w:r>
      <w:proofErr w:type="spellStart"/>
      <w:r w:rsidRPr="008D0377">
        <w:t>perkolierbaren</w:t>
      </w:r>
      <w:proofErr w:type="spellEnd"/>
      <w:r w:rsidRPr="008D0377">
        <w:t xml:space="preserve"> Feststoffe werden untersucht, indem die Probe im Verhältnis von einem Masseanteil der Probe mit vier Masseanteilen Quarzsand vermischt, eingebaut und perkoliert wird. Für die Berechnung des Porenanteils für Gemische aus schwer </w:t>
      </w:r>
      <w:proofErr w:type="spellStart"/>
      <w:r w:rsidRPr="008D0377">
        <w:t>perkolierbaren</w:t>
      </w:r>
      <w:proofErr w:type="spellEnd"/>
      <w:r w:rsidRPr="008D0377">
        <w:t xml:space="preserve"> Stoffen mit Quarzsand zur nachfolgenden Berechnung der Durchflussraten und Einstellung der Kontakt- und </w:t>
      </w:r>
      <w:proofErr w:type="spellStart"/>
      <w:r w:rsidRPr="008D0377">
        <w:t>Aufsättigungszeit</w:t>
      </w:r>
      <w:proofErr w:type="spellEnd"/>
      <w:r w:rsidRPr="008D0377">
        <w:t xml:space="preserve"> werden die Masse des Gemisches aus Probenmaterial und Quarzsand und die Korndichte von reinem Quarzsand verwendet. Das Wasser-zu-Feststoffverhältnis bezieht sich auf die Trockenmasse des zu untersuchenden Probenmaterials im Gemisch. Bei nicht </w:t>
      </w:r>
      <w:proofErr w:type="spellStart"/>
      <w:r w:rsidRPr="008D0377">
        <w:t>perkolierbaren</w:t>
      </w:r>
      <w:proofErr w:type="spellEnd"/>
      <w:r w:rsidRPr="008D0377">
        <w:t xml:space="preserve"> Gießereirestsanden ist der Schüttelversuch nach DIN 19529, Ausgabe Dezember 2015, zulässig. </w:t>
      </w:r>
    </w:p>
    <w:p w14:paraId="26530AC6" w14:textId="77777777" w:rsidR="00C30FB0" w:rsidRPr="008D0377" w:rsidRDefault="00C30FB0" w:rsidP="00C30FB0">
      <w:pPr>
        <w:pStyle w:val="JuristischerAbsatznummeriert"/>
      </w:pPr>
      <w:r w:rsidRPr="008D0377">
        <w:t>Für Materialwerte der Anlage 1, die als Feststoffwerte angegeben sind, ist die gemäß §</w:t>
      </w:r>
      <w:r w:rsidR="008B5E0D" w:rsidRPr="008D0377">
        <w:t> </w:t>
      </w:r>
      <w:r w:rsidRPr="008D0377">
        <w:t>8 generierte und aufbereitete Prüfprobe zu analysieren. Abweichend von Satz</w:t>
      </w:r>
      <w:r w:rsidR="008B5E0D" w:rsidRPr="008D0377">
        <w:t> </w:t>
      </w:r>
      <w:r w:rsidRPr="008D0377">
        <w:t xml:space="preserve">1 beziehen sich die Materialwerte der Anlage 1, die als Feststoffwerte angegeben sind, bei Bodenmaterial und Baggergut mit weniger als zehn Volumenprozent mineralischen Fremdbestandteilen auf eine Probe, die aus Feinfraktionen kleiner zwei Millimeter besteht. Grobe Materialien mit einer Korngröße von mehr als zwei Millimetern, die möglicherweise Schadstoffe enthalten oder denen diese anhaften können, sind bei Feststoffuntersuchungen aus der gesamten Laborprobe zu entnehmen und gesondert der Laboruntersuchung zuzuführen. Ihr Masseanteil ist zu ermitteln und bei der Bewertung der Untersuchungsergebnisse einzubeziehen. Die Bestimmung der Materialwerte für anorganische Schadstoffe, die als Feststoffwerte angegeben sind, hat aus dem Königswasser-Extrakt nach der DIN EN 13657, "Charakterisierung von Abfällen - </w:t>
      </w:r>
      <w:proofErr w:type="spellStart"/>
      <w:r w:rsidRPr="008D0377">
        <w:t>Aufschluß</w:t>
      </w:r>
      <w:proofErr w:type="spellEnd"/>
      <w:r w:rsidRPr="008D0377">
        <w:t xml:space="preserve"> zur anschließenden Bestimmung des in Königswasser löslichen Anteils an Elementen in Abfällen", Ausgabe Januar 2003, zu erfolgen.</w:t>
      </w:r>
    </w:p>
    <w:p w14:paraId="5AD1053A" w14:textId="77777777" w:rsidR="00C30FB0" w:rsidRPr="00C30FB0" w:rsidRDefault="00C30FB0" w:rsidP="00C30FB0">
      <w:pPr>
        <w:pStyle w:val="JuristischerAbsatznummeriert"/>
      </w:pPr>
      <w:r w:rsidRPr="008D0377">
        <w:t xml:space="preserve">Die Wahl des analytischen Verfahrens zur Bestimmung der Feststoffgehalte und der </w:t>
      </w:r>
      <w:proofErr w:type="spellStart"/>
      <w:r w:rsidRPr="008D0377">
        <w:t>Eluatkonzentrationen</w:t>
      </w:r>
      <w:proofErr w:type="spellEnd"/>
      <w:r w:rsidRPr="008D0377">
        <w:t xml:space="preserve"> richtet sich nach Anlage 5.</w:t>
      </w:r>
    </w:p>
    <w:p w14:paraId="1FC25DDC" w14:textId="77777777" w:rsidR="00C30FB0" w:rsidRPr="00C30FB0" w:rsidRDefault="00C30FB0" w:rsidP="00C30FB0">
      <w:pPr>
        <w:pStyle w:val="ParagraphBezeichner"/>
      </w:pPr>
    </w:p>
    <w:p w14:paraId="7E9787F3" w14:textId="77777777" w:rsidR="00C30FB0" w:rsidRPr="00C30FB0" w:rsidRDefault="00C30FB0" w:rsidP="00C30FB0">
      <w:pPr>
        <w:pStyle w:val="Paragraphberschrift"/>
      </w:pPr>
      <w:bookmarkStart w:id="14" w:name="_Toc64380016"/>
      <w:r w:rsidRPr="008D0377">
        <w:t>Bewertung der Untersuchungsergebnisse der Güteüberwachung</w:t>
      </w:r>
      <w:bookmarkEnd w:id="14"/>
    </w:p>
    <w:p w14:paraId="16477CFA" w14:textId="7AD0EB7C" w:rsidR="00C30FB0" w:rsidRPr="008D0377" w:rsidRDefault="00C30FB0" w:rsidP="00C30FB0">
      <w:pPr>
        <w:pStyle w:val="JuristischerAbsatznummeriert"/>
      </w:pPr>
      <w:r w:rsidRPr="008D0377">
        <w:t xml:space="preserve">Im Rahmen des Eignungsnachweises werden die nach der DIN 19528, Ausgabe Januar 2009, aus dem Ergebnis des ausführlichen Säulenversuchs berechneten </w:t>
      </w:r>
      <w:proofErr w:type="spellStart"/>
      <w:r w:rsidRPr="008D0377">
        <w:t>Eluatkonzentrationen</w:t>
      </w:r>
      <w:proofErr w:type="spellEnd"/>
      <w:r w:rsidRPr="008D0377">
        <w:t xml:space="preserve"> bei einem Wasser-zu-Feststoffverhältnis von zwei zu eins mit den Materialwerten der Anlage 1 verglichen. Im Rahmen der Fremdüberwachung und der werkseigenen Produktionskontrolle werden die nach der DIN 19528, Ausgabe Januar 2009 oder </w:t>
      </w:r>
      <w:r w:rsidRPr="008D0377">
        <w:lastRenderedPageBreak/>
        <w:t xml:space="preserve">der DIN 19529, Ausgabe Dezember 2015 aus dem Eluat bei einem Wasser-zu-Feststoffverhältnis von zwei zu eins gemessenen </w:t>
      </w:r>
      <w:proofErr w:type="spellStart"/>
      <w:r w:rsidRPr="008D0377">
        <w:t>Eluatkonzentrationen</w:t>
      </w:r>
      <w:proofErr w:type="spellEnd"/>
      <w:r w:rsidRPr="008D0377">
        <w:t xml:space="preserve"> unmittelbar mit den Materialwerten der Anlage 1 verglichen.</w:t>
      </w:r>
    </w:p>
    <w:p w14:paraId="4F92347F" w14:textId="77777777" w:rsidR="00C30FB0" w:rsidRPr="008D0377" w:rsidRDefault="00C30FB0" w:rsidP="00C30FB0">
      <w:pPr>
        <w:pStyle w:val="JuristischerAbsatznummeriert"/>
      </w:pPr>
      <w:r w:rsidRPr="008D0377">
        <w:t>Die Materialwerte nach Anlage 1 mit Ausnahme der Materialwerte "pH-Wert" und "elektrische Leitfähigkeit" gelten im Rahmen des Eignungsnachweises als eingehalten, wenn die gemessene Konzentration oder der gemessene Stoffgehalt eines Parameters gleich oder geringer ist als der entsprechende Materialwert.</w:t>
      </w:r>
    </w:p>
    <w:p w14:paraId="36F4D663" w14:textId="77777777" w:rsidR="00C30FB0" w:rsidRPr="008D0377" w:rsidRDefault="00C30FB0" w:rsidP="00C30FB0">
      <w:pPr>
        <w:pStyle w:val="JuristischerAbsatznummeriert"/>
      </w:pPr>
      <w:r w:rsidRPr="008D0377">
        <w:t>Die Materialwerte nach Anlage 1 mit Ausnahme der Materialwerte "pH-Wert" und "elektrische Leitfähigkeit" gelten im Rahmen der werkseigenen Produktionskontrolle und der Fremdüberwachung als eingehalten, wenn es bei einem gemessenen Wert innerhalb einer Zeitreihe von fünf aufeinander folgenden Überprüfungen nur einmalig zu einer Überschreitung desselben Materialwertes gekommen ist. Der Messwert, der den Materialwert überschreitet, muss kleiner als der Bezugswert sein. Der Bezugswert ist die Summe aus dem jeweiligen Materialwert nach Anlage 1 und der für diesen Materialwert zulässigen Überschreitung nach Anlage 6. Soweit erst eine Fremdüberwachung durchgeführt wurde, dürfen die festgestellten Materialwerte nach Anlage 1 bei dieser nicht überschritten werden.</w:t>
      </w:r>
    </w:p>
    <w:p w14:paraId="69D15D2B" w14:textId="77777777" w:rsidR="00C30FB0" w:rsidRPr="008D0377" w:rsidRDefault="00C30FB0" w:rsidP="00C30FB0">
      <w:pPr>
        <w:pStyle w:val="JuristischerAbsatznummeriert"/>
      </w:pPr>
      <w:r w:rsidRPr="008D0377">
        <w:t>Zur Überprüfung der Einhaltung der Materialwerte von Summenparametern werden die Konzentrationen der bezeichneten Einzelsubstanzen addiert, wobei Einzelstoffkonzentrationen unterhalb der analytischen Nachweisgrenze unberücksichtigt bleiben und Konzentrationen oberhalb der Nachweisgrenze, aber unterhalb der Bestimmungsgrenze mit der Hälfte des Wertes der Bestimmungsgrenze in die Summenbildung gehen.</w:t>
      </w:r>
    </w:p>
    <w:p w14:paraId="1FF02638" w14:textId="6EB80306" w:rsidR="00C30FB0" w:rsidRPr="00A10B6A" w:rsidRDefault="00C30FB0" w:rsidP="00C30FB0">
      <w:pPr>
        <w:pStyle w:val="JuristischerAbsatznummeriert"/>
        <w:tabs>
          <w:tab w:val="clear" w:pos="850"/>
        </w:tabs>
      </w:pPr>
      <w:r w:rsidRPr="008D0377">
        <w:t xml:space="preserve">Die Materialwerte "pH-Wert" und "elektrische Leitfähigkeit" sind Orientierungswerte. Bei Abweichungen von mehr als 0,5 Einheiten beim pH-Wert oder mehr als 10 Prozent bei der elektrischen Leitfähigkeit hat der Betreiber der Aufbereitungsanlage die Ursachen zu ermitteln. Abweichend von Sätzen 1 und 2 ist der Parameter "pH-Wert" bei Gießereirestsanden ein Grenzwert. Bei frisch gebrochenem, reinem Betonmaterial können die Materialwerte "pH-Wert" und "elektrische Leitfähigkeit" unberücksichtigt bleiben, wenn die Materialwerte für Sulfat und die übrigen Materialwerte für Recycling-Baustoffe der jeweiligen Materialklasse nach Anlage </w:t>
      </w:r>
      <w:r w:rsidR="00A10B6A">
        <w:t>1 Tabelle 1 eingehalten werden.</w:t>
      </w:r>
    </w:p>
    <w:p w14:paraId="5AF705E3" w14:textId="77777777" w:rsidR="00C30FB0" w:rsidRPr="00C30FB0" w:rsidRDefault="00C30FB0" w:rsidP="00C30FB0">
      <w:pPr>
        <w:pStyle w:val="ParagraphBezeichner"/>
      </w:pPr>
    </w:p>
    <w:p w14:paraId="51A9C39C" w14:textId="77777777" w:rsidR="00C30FB0" w:rsidRPr="00C30FB0" w:rsidRDefault="00C30FB0" w:rsidP="00C30FB0">
      <w:pPr>
        <w:pStyle w:val="Paragraphberschrift"/>
      </w:pPr>
      <w:bookmarkStart w:id="15" w:name="_Toc64380018"/>
      <w:r w:rsidRPr="008D0377">
        <w:t>Klassifizierung mineralischer Ersatzbaustoffe</w:t>
      </w:r>
      <w:bookmarkEnd w:id="15"/>
    </w:p>
    <w:p w14:paraId="78C211F5" w14:textId="77777777" w:rsidR="00C30FB0" w:rsidRPr="00C30FB0" w:rsidRDefault="00C30FB0" w:rsidP="00C30FB0">
      <w:pPr>
        <w:pStyle w:val="JuristischerAbsatznichtnummeriert"/>
      </w:pPr>
      <w:r w:rsidRPr="008D0377">
        <w:t>Der Betreiber der Aufbereitungsanlage hat den mineralischen Ersatzbaustoff unverzüglich nach der Bewertung der Untersuchungsergebnisse nach §</w:t>
      </w:r>
      <w:r w:rsidR="008B5E0D" w:rsidRPr="008D0377">
        <w:t> </w:t>
      </w:r>
      <w:r w:rsidRPr="008D0377">
        <w:t>10 in eine Materialklasse einzuteilen, sofern in Anlage 1 für einen mineralischen Ersatzbaustoff mehrere Materialklassen definiert sind.</w:t>
      </w:r>
    </w:p>
    <w:p w14:paraId="4837DF7C" w14:textId="77777777" w:rsidR="00C30FB0" w:rsidRPr="00C30FB0" w:rsidRDefault="00C30FB0" w:rsidP="00C30FB0">
      <w:pPr>
        <w:pStyle w:val="ParagraphBezeichner"/>
      </w:pPr>
    </w:p>
    <w:p w14:paraId="22857F13" w14:textId="77777777" w:rsidR="00C30FB0" w:rsidRPr="00C30FB0" w:rsidRDefault="00C30FB0" w:rsidP="00C30FB0">
      <w:pPr>
        <w:pStyle w:val="Paragraphberschrift"/>
      </w:pPr>
      <w:bookmarkStart w:id="16" w:name="_Toc64380020"/>
      <w:r w:rsidRPr="008D0377">
        <w:t>Dokumentation der Güteüberwachung</w:t>
      </w:r>
      <w:bookmarkEnd w:id="16"/>
    </w:p>
    <w:p w14:paraId="7668CC5F" w14:textId="77777777" w:rsidR="00C30FB0" w:rsidRPr="008D0377" w:rsidRDefault="00C30FB0" w:rsidP="00C30FB0">
      <w:pPr>
        <w:pStyle w:val="JuristischerAbsatznummeriert"/>
      </w:pPr>
      <w:r w:rsidRPr="008D0377">
        <w:t>Der Betreiber der Aufbereitungsanlage hat die Prüfzeugnisse aus der Güteüberwachung, die Probenahme- und Probenvorbereitungsprotokolle und die Untersuchungsergebnisse nach den §§</w:t>
      </w:r>
      <w:r w:rsidR="008B5E0D" w:rsidRPr="008D0377">
        <w:t> </w:t>
      </w:r>
      <w:r w:rsidRPr="008D0377">
        <w:t>4 bis 10 sowie die Klassifizierung nach §</w:t>
      </w:r>
      <w:r w:rsidR="008B5E0D" w:rsidRPr="008D0377">
        <w:t> </w:t>
      </w:r>
      <w:r w:rsidRPr="008D0377">
        <w:t>11 unverzüglich nach Erhalt und fortlaufend zu dokumentieren und ab ihrer Ausstellung fünf Jahre aufzubewahren. Das Prüfzeugnis über den Eignungsnachweis nach §</w:t>
      </w:r>
      <w:r w:rsidR="008B5E0D" w:rsidRPr="008D0377">
        <w:t> </w:t>
      </w:r>
      <w:r w:rsidRPr="008D0377">
        <w:t>5 Absatz</w:t>
      </w:r>
      <w:r w:rsidR="008B5E0D" w:rsidRPr="008D0377">
        <w:t> </w:t>
      </w:r>
      <w:r w:rsidRPr="008D0377">
        <w:t>4 ist abweichend von Satz</w:t>
      </w:r>
      <w:r w:rsidR="008B5E0D" w:rsidRPr="008D0377">
        <w:t> </w:t>
      </w:r>
      <w:r w:rsidRPr="008D0377">
        <w:t>1 für die Dauer des Anlagenbetriebs aufzubewahren.</w:t>
      </w:r>
    </w:p>
    <w:p w14:paraId="2D755BDD" w14:textId="77777777" w:rsidR="00C30FB0" w:rsidRPr="00A10B6A" w:rsidRDefault="00C30FB0" w:rsidP="00C30FB0">
      <w:pPr>
        <w:pStyle w:val="JuristischerAbsatznummeriert"/>
        <w:tabs>
          <w:tab w:val="clear" w:pos="850"/>
        </w:tabs>
      </w:pPr>
      <w:r w:rsidRPr="008D0377">
        <w:lastRenderedPageBreak/>
        <w:t>Eine Ausfertigung des Prüfzeugnisses über den Eignungsnachweis gemäß §</w:t>
      </w:r>
      <w:r w:rsidR="008B5E0D" w:rsidRPr="008D0377">
        <w:t> </w:t>
      </w:r>
      <w:r w:rsidRPr="008D0377">
        <w:t>5 Absatz</w:t>
      </w:r>
      <w:r w:rsidR="008B5E0D" w:rsidRPr="008D0377">
        <w:t> </w:t>
      </w:r>
      <w:r w:rsidRPr="008D0377">
        <w:t>4 ist der zuständigen Behörde unverzüglich nach Erhalt schriftlich oder elektronisch vorzulegen. Die zuständige Behörde kann die Aufbereitungsanlagen, die über das Prüfzeugnis nach Satz</w:t>
      </w:r>
      <w:r w:rsidR="008B5E0D" w:rsidRPr="008D0377">
        <w:t> </w:t>
      </w:r>
      <w:r w:rsidRPr="008D0377">
        <w:t>1 verfügen, auf ihrer Internetseite bekannt geben. Die übrigen Dokumente nach Absatz</w:t>
      </w:r>
      <w:r w:rsidR="008B5E0D" w:rsidRPr="008D0377">
        <w:t> </w:t>
      </w:r>
      <w:r w:rsidRPr="008D0377">
        <w:t>1 sind auf Verlangen der zuständigen Behörde vorzulegen.</w:t>
      </w:r>
    </w:p>
    <w:p w14:paraId="0A51F0CD" w14:textId="77777777" w:rsidR="00C30FB0" w:rsidRPr="00C30FB0" w:rsidRDefault="00C30FB0" w:rsidP="00C30FB0">
      <w:pPr>
        <w:pStyle w:val="ParagraphBezeichner"/>
      </w:pPr>
    </w:p>
    <w:p w14:paraId="048F8ED7" w14:textId="77777777" w:rsidR="00C30FB0" w:rsidRPr="00C30FB0" w:rsidRDefault="00C30FB0" w:rsidP="00C30FB0">
      <w:pPr>
        <w:pStyle w:val="Paragraphberschrift"/>
      </w:pPr>
      <w:bookmarkStart w:id="17" w:name="_Toc64380022"/>
      <w:r w:rsidRPr="008D0377">
        <w:t>Maßnahmen bei in der Güteüberwachung festgestellten Mängeln</w:t>
      </w:r>
      <w:bookmarkEnd w:id="17"/>
    </w:p>
    <w:p w14:paraId="12678196" w14:textId="77777777" w:rsidR="00C30FB0" w:rsidRPr="008D0377" w:rsidRDefault="00C30FB0" w:rsidP="00C30FB0">
      <w:pPr>
        <w:pStyle w:val="JuristischerAbsatznummeriert"/>
      </w:pPr>
      <w:r w:rsidRPr="008D0377">
        <w:t>Stellt die Überwachungsstelle im Rahmen der Fremdüberwachung fest, dass die Materialwerte nicht eingehalten werden, wiederholt die Überwachungsstelle unverzüglich die Prüfung. Werden bei der Wiederholungsprüfung erneut Überschreitungen der Materialwerte festgestellt, hat die Überwachungsstelle dem Betreiber der Aufbereitungsanlage eine angemessene Frist zur Behebung der Mängel zu setzen und die zuständige Behörde hierüber schriftlich zu unterrichten. Nach Ablauf der gesetzten Frist hat die Überwachungsstelle eine erneute Prüfung durchzuführen. Sofern die Materialwerte bei dieser Prüfung überschritten werden, ist die betreffende Charge des mineralischen Ersatzbaustoffs</w:t>
      </w:r>
    </w:p>
    <w:p w14:paraId="27E302CD" w14:textId="77777777" w:rsidR="00C30FB0" w:rsidRPr="008D0377" w:rsidRDefault="00C30FB0" w:rsidP="00C30FB0">
      <w:pPr>
        <w:pStyle w:val="NummerierungStufe1"/>
      </w:pPr>
      <w:r w:rsidRPr="008D0377">
        <w:t>der nächst höheren Materialklasse zuzuordnen, für die die Materialwerte eingehalten werden, oder</w:t>
      </w:r>
    </w:p>
    <w:p w14:paraId="4AEF4BDD" w14:textId="77777777" w:rsidR="00C30FB0" w:rsidRPr="008D0377" w:rsidRDefault="00C30FB0" w:rsidP="00C30FB0">
      <w:pPr>
        <w:pStyle w:val="NummerierungStufe1"/>
      </w:pPr>
      <w:r w:rsidRPr="008D0377">
        <w:t>sofern keine Materialklasse in Anlage 1 definiert ist oder eingehalten wird, vorrangig ordnungsgemäß und schadlos zu verwerten oder gemeinwohlverträglich zu beseitigen.</w:t>
      </w:r>
    </w:p>
    <w:p w14:paraId="593E2B82" w14:textId="64A7DA01" w:rsidR="00C30FB0" w:rsidRPr="008D0377" w:rsidRDefault="00C30FB0" w:rsidP="00C30FB0">
      <w:pPr>
        <w:pStyle w:val="JuristischerAbsatznummeriert"/>
      </w:pPr>
      <w:r w:rsidRPr="008D0377">
        <w:t>Stellt die Überwachungsstelle im Rahmen der Fremdüberwachung Mängel in der Durchführung oder der Dokumentation der werkseigenen Produktionskontrolle fest, hat die Überwachungsstelle dem Betreiber der Aufbereitungsanlage eine angemessene Frist zur Behebung der Mängel zu setzen. Die Überwachungsstelle hat die zuständige Behörde hierüber schriftlich zu unterrichten. Nach Ablauf der gesetzten Frist hat die Überwachungsstelle eine erneute Überwachung durchzuführen. Stellt die Überwachungsstelle erneut Mängel fest, so stellt sie die Fremdüberwachung ein und teilt dies schriftlich unter Angabe der Gründe dem Betreiber der Aufbereitungsanlage und der zuständigen Behörde mit. Der Betreiber der Aufbereitungsanlage darf die mineralischen Ersatzbaustoffe, für die die Fremdüberwachung eingestellt ist, nur mit Zustimmung der zuständigen Behörde zum Zwecke einer ordnungsgemäßen und schadlosen Verwertung oder gemeinwohlverträglichen Beseitigung in Verkehr bringen.</w:t>
      </w:r>
    </w:p>
    <w:p w14:paraId="41180C58" w14:textId="77777777" w:rsidR="00C30FB0" w:rsidRPr="008D0377" w:rsidRDefault="00C30FB0" w:rsidP="00C30FB0">
      <w:pPr>
        <w:pStyle w:val="JuristischerAbsatznummeriert"/>
      </w:pPr>
      <w:r w:rsidRPr="008D0377">
        <w:t>Die zuständige Behörde gibt die Aufbereitungsanlagen, für die die Fremdüberwachung eingestellt ist, auf ihrer Internetseite bekannt.</w:t>
      </w:r>
    </w:p>
    <w:p w14:paraId="529E57F2" w14:textId="0EC0A9A9" w:rsidR="00C30FB0" w:rsidRPr="00A10B6A" w:rsidRDefault="00C30FB0" w:rsidP="00C30FB0">
      <w:pPr>
        <w:pStyle w:val="JuristischerAbsatznummeriert"/>
        <w:tabs>
          <w:tab w:val="clear" w:pos="850"/>
        </w:tabs>
      </w:pPr>
      <w:r w:rsidRPr="008D0377">
        <w:t>Die Überwachungsstelle darf die Fremdüberwachung erst dann wiederaufnehmen, wenn der Betreiber der Aufbereitungsanlage den Nachweis erbracht hat, dass die Voraussetzungen für die Herstellung und Lieferung von anforderungsgerechten mineralischen Ersatzbaustoffen und einer ordnungsgemäßen werkseigenen Produktionskontrolle erfüllt sind. Die Überwachungsstelle teilt dem Betreiber der Aufbereitungsanlage und der zuständigen Behörde die Wiederaufnahme der Fremdüberwachung mit. Die zuständige Behörde gibt die Wiederaufnahme der Fremdüberwachung auf ihrer Internetseite bekannt.</w:t>
      </w:r>
    </w:p>
    <w:p w14:paraId="1FA0BFCC" w14:textId="77777777" w:rsidR="00C30FB0" w:rsidRPr="00C30FB0" w:rsidRDefault="00C30FB0" w:rsidP="00C30FB0">
      <w:pPr>
        <w:pStyle w:val="UnterabschnittBezeichner"/>
      </w:pPr>
    </w:p>
    <w:p w14:paraId="74EAC9A0" w14:textId="77777777" w:rsidR="00C30FB0" w:rsidRPr="00C30FB0" w:rsidRDefault="00C30FB0" w:rsidP="00C30FB0">
      <w:pPr>
        <w:pStyle w:val="Unterabschnittberschrift"/>
      </w:pPr>
      <w:bookmarkStart w:id="18" w:name="_Toc64380024"/>
      <w:r w:rsidRPr="008D0377">
        <w:t>Untersuchung von nicht aufbereitetem Bodenmaterial und nicht aufbereitetem Baggergut</w:t>
      </w:r>
      <w:bookmarkEnd w:id="18"/>
    </w:p>
    <w:p w14:paraId="6E45FB21" w14:textId="77777777" w:rsidR="00C30FB0" w:rsidRPr="00C30FB0" w:rsidRDefault="00C30FB0" w:rsidP="00C30FB0">
      <w:pPr>
        <w:pStyle w:val="ParagraphBezeichner"/>
      </w:pPr>
    </w:p>
    <w:p w14:paraId="0DC01282" w14:textId="77777777" w:rsidR="00C30FB0" w:rsidRPr="00C30FB0" w:rsidRDefault="00C30FB0" w:rsidP="00C30FB0">
      <w:pPr>
        <w:pStyle w:val="Paragraphberschrift"/>
      </w:pPr>
      <w:bookmarkStart w:id="19" w:name="_Toc64380026"/>
      <w:r w:rsidRPr="008D0377">
        <w:t>Untersuchungspflicht</w:t>
      </w:r>
      <w:bookmarkEnd w:id="19"/>
    </w:p>
    <w:p w14:paraId="1C92BFE6" w14:textId="77777777" w:rsidR="00C30FB0" w:rsidRPr="008D0377" w:rsidRDefault="00C30FB0" w:rsidP="00C30FB0">
      <w:pPr>
        <w:pStyle w:val="JuristischerAbsatznummeriert"/>
      </w:pPr>
      <w:r w:rsidRPr="008D0377">
        <w:t>Erzeuger und Besitzer haben nicht aufbereitetes Bodenmaterial und nicht aufbereitetes Baggergut, das in ein technisches Bauwerk eingebaut werden soll, unverzüglich nach dem Aushub oder dem Abschieben auf die zur Bestimmung einer Materialklasse erforderlichen Parameter der Anlage 1 Tabelle 3 von einer Untersuchungsstelle nach Maßgabe des §</w:t>
      </w:r>
      <w:r w:rsidR="008B5E0D" w:rsidRPr="008D0377">
        <w:t> </w:t>
      </w:r>
      <w:r w:rsidRPr="008D0377">
        <w:t>8 Absatz</w:t>
      </w:r>
      <w:r w:rsidR="008B5E0D" w:rsidRPr="008D0377">
        <w:t> </w:t>
      </w:r>
      <w:r w:rsidRPr="008D0377">
        <w:t>1 Satz</w:t>
      </w:r>
      <w:r w:rsidR="008B5E0D" w:rsidRPr="008D0377">
        <w:t> </w:t>
      </w:r>
      <w:r w:rsidRPr="008D0377">
        <w:t>1 bis 6 und Satz</w:t>
      </w:r>
      <w:r w:rsidR="008B5E0D" w:rsidRPr="008D0377">
        <w:t> </w:t>
      </w:r>
      <w:r w:rsidRPr="008D0377">
        <w:t>8 und 9, §</w:t>
      </w:r>
      <w:r w:rsidR="008B5E0D" w:rsidRPr="008D0377">
        <w:t> </w:t>
      </w:r>
      <w:r w:rsidRPr="008D0377">
        <w:t>8 Absatz</w:t>
      </w:r>
      <w:r w:rsidR="008B5E0D" w:rsidRPr="008D0377">
        <w:t> </w:t>
      </w:r>
      <w:r w:rsidRPr="008D0377">
        <w:t>4 und §</w:t>
      </w:r>
      <w:r w:rsidR="008B5E0D" w:rsidRPr="008D0377">
        <w:t> </w:t>
      </w:r>
      <w:r w:rsidRPr="008D0377">
        <w:t>9 Absatz</w:t>
      </w:r>
      <w:r w:rsidR="008B5E0D" w:rsidRPr="008D0377">
        <w:t> </w:t>
      </w:r>
      <w:r w:rsidRPr="008D0377">
        <w:t>1 und Absatz</w:t>
      </w:r>
      <w:r w:rsidR="008B5E0D" w:rsidRPr="008D0377">
        <w:t> </w:t>
      </w:r>
      <w:r w:rsidRPr="008D0377">
        <w:t>3 bis 5 untersuchen zu lassen. Ergebnisse aus einer in situ-Untersuchung können verwendet werden, sofern sich die Beschaffenheit des Bodens zum Zeitpunkt des Aushubs oder des Abschiebens, insbesondere aufgrund der zwischenzeitlichen Nutzung, nicht verändert hat. Ergeben sich auf Grund von Herkunft oder bisheriger Nutzung im Rahmen der Vorerkundung Hinweise auf Belastungen mit in Anlage 1 Tabelle 4 genannten Schadstoffen, haben der Erzeuger oder Besitzer die Untersuchung zusätzlich auf diese Schadstoffe auszudehnen. Für in Anlage 1 Tabelle 4 nicht genannte Schadstoffe gilt Satz</w:t>
      </w:r>
      <w:r w:rsidR="008B5E0D" w:rsidRPr="008D0377">
        <w:t> </w:t>
      </w:r>
      <w:r w:rsidRPr="008D0377">
        <w:t>3 in Verbindung mit §</w:t>
      </w:r>
      <w:r w:rsidR="008B5E0D" w:rsidRPr="008D0377">
        <w:t> </w:t>
      </w:r>
      <w:r w:rsidRPr="008D0377">
        <w:t>16 Absatz</w:t>
      </w:r>
      <w:r w:rsidR="008B5E0D" w:rsidRPr="008D0377">
        <w:t> </w:t>
      </w:r>
      <w:r w:rsidRPr="008D0377">
        <w:t>1 Satz</w:t>
      </w:r>
      <w:r w:rsidR="008B5E0D" w:rsidRPr="008D0377">
        <w:t> </w:t>
      </w:r>
      <w:r w:rsidRPr="008D0377">
        <w:t>2 entsprechend.</w:t>
      </w:r>
    </w:p>
    <w:p w14:paraId="44D896A6" w14:textId="77777777" w:rsidR="00C30FB0" w:rsidRPr="008D0377" w:rsidRDefault="00C30FB0" w:rsidP="00C30FB0">
      <w:pPr>
        <w:pStyle w:val="JuristischerAbsatznummeriert"/>
      </w:pPr>
      <w:r w:rsidRPr="008D0377">
        <w:t xml:space="preserve">Für die Vorerkundung von Böden in-situ, die Vorerkundung von Haufwerken am </w:t>
      </w:r>
      <w:proofErr w:type="spellStart"/>
      <w:r w:rsidRPr="008D0377">
        <w:t>Anfallort</w:t>
      </w:r>
      <w:proofErr w:type="spellEnd"/>
      <w:r w:rsidRPr="008D0377">
        <w:t xml:space="preserve"> sowie die Probenahme von Böden in-situ gilt Abschnitt 4 der Bundes-Bodenschutz- und Altlastenverordnung</w:t>
      </w:r>
    </w:p>
    <w:p w14:paraId="44182BB5" w14:textId="77777777" w:rsidR="00C30FB0" w:rsidRPr="00A10B6A" w:rsidRDefault="00C30FB0" w:rsidP="00C30FB0">
      <w:pPr>
        <w:pStyle w:val="JuristischerAbsatznummeriert"/>
        <w:tabs>
          <w:tab w:val="clear" w:pos="850"/>
        </w:tabs>
      </w:pPr>
      <w:r w:rsidRPr="008D0377">
        <w:t>In den Fällen des §</w:t>
      </w:r>
      <w:r w:rsidR="008B5E0D" w:rsidRPr="008D0377">
        <w:t> </w:t>
      </w:r>
      <w:r w:rsidRPr="008D0377">
        <w:t>6 Absatz</w:t>
      </w:r>
      <w:r w:rsidR="008B5E0D" w:rsidRPr="008D0377">
        <w:t> </w:t>
      </w:r>
      <w:r w:rsidRPr="008D0377">
        <w:t>6 Nummer</w:t>
      </w:r>
      <w:r w:rsidR="008B5E0D" w:rsidRPr="008D0377">
        <w:t> </w:t>
      </w:r>
      <w:r w:rsidRPr="008D0377">
        <w:t>1 und 2 der Bundes-Bodenschutz- und Altlastenverordnung kann von einer Untersuchung abgesehen werden.</w:t>
      </w:r>
    </w:p>
    <w:p w14:paraId="6E518A94" w14:textId="77777777" w:rsidR="00C30FB0" w:rsidRPr="00C30FB0" w:rsidRDefault="00C30FB0" w:rsidP="00C30FB0">
      <w:pPr>
        <w:pStyle w:val="ParagraphBezeichner"/>
      </w:pPr>
    </w:p>
    <w:p w14:paraId="493E4913" w14:textId="77777777" w:rsidR="00C30FB0" w:rsidRPr="00C30FB0" w:rsidRDefault="00C30FB0" w:rsidP="00C30FB0">
      <w:pPr>
        <w:pStyle w:val="Paragraphberschrift"/>
      </w:pPr>
      <w:bookmarkStart w:id="20" w:name="_Toc64380028"/>
      <w:r w:rsidRPr="008D0377">
        <w:t>Bewertung der Untersuchungsergebnisse</w:t>
      </w:r>
      <w:bookmarkEnd w:id="20"/>
    </w:p>
    <w:p w14:paraId="75863ABC" w14:textId="77777777" w:rsidR="00C30FB0" w:rsidRPr="00C30FB0" w:rsidRDefault="00C30FB0" w:rsidP="00C30FB0">
      <w:pPr>
        <w:pStyle w:val="JuristischerAbsatznichtnummeriert"/>
      </w:pPr>
      <w:r w:rsidRPr="008D0377">
        <w:t>Die Materialwerte nach Anlage 1 Tabelle 3 und 4 mit Ausnahme der Materialwerte „pH-Wert“ und „elektrische Leitfähigkeit“ gelten als eingehalten, wenn die im Rahmen der Untersuchung gemessene Konzentration oder der Stoffgehalt eines Parameters gleich oder geringer ist als der entsprechende Materialwert. §</w:t>
      </w:r>
      <w:r w:rsidR="008B5E0D" w:rsidRPr="008D0377">
        <w:t> </w:t>
      </w:r>
      <w:r w:rsidRPr="008D0377">
        <w:t>10 Absätze 4 und 5 sind entsprechend anzuwenden.</w:t>
      </w:r>
    </w:p>
    <w:p w14:paraId="39884086" w14:textId="77777777" w:rsidR="00C30FB0" w:rsidRPr="00C30FB0" w:rsidRDefault="00C30FB0" w:rsidP="00C30FB0">
      <w:pPr>
        <w:pStyle w:val="ParagraphBezeichner"/>
      </w:pPr>
    </w:p>
    <w:p w14:paraId="3B2022D5" w14:textId="77777777" w:rsidR="00C30FB0" w:rsidRPr="00C30FB0" w:rsidRDefault="00C30FB0" w:rsidP="00C30FB0">
      <w:pPr>
        <w:pStyle w:val="Paragraphberschrift"/>
      </w:pPr>
      <w:bookmarkStart w:id="21" w:name="_Toc64380030"/>
      <w:r w:rsidRPr="008D0377">
        <w:t>Klassifizierung von Bodenmaterial und Baggergut</w:t>
      </w:r>
      <w:bookmarkEnd w:id="21"/>
    </w:p>
    <w:p w14:paraId="5AE50A29" w14:textId="77777777" w:rsidR="00C30FB0" w:rsidRPr="008D0377" w:rsidRDefault="00C30FB0" w:rsidP="00C30FB0">
      <w:pPr>
        <w:pStyle w:val="JuristischerAbsatznummeriert"/>
      </w:pPr>
      <w:r w:rsidRPr="008D0377">
        <w:t>Der Erzeuger oder der Besitzer, der die Untersuchung nach §</w:t>
      </w:r>
      <w:r w:rsidR="008B5E0D" w:rsidRPr="008D0377">
        <w:t> </w:t>
      </w:r>
      <w:r w:rsidRPr="008D0377">
        <w:t>14 durchgeführt hat, hat nicht aufbereitetes Bodenmaterial und nicht aufbereitetes Baggergut unverzüglich nach der Bewertung der Untersuchungsergebnisse in eine der in Anlage 1 Tabelle 3 bezeichneten Materialklassen einzuteilen. Wurde die Untersuchung nach §</w:t>
      </w:r>
      <w:r w:rsidR="008B5E0D" w:rsidRPr="008D0377">
        <w:t> </w:t>
      </w:r>
      <w:r w:rsidRPr="008D0377">
        <w:t>14 Absatz</w:t>
      </w:r>
      <w:r w:rsidR="008B5E0D" w:rsidRPr="008D0377">
        <w:t> </w:t>
      </w:r>
      <w:r w:rsidRPr="008D0377">
        <w:t>1 Satz</w:t>
      </w:r>
      <w:r w:rsidR="008B5E0D" w:rsidRPr="008D0377">
        <w:t> </w:t>
      </w:r>
      <w:r w:rsidRPr="008D0377">
        <w:t>3 auf nicht in Anlage 1 Tabelle 4 genannte Parameter ausgedehnt, legt ein Sachverständiger im Sinne des §</w:t>
      </w:r>
      <w:r w:rsidR="008B5E0D" w:rsidRPr="008D0377">
        <w:t> </w:t>
      </w:r>
      <w:r w:rsidRPr="008D0377">
        <w:t xml:space="preserve">18 des Bundes-Bodenschutzgesetzes oder eine Person mit vergleichbarer Sachkunde, mit Zustimmung der zuständigen Behörde, die jeweilige Materialklasse auf Grund der Untersuchungsergebnisse fest. </w:t>
      </w:r>
    </w:p>
    <w:p w14:paraId="1FC3BD5C" w14:textId="77777777" w:rsidR="00C30FB0" w:rsidRPr="00A10B6A" w:rsidRDefault="00C30FB0" w:rsidP="00C30FB0">
      <w:pPr>
        <w:pStyle w:val="JuristischerAbsatznummeriert"/>
        <w:tabs>
          <w:tab w:val="clear" w:pos="850"/>
        </w:tabs>
      </w:pPr>
      <w:r w:rsidRPr="008D0377">
        <w:lastRenderedPageBreak/>
        <w:t>In den Fällen des §</w:t>
      </w:r>
      <w:r w:rsidR="008B5E0D" w:rsidRPr="008D0377">
        <w:t> </w:t>
      </w:r>
      <w:r w:rsidRPr="008D0377">
        <w:t>6 Absatz</w:t>
      </w:r>
      <w:r w:rsidR="008B5E0D" w:rsidRPr="008D0377">
        <w:t> </w:t>
      </w:r>
      <w:r w:rsidRPr="008D0377">
        <w:t>6 Nummern 1 und 2 der Bundes-Bodenschutz- und Altlastenverordnung ist das Bodenmaterial als BM-0 und das Baggergut als BG-0 zu klassifizieren.</w:t>
      </w:r>
    </w:p>
    <w:p w14:paraId="33442C91" w14:textId="77777777" w:rsidR="00C30FB0" w:rsidRPr="00C30FB0" w:rsidRDefault="00C30FB0" w:rsidP="00C30FB0">
      <w:pPr>
        <w:pStyle w:val="ParagraphBezeichner"/>
      </w:pPr>
    </w:p>
    <w:p w14:paraId="596E8EB7" w14:textId="77777777" w:rsidR="00C30FB0" w:rsidRPr="00C30FB0" w:rsidRDefault="00C30FB0" w:rsidP="00C30FB0">
      <w:pPr>
        <w:pStyle w:val="Paragraphberschrift"/>
      </w:pPr>
      <w:bookmarkStart w:id="22" w:name="_Toc64380032"/>
      <w:r w:rsidRPr="008D0377">
        <w:t>Dokumentation</w:t>
      </w:r>
      <w:bookmarkEnd w:id="22"/>
    </w:p>
    <w:p w14:paraId="0165ECBC" w14:textId="77777777" w:rsidR="00C30FB0" w:rsidRPr="008D0377" w:rsidRDefault="00C30FB0" w:rsidP="00C30FB0">
      <w:pPr>
        <w:pStyle w:val="JuristischerAbsatznummeriert"/>
      </w:pPr>
      <w:r w:rsidRPr="008D0377">
        <w:t>Der Erzeuger oder der Besitzer, der die Untersuchung nach §</w:t>
      </w:r>
      <w:r w:rsidR="008B5E0D" w:rsidRPr="008D0377">
        <w:t> </w:t>
      </w:r>
      <w:r w:rsidRPr="008D0377">
        <w:t xml:space="preserve">14 durchgeführt hat, hat das </w:t>
      </w:r>
      <w:proofErr w:type="spellStart"/>
      <w:r w:rsidRPr="008D0377">
        <w:t>Probenahmeprotokoll</w:t>
      </w:r>
      <w:proofErr w:type="spellEnd"/>
      <w:r w:rsidRPr="008D0377">
        <w:t>, die Untersuchungsergebnisse und die Bewertung der Untersuchungsergebnisse sowie die Klassifizierung unverzüglich zu dokumentieren und ab Ausstellung der Dokumente fünf Jahre aufzubewahren.</w:t>
      </w:r>
    </w:p>
    <w:p w14:paraId="3E378B24" w14:textId="77777777" w:rsidR="00C30FB0" w:rsidRPr="008D0377" w:rsidRDefault="00C30FB0" w:rsidP="00C30FB0">
      <w:pPr>
        <w:pStyle w:val="JuristischerAbsatznummeriert"/>
      </w:pPr>
      <w:r w:rsidRPr="008D0377">
        <w:t>Im Fall des §</w:t>
      </w:r>
      <w:r w:rsidR="008B5E0D" w:rsidRPr="008D0377">
        <w:t> </w:t>
      </w:r>
      <w:r w:rsidRPr="008D0377">
        <w:t>14 Absatz</w:t>
      </w:r>
      <w:r w:rsidR="008B5E0D" w:rsidRPr="008D0377">
        <w:t> </w:t>
      </w:r>
      <w:r w:rsidRPr="008D0377">
        <w:t>3 sind die Voraussetzungen des Absehens von einer analytischen Untersuchung und die Klassifizierung unverzüglich zu dokumentieren und ab Ausstellung der Dokumente fünf Jahre aufzubewahren.</w:t>
      </w:r>
    </w:p>
    <w:p w14:paraId="73E1A94F" w14:textId="77777777" w:rsidR="00C30FB0" w:rsidRPr="00A10B6A" w:rsidRDefault="00C30FB0" w:rsidP="00C30FB0">
      <w:pPr>
        <w:pStyle w:val="JuristischerAbsatznummeriert"/>
        <w:tabs>
          <w:tab w:val="clear" w:pos="850"/>
        </w:tabs>
      </w:pPr>
      <w:r w:rsidRPr="008D0377">
        <w:t>Die Dokumente sind auf Verlangen der zuständigen Behörde vorzulegen.</w:t>
      </w:r>
    </w:p>
    <w:p w14:paraId="33294113" w14:textId="77777777" w:rsidR="00C30FB0" w:rsidRPr="00C30FB0" w:rsidRDefault="00C30FB0" w:rsidP="00C30FB0">
      <w:pPr>
        <w:pStyle w:val="ParagraphBezeichner"/>
      </w:pPr>
    </w:p>
    <w:p w14:paraId="50B235AA" w14:textId="77777777" w:rsidR="00C30FB0" w:rsidRPr="00C30FB0" w:rsidRDefault="00C30FB0" w:rsidP="00C30FB0">
      <w:pPr>
        <w:pStyle w:val="Paragraphberschrift"/>
      </w:pPr>
      <w:bookmarkStart w:id="23" w:name="_Toc64380034"/>
      <w:r w:rsidRPr="008D0377">
        <w:t>Zwischenlager</w:t>
      </w:r>
      <w:bookmarkEnd w:id="23"/>
    </w:p>
    <w:p w14:paraId="5FC1AAB3" w14:textId="77777777" w:rsidR="00C30FB0" w:rsidRPr="008D0377" w:rsidRDefault="00C30FB0" w:rsidP="00C30FB0">
      <w:pPr>
        <w:pStyle w:val="JuristischerAbsatznummeriert"/>
      </w:pPr>
      <w:r w:rsidRPr="008D0377">
        <w:t>Wenn nicht aufbereitetes Bodenmaterial oder nicht aufbereitetes Baggergut in ein Zwischenlager befördert wird, entfallen die Pflichten des Erzeugers und Besitzers nach den §§</w:t>
      </w:r>
      <w:r w:rsidR="008B5E0D" w:rsidRPr="008D0377">
        <w:t> </w:t>
      </w:r>
      <w:r w:rsidRPr="008D0377">
        <w:t xml:space="preserve">14 bis 17. </w:t>
      </w:r>
    </w:p>
    <w:p w14:paraId="23BE7D1B" w14:textId="77777777" w:rsidR="00C30FB0" w:rsidRPr="008D0377" w:rsidRDefault="00C30FB0" w:rsidP="00C30FB0">
      <w:pPr>
        <w:pStyle w:val="JuristischerAbsatznummeriert"/>
      </w:pPr>
      <w:r w:rsidRPr="008D0377">
        <w:t>Der Betreiber eines Zwischenlagers ist verpflichtet, eine Annahmekontrolle entsprechend §</w:t>
      </w:r>
      <w:r w:rsidR="008B5E0D" w:rsidRPr="008D0377">
        <w:t> </w:t>
      </w:r>
      <w:r w:rsidRPr="008D0377">
        <w:t>3 durchzuführen, mit der Maßgabe, dass die Eluat- und Feststoffwerte für Bodenmaterial anzuwenden sind.</w:t>
      </w:r>
    </w:p>
    <w:p w14:paraId="5DD233BF" w14:textId="77777777" w:rsidR="00C30FB0" w:rsidRPr="00A10B6A" w:rsidRDefault="00C30FB0" w:rsidP="00C30FB0">
      <w:pPr>
        <w:pStyle w:val="JuristischerAbsatznummeriert"/>
        <w:tabs>
          <w:tab w:val="clear" w:pos="850"/>
        </w:tabs>
      </w:pPr>
      <w:r w:rsidRPr="008D0377">
        <w:t>Der Betreiber eines Zwischenlagers hat Bodenmaterial oder Baggergut, das in Verkehr gebracht werden soll, von einer Untersuchungsstelle untersuchen zu lassen. Hierbei gelten für die Pflichten und Anforderungen an die Probenahme und Untersuchung §</w:t>
      </w:r>
      <w:r w:rsidR="008B5E0D" w:rsidRPr="008D0377">
        <w:t> </w:t>
      </w:r>
      <w:r w:rsidRPr="008D0377">
        <w:t>8 Absatz</w:t>
      </w:r>
      <w:r w:rsidR="008B5E0D" w:rsidRPr="008D0377">
        <w:t> </w:t>
      </w:r>
      <w:r w:rsidRPr="008D0377">
        <w:t>1 Satz</w:t>
      </w:r>
      <w:r w:rsidR="008B5E0D" w:rsidRPr="008D0377">
        <w:t> </w:t>
      </w:r>
      <w:r w:rsidRPr="008D0377">
        <w:t>1 bis 6 und Satz</w:t>
      </w:r>
      <w:r w:rsidR="008B5E0D" w:rsidRPr="008D0377">
        <w:t> </w:t>
      </w:r>
      <w:r w:rsidRPr="008D0377">
        <w:t>8 und 9, §</w:t>
      </w:r>
      <w:r w:rsidR="008B5E0D" w:rsidRPr="008D0377">
        <w:t> </w:t>
      </w:r>
      <w:r w:rsidRPr="008D0377">
        <w:t>8 Absatz</w:t>
      </w:r>
      <w:r w:rsidR="008B5E0D" w:rsidRPr="008D0377">
        <w:t> </w:t>
      </w:r>
      <w:r w:rsidRPr="008D0377">
        <w:t>4 und §</w:t>
      </w:r>
      <w:r w:rsidR="008B5E0D" w:rsidRPr="008D0377">
        <w:t> </w:t>
      </w:r>
      <w:r w:rsidRPr="008D0377">
        <w:t>9 Absatz</w:t>
      </w:r>
      <w:r w:rsidR="008B5E0D" w:rsidRPr="008D0377">
        <w:t> </w:t>
      </w:r>
      <w:r w:rsidRPr="008D0377">
        <w:t>1 und 3 bis 5, an die Bewertung der Untersuchungsergebnisse, an die Klassifizierung sowie an die Dokumentation §</w:t>
      </w:r>
      <w:r w:rsidR="008B5E0D" w:rsidRPr="008D0377">
        <w:t> </w:t>
      </w:r>
      <w:r w:rsidRPr="008D0377">
        <w:t>14 Absatz</w:t>
      </w:r>
      <w:r w:rsidR="008B5E0D" w:rsidRPr="008D0377">
        <w:t> </w:t>
      </w:r>
      <w:r w:rsidRPr="008D0377">
        <w:t>1, §§</w:t>
      </w:r>
      <w:r w:rsidR="008B5E0D" w:rsidRPr="008D0377">
        <w:t> </w:t>
      </w:r>
      <w:r w:rsidRPr="008D0377">
        <w:t>15, 16 Absatz</w:t>
      </w:r>
      <w:r w:rsidR="008B5E0D" w:rsidRPr="008D0377">
        <w:t> </w:t>
      </w:r>
      <w:r w:rsidRPr="008D0377">
        <w:t>1 und §</w:t>
      </w:r>
      <w:r w:rsidR="008B5E0D" w:rsidRPr="008D0377">
        <w:t> </w:t>
      </w:r>
      <w:r w:rsidRPr="008D0377">
        <w:t>17 entsprechend. Die Menge des jeweils auf Grundlage einer Untersuchung in Verkehr gebrachten Bodenmaterials oder Baggerguts darf 3</w:t>
      </w:r>
      <w:r w:rsidR="008B5E0D" w:rsidRPr="008D0377">
        <w:t> </w:t>
      </w:r>
      <w:r w:rsidRPr="008D0377">
        <w:t>000 Kubikmeter nicht überschreiten.</w:t>
      </w:r>
    </w:p>
    <w:p w14:paraId="64181667" w14:textId="77777777" w:rsidR="00C30FB0" w:rsidRPr="00C30FB0" w:rsidRDefault="00C30FB0" w:rsidP="00C30FB0">
      <w:pPr>
        <w:pStyle w:val="AbschnittBezeichner"/>
      </w:pPr>
    </w:p>
    <w:p w14:paraId="0B205C77" w14:textId="77777777" w:rsidR="00C30FB0" w:rsidRPr="008D0377" w:rsidRDefault="00C30FB0" w:rsidP="00C30FB0">
      <w:pPr>
        <w:pStyle w:val="Abschnittberschrift"/>
      </w:pPr>
      <w:bookmarkStart w:id="24" w:name="_Toc64380036"/>
      <w:r w:rsidRPr="008D0377">
        <w:t>Einbau von mineralischen Ersatzbaustoffen</w:t>
      </w:r>
      <w:bookmarkEnd w:id="24"/>
    </w:p>
    <w:p w14:paraId="7387FC0C" w14:textId="77777777" w:rsidR="00C30FB0" w:rsidRPr="00C30FB0" w:rsidRDefault="00C30FB0" w:rsidP="00C30FB0">
      <w:pPr>
        <w:pStyle w:val="ParagraphBezeichner"/>
      </w:pPr>
    </w:p>
    <w:p w14:paraId="42DD48C1" w14:textId="77777777" w:rsidR="00C30FB0" w:rsidRPr="00C30FB0" w:rsidRDefault="00C30FB0" w:rsidP="00C30FB0">
      <w:pPr>
        <w:pStyle w:val="Paragraphberschrift"/>
      </w:pPr>
      <w:bookmarkStart w:id="25" w:name="_Toc64380038"/>
      <w:r w:rsidRPr="008D0377">
        <w:t>Grundsätzliche Anforderungen</w:t>
      </w:r>
      <w:bookmarkEnd w:id="25"/>
    </w:p>
    <w:p w14:paraId="3E3CD946" w14:textId="77777777" w:rsidR="00C30FB0" w:rsidRPr="008D0377" w:rsidRDefault="00C30FB0" w:rsidP="00C30FB0">
      <w:pPr>
        <w:pStyle w:val="JuristischerAbsatznummeriert"/>
      </w:pPr>
      <w:r w:rsidRPr="008D0377">
        <w:t>Der Bauherr oder der Verwender dürfen mineralische Ersatzbaustoffe oder Gemische in technische Bauwerke nur einbauen, wenn nachteilige Veränderungen der Grundwasserbeschaffenheit und schädliche Bodenveränderungen nach Maßgabe der Absätze 2 und 3 nicht zu besorgen sind.</w:t>
      </w:r>
    </w:p>
    <w:p w14:paraId="3F681F02" w14:textId="77777777" w:rsidR="00C30FB0" w:rsidRPr="008D0377" w:rsidRDefault="00C30FB0" w:rsidP="00C30FB0">
      <w:pPr>
        <w:pStyle w:val="JuristischerAbsatznummeriert"/>
      </w:pPr>
      <w:r w:rsidRPr="008D0377">
        <w:lastRenderedPageBreak/>
        <w:t>Bei mineralischen Ersatzbaustoffen sind nachteilige Veränderungen der Grundwasserbeschaffenheit und schädliche Bodenveränderungen nicht zu besorgen, wenn die einzubauenden mineralischen Ersatzbaustoffe die Anforderungen nach Abschnitt 3 Unterabschnitt 1 oder 2 einhalten und</w:t>
      </w:r>
    </w:p>
    <w:p w14:paraId="187A5BA2" w14:textId="77777777" w:rsidR="00C30FB0" w:rsidRPr="008D0377" w:rsidRDefault="00C30FB0" w:rsidP="00C30FB0">
      <w:pPr>
        <w:pStyle w:val="NummerierungStufe1"/>
      </w:pPr>
      <w:r w:rsidRPr="008D0377">
        <w:t>der Einbau der mineralischen Ersatzbaustoffe nur in den für sie jeweils zulässigen Einbauweisen nach Anlage 2 oder 3 erfolgt oder</w:t>
      </w:r>
    </w:p>
    <w:p w14:paraId="291A0967" w14:textId="77777777" w:rsidR="00C30FB0" w:rsidRPr="008D0377" w:rsidRDefault="00C30FB0" w:rsidP="00C30FB0">
      <w:pPr>
        <w:pStyle w:val="NummerierungStufe1"/>
      </w:pPr>
      <w:r w:rsidRPr="008D0377">
        <w:t>Bodenmaterial der Klasse 0 - BM-0 - oder Baggergut der Klasse 0 - BG-0 - eingebaut wird.</w:t>
      </w:r>
    </w:p>
    <w:p w14:paraId="66E78D0E" w14:textId="77777777" w:rsidR="00C30FB0" w:rsidRPr="008D0377" w:rsidRDefault="00C30FB0" w:rsidP="00C30FB0">
      <w:pPr>
        <w:pStyle w:val="JuristischerAbsatznummeriert"/>
      </w:pPr>
      <w:r w:rsidRPr="008D0377">
        <w:t>Bei Gemischen sind nachteilige Veränderungen der Grundwasserbeschaffenheit und schädliche Bodenveränderungen nicht zu besorgen, wenn</w:t>
      </w:r>
    </w:p>
    <w:p w14:paraId="5C1B4DB7" w14:textId="77777777" w:rsidR="00C30FB0" w:rsidRPr="008D0377" w:rsidRDefault="00C30FB0" w:rsidP="00C30FB0">
      <w:pPr>
        <w:pStyle w:val="NummerierungStufe1"/>
      </w:pPr>
      <w:r w:rsidRPr="008D0377">
        <w:t xml:space="preserve">alle im Gemisch enthaltenen mineralischen Ersatzbaustoffe jeweils die Anforderungen nach Abschnitt 3 Unterabschnitt 1 oder 2 einhalten und </w:t>
      </w:r>
    </w:p>
    <w:p w14:paraId="1E815A72" w14:textId="77777777" w:rsidR="00C30FB0" w:rsidRPr="008D0377" w:rsidRDefault="00C30FB0" w:rsidP="00C30FB0">
      <w:pPr>
        <w:pStyle w:val="NummerierungStufe1"/>
      </w:pPr>
      <w:r w:rsidRPr="008D0377">
        <w:t>unbeschadet des Absatzes 2 Nummer</w:t>
      </w:r>
      <w:r w:rsidR="008B5E0D" w:rsidRPr="008D0377">
        <w:t> </w:t>
      </w:r>
      <w:r w:rsidRPr="008D0377">
        <w:t xml:space="preserve">2 der Einbau nur in einer Einbauweise erfolgt, die für jeden einzelnen mineralischen Ersatzbaustoff nach Anlage 2 oder 3 zulässig ist. </w:t>
      </w:r>
    </w:p>
    <w:p w14:paraId="63778FA5" w14:textId="77777777" w:rsidR="00C30FB0" w:rsidRPr="008D0377" w:rsidRDefault="00C30FB0" w:rsidP="00C30FB0">
      <w:pPr>
        <w:pStyle w:val="JuristischerAbsatznummeriert"/>
      </w:pPr>
      <w:r w:rsidRPr="008D0377">
        <w:t>Der Einbau von mineralischen Ersatzbaustoffen oder Gemischen in technische Bauwerke darf nur in dem für den jeweiligen bautechnischen Zweck erforderlichen Umfang erfolgen.</w:t>
      </w:r>
    </w:p>
    <w:p w14:paraId="7CCE8AAC" w14:textId="27B287C4" w:rsidR="00C30FB0" w:rsidRPr="008D0377" w:rsidRDefault="00C30FB0" w:rsidP="00C30FB0">
      <w:pPr>
        <w:pStyle w:val="JuristischerAbsatznummeriert"/>
      </w:pPr>
      <w:r w:rsidRPr="008D0377">
        <w:t>Gemische dürfen nur zur Verbesserung der bautechnischen Eigenschaften hergestellt werden.</w:t>
      </w:r>
    </w:p>
    <w:p w14:paraId="1AAAF19B" w14:textId="77777777" w:rsidR="00C30FB0" w:rsidRPr="008D0377" w:rsidRDefault="00C30FB0" w:rsidP="00C30FB0">
      <w:pPr>
        <w:pStyle w:val="JuristischerAbsatznummeriert"/>
      </w:pPr>
      <w:r w:rsidRPr="008D0377">
        <w:t>In Wasserschutzgebieten der Zone I sowie in Heilquellenschutzgebieten der Zone I ist der Einbau von mineralischen Ersatzbaustoffen oder Gemischen in technische Bauwerke unzulässig. In Wasserschutzgebieten der Zone II sowie in Heilquellenschutzgebieten der Zone II dürfen nur die nachstehenden mineralischen Ersatzbaustoffe in technische Bauwerke eingebaut werden:</w:t>
      </w:r>
    </w:p>
    <w:p w14:paraId="2B038A5F" w14:textId="77777777" w:rsidR="00C30FB0" w:rsidRPr="008D0377" w:rsidRDefault="00C30FB0" w:rsidP="00C30FB0">
      <w:pPr>
        <w:pStyle w:val="NummerierungStufe1"/>
      </w:pPr>
      <w:r w:rsidRPr="008D0377">
        <w:t>Bodenmaterial der Klasse 0 - BM-0 -,</w:t>
      </w:r>
    </w:p>
    <w:p w14:paraId="41E027CB" w14:textId="77777777" w:rsidR="00C30FB0" w:rsidRPr="008D0377" w:rsidRDefault="00C30FB0" w:rsidP="00C30FB0">
      <w:pPr>
        <w:pStyle w:val="NummerierungStufe1"/>
      </w:pPr>
      <w:r w:rsidRPr="008D0377">
        <w:t>Baggergut der Klasse 0 - BG-0 -,</w:t>
      </w:r>
    </w:p>
    <w:p w14:paraId="4F6362F3" w14:textId="77777777" w:rsidR="00C30FB0" w:rsidRPr="008D0377" w:rsidRDefault="00C30FB0" w:rsidP="00C30FB0">
      <w:pPr>
        <w:pStyle w:val="NummerierungStufe1"/>
      </w:pPr>
      <w:r w:rsidRPr="008D0377">
        <w:t>Schmelzkammergranulat - SKG -,</w:t>
      </w:r>
    </w:p>
    <w:p w14:paraId="32D7D3B4" w14:textId="77777777" w:rsidR="00C30FB0" w:rsidRPr="008D0377" w:rsidRDefault="00C30FB0" w:rsidP="00C30FB0">
      <w:pPr>
        <w:pStyle w:val="NummerierungStufe1"/>
      </w:pPr>
      <w:r w:rsidRPr="008D0377">
        <w:t xml:space="preserve">Gleisschotter der Klasse 0 - GS-0 -sowie </w:t>
      </w:r>
    </w:p>
    <w:p w14:paraId="1CE1688D" w14:textId="77777777" w:rsidR="00C30FB0" w:rsidRPr="008D0377" w:rsidRDefault="00C30FB0" w:rsidP="00C30FB0">
      <w:pPr>
        <w:pStyle w:val="NummerierungStufe1"/>
      </w:pPr>
      <w:r w:rsidRPr="008D0377">
        <w:t>Gemische mit den unter Nummer</w:t>
      </w:r>
      <w:r w:rsidR="008B5E0D" w:rsidRPr="008D0377">
        <w:t> </w:t>
      </w:r>
      <w:r w:rsidRPr="008D0377">
        <w:t>1 bis 4 genannten mineralischen Ersatzbaustoffen.</w:t>
      </w:r>
    </w:p>
    <w:p w14:paraId="0E7499A1" w14:textId="77777777" w:rsidR="00C30FB0" w:rsidRPr="00C30FB0" w:rsidRDefault="00C30FB0" w:rsidP="00C30FB0">
      <w:pPr>
        <w:pStyle w:val="JuristischerAbsatzFolgeabsatz"/>
      </w:pPr>
      <w:r w:rsidRPr="008D0377">
        <w:t>Ist in einem Wasserschutzgebiet keine Zone II ausgewiesen, gelten in einem Radius von 1000 Metern um die Wasserfassung die Regelungen des Satzes 2. Der Einbau von mineralischen Ersatzbaustoffen in Wasserschutzgebieten der Zone III A und Zone III B, in Heilquellenschutzgebieten der Zone III und Zone IV sowie in Wasservorranggebieten darf nur in der jeweils zulässigen Einbauweise nach den Anlagen 2 und 3 erfolgen. Ist in einem Wasserschutzgebiet nur eine Zone III ausgewiesen, sind die Regelungen der Zone III A anzuwenden. Regelungen aufgrund der §§</w:t>
      </w:r>
      <w:r w:rsidR="008B5E0D" w:rsidRPr="008D0377">
        <w:t> </w:t>
      </w:r>
      <w:r w:rsidRPr="008D0377">
        <w:t>51 bis 53 des Wasserhaushaltsgesetzes haben Vorrang. Sofern Regelungen nach Satz</w:t>
      </w:r>
      <w:r w:rsidR="008B5E0D" w:rsidRPr="008D0377">
        <w:t> </w:t>
      </w:r>
      <w:r w:rsidRPr="008D0377">
        <w:t>6 keine Bestimmungen zu mineralischen Ersatzbaustoffen im Sinne von §</w:t>
      </w:r>
      <w:r w:rsidR="008B5E0D" w:rsidRPr="008D0377">
        <w:t> </w:t>
      </w:r>
      <w:r w:rsidRPr="008D0377">
        <w:t>2 Absatz</w:t>
      </w:r>
      <w:r w:rsidR="008B5E0D" w:rsidRPr="008D0377">
        <w:t> </w:t>
      </w:r>
      <w:r w:rsidRPr="008D0377">
        <w:t>1 enthalten, sind die Regelungen dieser Verordnung anzuwenden.</w:t>
      </w:r>
    </w:p>
    <w:p w14:paraId="2A367601" w14:textId="77777777" w:rsidR="00C30FB0" w:rsidRPr="008D0377" w:rsidRDefault="00C30FB0" w:rsidP="00C30FB0">
      <w:pPr>
        <w:pStyle w:val="JuristischerAbsatznummeriert"/>
      </w:pPr>
      <w:r w:rsidRPr="008D0377">
        <w:t>Sofern nach Landesrecht besonders empfindliche Gebiete, wie insbesondere Karstgebiete oder Gebiete mit stark klüftigem, besonders wasserwegsamen Untergrund, per Rechtsverordnung ausgewiesen sind, ist in diesen Gebieten der Einbau von Recyc</w:t>
      </w:r>
      <w:r w:rsidRPr="008D0377">
        <w:lastRenderedPageBreak/>
        <w:t>ling-Baustoff der Klasse 3 - RC-3, Bodenmaterial der Klasse F3 - BM-F3, Baggergut der Klasse F 3 - BG-F3 und Gleisschotter der Klasse 3 - GS-3 oder Gemischen, die diese Ersatzbaustoffe enthalten, in technische Bauwerke unzulässig.</w:t>
      </w:r>
    </w:p>
    <w:p w14:paraId="0659C6E7" w14:textId="77777777" w:rsidR="00C30FB0" w:rsidRPr="008D0377" w:rsidRDefault="00C30FB0" w:rsidP="00C30FB0">
      <w:pPr>
        <w:pStyle w:val="JuristischerAbsatznummeriert"/>
      </w:pPr>
      <w:r w:rsidRPr="008D0377">
        <w:t xml:space="preserve">Der Einbau hat oberhalb der in Anlage 2 oder 3 vorgesehenen Grundwasserdeckschicht zu erfolgen. Diese kann natürlich vorliegen oder hergestellt werden. Wird die Grundwasserdeckschicht künstlich hergestellt, bedarf dies der Zustimmung der zuständigen Behörde. Die Bodenart der Grundwasserdeckschicht muss den Hauptgruppen der Bodenarten Sand, Lehm, Schluff oder Ton gemäß Bodenkundlicher </w:t>
      </w:r>
      <w:proofErr w:type="spellStart"/>
      <w:r w:rsidRPr="008D0377">
        <w:t>Kartieranleitung</w:t>
      </w:r>
      <w:proofErr w:type="spellEnd"/>
      <w:r w:rsidRPr="008D0377">
        <w:t xml:space="preserve">, 5. Auflage, Hannover 2009 (KA5) entsprechen oder nach der DIN 18196 "Erd- und Grundbau - Bodenklassifikation für bautechnische Zwecke", Ausgabe Mai 2011, als fein- gemischt- oder grobkörniger Boden mit Ausnahme der Gruppen mit den Gruppensymbolen GE, GW, GI, GU und GT zu klassifizieren sein. Bei einer bautechnischen Bewertung nach der DIN 18196, Ausgabe Mai 2011, sind grobkörnige Böden mit der Ausnahme der Gruppen mit den Gruppensymbolen GE, GW und GI als Sand und fein- oder gemischtkörnige Böden mit Ausnahme der Gruppen mit den Gruppensymbolen GU und GT als Lehm, Schluff, Ton einzustufen. Eine günstige Eigenschaft der Grundwasserdeckschicht im Sinne der Anlage 2 oder 3 liegt vor, wenn am jeweiligen Einbauort die grundwasserfreie Sickerstrecke mehr als 1 Meter zuzüglich eines Sicherheitsabstandes von 0,5 Meter beträgt. Eine ungünstige Eigenschaft der Grundwasserdeckschicht liegt vor, wenn bei den mineralischen Ersatzbaustoffen Recycling-Baustoff der Klasse 1 - RC-1, Bodenmaterial der Klasse 0 - BM-0, Bodenmaterial der Klasse 0* - BM-0*, Bodenmaterial der Klasse F0 * - BM-F0*, Bodenmaterial der Klasse F1 - BM-F1, Baggergut der Klasse 0 - BG-0, Baggergut der Klasse 0* - BG-0*, Bodenmaterial der Klasse F 1 - BG-F1, Gleisschotter der Klasse 0 - GS-0, Gleisschotter der Klasse 1 - GS-1, Stahlwerksschlacke der Klasse 1 - SWS-1, Kupferhüttenmaterial der Klasse 1 - CUM-1, Hochofenschlacke der Klasse 1 - HOS-1, Hüttensand - HS, Schmelzkammergranulat - SKG die grundwasserfreie Sickerstrecke mindestens 0,1 bis 1 Meter und bei allen anderen in dieser Verordnung geregelten Stoffen oder Materialklassen 0,5 bis 1 Meter, jeweils zuzüglich eines Sicherheitsabstandes von 0,5 Meter beträgt. Der Bauherr oder der Verwender hat die Beurteilung der Grundwasserdeckschichten auf der Grundlage einer bodenkundlichen Ansprache von Bodenproben oder von Baugrunduntersuchungen nach bodenmechanischen oder bodenkundlichen Normen vorzunehmen. </w:t>
      </w:r>
    </w:p>
    <w:p w14:paraId="3D304AC9" w14:textId="77777777" w:rsidR="00C30FB0" w:rsidRPr="00A10B6A" w:rsidRDefault="00C30FB0" w:rsidP="00C30FB0">
      <w:pPr>
        <w:pStyle w:val="JuristischerAbsatznummeriert"/>
        <w:tabs>
          <w:tab w:val="clear" w:pos="850"/>
        </w:tabs>
      </w:pPr>
      <w:r w:rsidRPr="008D0377">
        <w:t xml:space="preserve">Wälle und Dämme mit definierten technischen Sicherungsmaßnahmen nach den Einbauweisen 9 und 10 der Anlage 2 sind nach Maßgabe des "Merkblatts über Bauweisen für technische Sicherungsmaßnahmen beim Einsatz von Böden und Baustoffen mit umweltrelevanten Inhaltsstoffen im Erdbau" - M TS E - (FGSV, Ausgabe 2017) zu planen, zu erstellen und zu kontrollieren. Der Bauherr oder der Verwender hat baubegleitend die technischen Sicherungsmaßnahmen gemäß den Anforderungen dieses Merkblatts prüfen zu lassen. Für die Prüfung darf der Bauherr nur Prüfstellen beauftragen, die je nach Bauweise die Anerkennung für die Fachgebiete Boden (A), Schichten ohne Bindemittel (I) oder Geokunststoffe (K) gemäß der "Richtlinie für die Anerkennung von Prüfstellen für Baustoffe und Baustoffgemische im Straßenbau", Ausgabe 2015, - RAP </w:t>
      </w:r>
      <w:proofErr w:type="spellStart"/>
      <w:r w:rsidRPr="008D0377">
        <w:t>Stra</w:t>
      </w:r>
      <w:proofErr w:type="spellEnd"/>
      <w:r w:rsidRPr="008D0377">
        <w:t xml:space="preserve"> 15 - der Forschungsgesellschaft für Straßen- und Verkehrswesen (FGSV) besitzen. Werden die Anforderungen nach Satz</w:t>
      </w:r>
      <w:r w:rsidR="008B5E0D" w:rsidRPr="008D0377">
        <w:t> </w:t>
      </w:r>
      <w:r w:rsidRPr="008D0377">
        <w:t>1 erfüllt, stellt die beauftragte Prüfstelle dem Bauherrn hierüber ein Prüfzeugnis aus. Der Bauherr hat, soweit er nicht selbst Grundstückseigentümer ist, das Prüfzeugnis dem Grundstückseigentümer zu übergeben. Der Grundstückseigentümer hat das Prüfzeugnis bis zum Rückbau des Bauwerks aufzubewahren. Abweichend von den Sätzen 5 und 6 kann das Prüfzeugnis im Einverständnis mit dem Grundstückseigentümer auch dem Betreiber, der das Bauwerk zu wirtschaftlichen Zwecken nutzt, übergeben und dort aufbewahrt werden.</w:t>
      </w:r>
    </w:p>
    <w:p w14:paraId="00B1C3B6" w14:textId="77777777" w:rsidR="00C30FB0" w:rsidRPr="00C30FB0" w:rsidRDefault="00C30FB0" w:rsidP="00C30FB0">
      <w:pPr>
        <w:pStyle w:val="ParagraphBezeichner"/>
      </w:pPr>
    </w:p>
    <w:p w14:paraId="3EADC38E" w14:textId="77777777" w:rsidR="00C30FB0" w:rsidRPr="00C30FB0" w:rsidRDefault="00C30FB0" w:rsidP="00C30FB0">
      <w:pPr>
        <w:pStyle w:val="Paragraphberschrift"/>
      </w:pPr>
      <w:bookmarkStart w:id="26" w:name="_Toc64380040"/>
      <w:r w:rsidRPr="008D0377">
        <w:t>Zusätzliche Einbaubeschränkungen bei bestimmten Schlacken und Aschen</w:t>
      </w:r>
      <w:bookmarkEnd w:id="26"/>
    </w:p>
    <w:p w14:paraId="2B33FF65" w14:textId="77777777" w:rsidR="00C30FB0" w:rsidRPr="008D0377" w:rsidRDefault="00C30FB0" w:rsidP="00C30FB0">
      <w:pPr>
        <w:pStyle w:val="JuristischerAbsatznummeriert"/>
      </w:pPr>
      <w:r w:rsidRPr="008D0377">
        <w:t>Die nachstehend genannten mineralischen Ersatzbaustoffe dürfen in technischen Bauwerken nur in Mindesteinbaumengen verwendet werden. Einzuhalten ist eine Mindesteinbaumenge</w:t>
      </w:r>
    </w:p>
    <w:p w14:paraId="04D99EB6" w14:textId="77777777" w:rsidR="00C30FB0" w:rsidRPr="008D0377" w:rsidRDefault="00C30FB0" w:rsidP="00C30FB0">
      <w:pPr>
        <w:pStyle w:val="NummerierungStufe1"/>
      </w:pPr>
      <w:r w:rsidRPr="008D0377">
        <w:t>von mindestens 250 Kubikmetern für</w:t>
      </w:r>
    </w:p>
    <w:p w14:paraId="2BAA5781" w14:textId="77777777" w:rsidR="00C30FB0" w:rsidRPr="008D0377" w:rsidRDefault="00C30FB0" w:rsidP="00C30FB0">
      <w:pPr>
        <w:pStyle w:val="NummerierungStufe2"/>
      </w:pPr>
      <w:r w:rsidRPr="008D0377">
        <w:t>Hausmüllverbrennungsasche der Klasse 2 - HMVA-2,</w:t>
      </w:r>
    </w:p>
    <w:p w14:paraId="40EBA9DC" w14:textId="77777777" w:rsidR="00C30FB0" w:rsidRPr="008D0377" w:rsidRDefault="00C30FB0" w:rsidP="00C30FB0">
      <w:pPr>
        <w:pStyle w:val="NummerierungStufe2"/>
      </w:pPr>
      <w:r w:rsidRPr="008D0377">
        <w:t>Stahlwerksschlacke der Klasse 2 - SWS-2,</w:t>
      </w:r>
    </w:p>
    <w:p w14:paraId="2BE02707" w14:textId="77777777" w:rsidR="00C30FB0" w:rsidRPr="008D0377" w:rsidRDefault="00C30FB0" w:rsidP="00C30FB0">
      <w:pPr>
        <w:pStyle w:val="NummerierungStufe2"/>
      </w:pPr>
      <w:r w:rsidRPr="008D0377">
        <w:t>Kupferhüttenmaterial der Klasse 2 - CUM-2,</w:t>
      </w:r>
    </w:p>
    <w:p w14:paraId="514603AB" w14:textId="77777777" w:rsidR="00C30FB0" w:rsidRPr="008D0377" w:rsidRDefault="00C30FB0" w:rsidP="00C30FB0">
      <w:pPr>
        <w:pStyle w:val="NummerierungStufe1"/>
      </w:pPr>
      <w:r w:rsidRPr="008D0377">
        <w:t>von mindestens 50 Kubikmetern für</w:t>
      </w:r>
    </w:p>
    <w:p w14:paraId="0607A5F2" w14:textId="77777777" w:rsidR="00C30FB0" w:rsidRPr="008D0377" w:rsidRDefault="00C30FB0" w:rsidP="00C30FB0">
      <w:pPr>
        <w:pStyle w:val="NummerierungStufe2"/>
      </w:pPr>
      <w:r w:rsidRPr="008D0377">
        <w:t>Braunkohlenflugasche - BFA,</w:t>
      </w:r>
    </w:p>
    <w:p w14:paraId="6E75DAD3" w14:textId="77777777" w:rsidR="00C30FB0" w:rsidRPr="008D0377" w:rsidRDefault="00C30FB0" w:rsidP="00C30FB0">
      <w:pPr>
        <w:pStyle w:val="NummerierungStufe2"/>
      </w:pPr>
      <w:r w:rsidRPr="008D0377">
        <w:t>Steinkohlenkesselasche - SKA,</w:t>
      </w:r>
    </w:p>
    <w:p w14:paraId="3A58CD69" w14:textId="77777777" w:rsidR="00C30FB0" w:rsidRPr="008D0377" w:rsidRDefault="00C30FB0" w:rsidP="00C30FB0">
      <w:pPr>
        <w:pStyle w:val="NummerierungStufe2"/>
      </w:pPr>
      <w:r w:rsidRPr="008D0377">
        <w:t>Steinkohlenflugasche - SFA,</w:t>
      </w:r>
    </w:p>
    <w:p w14:paraId="7BCCF940" w14:textId="77777777" w:rsidR="00C30FB0" w:rsidRPr="008D0377" w:rsidRDefault="00C30FB0" w:rsidP="00C30FB0">
      <w:pPr>
        <w:pStyle w:val="NummerierungStufe2"/>
      </w:pPr>
      <w:r w:rsidRPr="008D0377">
        <w:t>Hausmüllverbrennungsasche der Klasse 1 - HMVA-1,</w:t>
      </w:r>
    </w:p>
    <w:p w14:paraId="018310BA" w14:textId="77777777" w:rsidR="00C30FB0" w:rsidRPr="008D0377" w:rsidRDefault="00C30FB0" w:rsidP="00C30FB0">
      <w:pPr>
        <w:pStyle w:val="NummerierungStufe2"/>
      </w:pPr>
      <w:r w:rsidRPr="008D0377">
        <w:t>Stahlwerksschlacke der Klasse 1 - SWS-1,</w:t>
      </w:r>
    </w:p>
    <w:p w14:paraId="1C256872" w14:textId="77777777" w:rsidR="00C30FB0" w:rsidRPr="008D0377" w:rsidRDefault="00C30FB0" w:rsidP="00C30FB0">
      <w:pPr>
        <w:pStyle w:val="NummerierungStufe2"/>
      </w:pPr>
      <w:r w:rsidRPr="008D0377">
        <w:t xml:space="preserve">Hochofenstückschlacke der Klasse 2 - HOS-2, </w:t>
      </w:r>
    </w:p>
    <w:p w14:paraId="62248BB8" w14:textId="77777777" w:rsidR="00C30FB0" w:rsidRPr="008D0377" w:rsidRDefault="00C30FB0" w:rsidP="00C30FB0">
      <w:pPr>
        <w:pStyle w:val="NummerierungStufe2"/>
      </w:pPr>
      <w:r w:rsidRPr="008D0377">
        <w:t>Kupferhüttenmaterial der Klasse 1 - CUM-1,</w:t>
      </w:r>
    </w:p>
    <w:p w14:paraId="2F1100ED" w14:textId="77777777" w:rsidR="00C30FB0" w:rsidRPr="008D0377" w:rsidRDefault="00C30FB0" w:rsidP="00C30FB0">
      <w:pPr>
        <w:pStyle w:val="NummerierungStufe2"/>
      </w:pPr>
      <w:r w:rsidRPr="008D0377">
        <w:t>Gießereirestsand- GRS sowie</w:t>
      </w:r>
    </w:p>
    <w:p w14:paraId="3A5D559F" w14:textId="77777777" w:rsidR="00C30FB0" w:rsidRPr="008D0377" w:rsidRDefault="00C30FB0" w:rsidP="00C30FB0">
      <w:pPr>
        <w:pStyle w:val="NummerierungStufe2"/>
      </w:pPr>
      <w:r w:rsidRPr="008D0377">
        <w:t>Gießerei-</w:t>
      </w:r>
      <w:proofErr w:type="spellStart"/>
      <w:r w:rsidRPr="008D0377">
        <w:t>Kupolofenschlacke</w:t>
      </w:r>
      <w:proofErr w:type="spellEnd"/>
      <w:r w:rsidRPr="008D0377">
        <w:t xml:space="preserve"> - GKOS.</w:t>
      </w:r>
    </w:p>
    <w:p w14:paraId="29AA8037" w14:textId="77777777" w:rsidR="00C30FB0" w:rsidRPr="008D0377" w:rsidRDefault="00C30FB0" w:rsidP="00C30FB0">
      <w:pPr>
        <w:pStyle w:val="JuristischerAbsatzFolgeabsatz"/>
      </w:pPr>
      <w:r w:rsidRPr="008D0377">
        <w:t xml:space="preserve">Sind diese mineralischen Ersatzbaustoffe Teil eines Gemisches, ist für jeden mineralischen Ersatzbaustoff die jeweilige Mindesteinbaumenge einzuhalten. </w:t>
      </w:r>
    </w:p>
    <w:p w14:paraId="0D059473" w14:textId="77777777" w:rsidR="00C30FB0" w:rsidRPr="00A10B6A" w:rsidRDefault="00C30FB0" w:rsidP="00C30FB0">
      <w:pPr>
        <w:pStyle w:val="JuristischerAbsatznummeriert"/>
        <w:tabs>
          <w:tab w:val="clear" w:pos="850"/>
        </w:tabs>
      </w:pPr>
      <w:r w:rsidRPr="008D0377">
        <w:t>Die in Absatz</w:t>
      </w:r>
      <w:r w:rsidR="008B5E0D" w:rsidRPr="008D0377">
        <w:t> </w:t>
      </w:r>
      <w:r w:rsidRPr="008D0377">
        <w:t>1 festgelegten Mindesteinbaumengen gelten nicht für Instandsetzungs- oder Ergänzungsmaßnahmen an technischen Bauwerken, wenn der jeweilige mineralische Ersatzbaustoff am Einbauort bereits verwendet wurde.</w:t>
      </w:r>
    </w:p>
    <w:p w14:paraId="2A1CCAC8" w14:textId="77777777" w:rsidR="00C30FB0" w:rsidRPr="00C30FB0" w:rsidRDefault="00C30FB0" w:rsidP="00C30FB0">
      <w:pPr>
        <w:pStyle w:val="ParagraphBezeichner"/>
      </w:pPr>
    </w:p>
    <w:p w14:paraId="2D9C2DAE" w14:textId="77777777" w:rsidR="00C30FB0" w:rsidRPr="00C30FB0" w:rsidRDefault="00C30FB0" w:rsidP="00C30FB0">
      <w:pPr>
        <w:pStyle w:val="Paragraphberschrift"/>
      </w:pPr>
      <w:bookmarkStart w:id="27" w:name="_Toc64380042"/>
      <w:r w:rsidRPr="008D0377">
        <w:t>Behördliche Entscheidungen</w:t>
      </w:r>
      <w:bookmarkEnd w:id="27"/>
    </w:p>
    <w:p w14:paraId="5B912993" w14:textId="77777777" w:rsidR="00C30FB0" w:rsidRPr="008D0377" w:rsidRDefault="00C30FB0" w:rsidP="00C30FB0">
      <w:pPr>
        <w:pStyle w:val="JuristischerAbsatznummeriert"/>
      </w:pPr>
      <w:r w:rsidRPr="008D0377">
        <w:t>Werden die Anforderungen nach den §§</w:t>
      </w:r>
      <w:r w:rsidR="008B5E0D" w:rsidRPr="008D0377">
        <w:t> </w:t>
      </w:r>
      <w:r w:rsidRPr="008D0377">
        <w:t>19 und 20 eingehalten, bedürfen Einbaumaßnahmen keiner Erlaubnis nach §</w:t>
      </w:r>
      <w:r w:rsidR="008B5E0D" w:rsidRPr="008D0377">
        <w:t> </w:t>
      </w:r>
      <w:r w:rsidRPr="008D0377">
        <w:t>8 Absatz</w:t>
      </w:r>
      <w:r w:rsidR="008B5E0D" w:rsidRPr="008D0377">
        <w:t> </w:t>
      </w:r>
      <w:r w:rsidRPr="008D0377">
        <w:t>1 des Wasserhaushaltsgesetzes.</w:t>
      </w:r>
    </w:p>
    <w:p w14:paraId="6AF4E389" w14:textId="77777777" w:rsidR="00C30FB0" w:rsidRPr="008D0377" w:rsidRDefault="00C30FB0" w:rsidP="00C30FB0">
      <w:pPr>
        <w:pStyle w:val="JuristischerAbsatznummeriert"/>
      </w:pPr>
      <w:r w:rsidRPr="008D0377">
        <w:t>Auf Antrag des Bauherrn oder des Verwenders kann die zuständige Behörde im Einzelfall Einbauweisen zulassen, die nicht in Anlage 2 oder 3 aufgeführt sind, wenn nachteilige Veränderungen der Grundwasserbeschaffenheit und schädliche Bodenveränderungen nicht zu besorgen sind.</w:t>
      </w:r>
    </w:p>
    <w:p w14:paraId="4FC9F7A1" w14:textId="77777777" w:rsidR="00C30FB0" w:rsidRPr="008D0377" w:rsidRDefault="00C30FB0" w:rsidP="00C30FB0">
      <w:pPr>
        <w:pStyle w:val="JuristischerAbsatznummeriert"/>
      </w:pPr>
      <w:r w:rsidRPr="008D0377">
        <w:t>Auf Antrag der Bauherren oder des Verwenders kann die zuständige Behörde im Einzelfall die Verwertung von Stoffen oder Materialklassen, die nicht in der Ersatzbau</w:t>
      </w:r>
      <w:r w:rsidRPr="008D0377">
        <w:lastRenderedPageBreak/>
        <w:t>stoffverordnung geregelt sind, in technischen Bauwerken zulassen, wenn nachteilige Veränderungen der Grundwasserbeschaffenheit und schädliche Bodenveränderungen nicht zu besorgen sind.</w:t>
      </w:r>
    </w:p>
    <w:p w14:paraId="122DB4E1" w14:textId="77777777" w:rsidR="00C30FB0" w:rsidRPr="008D0377" w:rsidRDefault="00C30FB0" w:rsidP="00C30FB0">
      <w:pPr>
        <w:pStyle w:val="JuristischerAbsatznummeriert"/>
      </w:pPr>
      <w:r w:rsidRPr="008D0377">
        <w:t>In Gebieten, in denen die Hintergrundwerte im Grundwasser im Sinne des §</w:t>
      </w:r>
      <w:r w:rsidR="008B5E0D" w:rsidRPr="008D0377">
        <w:t> </w:t>
      </w:r>
      <w:r w:rsidRPr="008D0377">
        <w:t>1 Nummer</w:t>
      </w:r>
      <w:r w:rsidR="008B5E0D" w:rsidRPr="008D0377">
        <w:t> </w:t>
      </w:r>
      <w:r w:rsidRPr="008D0377">
        <w:t>2 der Grundwasserverordnung vom 9. November 2010 (BGBl.</w:t>
      </w:r>
      <w:r w:rsidR="008B5E0D" w:rsidRPr="008D0377">
        <w:t> </w:t>
      </w:r>
      <w:r w:rsidRPr="008D0377">
        <w:t>I S.</w:t>
      </w:r>
      <w:r w:rsidR="008B5E0D" w:rsidRPr="008D0377">
        <w:t> </w:t>
      </w:r>
      <w:r w:rsidRPr="008D0377">
        <w:t>1513), die zuletzt durch Artikel</w:t>
      </w:r>
      <w:r w:rsidR="008B5E0D" w:rsidRPr="008D0377">
        <w:t> </w:t>
      </w:r>
      <w:r w:rsidRPr="008D0377">
        <w:t>1 der Verordnung vom 4. Mai 2017 (BGBl.</w:t>
      </w:r>
      <w:r w:rsidR="008B5E0D" w:rsidRPr="008D0377">
        <w:t> </w:t>
      </w:r>
      <w:r w:rsidRPr="008D0377">
        <w:t>I S.</w:t>
      </w:r>
      <w:r w:rsidR="008B5E0D" w:rsidRPr="008D0377">
        <w:t> </w:t>
      </w:r>
      <w:r w:rsidRPr="008D0377">
        <w:t>1044) geändert worden ist, für die hydrogeochemische Einheit, der das Grundwasser gemäß §</w:t>
      </w:r>
      <w:r w:rsidR="008B5E0D" w:rsidRPr="008D0377">
        <w:t> </w:t>
      </w:r>
      <w:r w:rsidRPr="008D0377">
        <w:t>5 Absatz</w:t>
      </w:r>
      <w:r w:rsidR="008B5E0D" w:rsidRPr="008D0377">
        <w:t> </w:t>
      </w:r>
      <w:r w:rsidRPr="008D0377">
        <w:t xml:space="preserve">2 der Grundwasserverordnung zuzuordnen ist, naturbedingt oder siedlungsbedingt einen oder mehrere </w:t>
      </w:r>
      <w:proofErr w:type="spellStart"/>
      <w:r w:rsidRPr="008D0377">
        <w:t>Eluatwerte</w:t>
      </w:r>
      <w:proofErr w:type="spellEnd"/>
      <w:r w:rsidRPr="008D0377">
        <w:t xml:space="preserve"> oder den Wert der elektrischen Leitfähigkeit der Anlage 1 Tabelle 3 für Bodenmaterial der Klasse F0* - BM-F0* - überschreiten oder außerhalb der pH-Bereiche nach Anlage 1 Tabelle 3 für Bodenmaterial der Klasse F0* - BM-F0* - liegen, kann die zuständige Behörde auf Antrag oder von Amts wegen das Gebiet bestimmen und für dieses Gebiet oder für bestimmte Einbaumaßnahmen in diesem Gebiet höhere Materialwerte für Bodenmaterial festlegen, soweit das einzubauende Bodenmaterial aus diesen Gebieten stammt. Die Materialwerte sind so festzulegen, dass der Einbau des Bodenmaterials nicht dazu geeignet ist, Stoffkonzentrationen im Grundwasser über die Hintergrundwerte hinaus zu erhöhen. </w:t>
      </w:r>
    </w:p>
    <w:p w14:paraId="7E80E9F6" w14:textId="77777777" w:rsidR="00C30FB0" w:rsidRPr="00A10B6A" w:rsidRDefault="00C30FB0" w:rsidP="00C30FB0">
      <w:pPr>
        <w:pStyle w:val="JuristischerAbsatznummeriert"/>
        <w:tabs>
          <w:tab w:val="clear" w:pos="850"/>
        </w:tabs>
      </w:pPr>
      <w:r w:rsidRPr="008D0377">
        <w:t>In Gebieten, in denen naturbedingt oder siedlungsbedingt ein oder mehrere Feststoffwerte der Anlage 1 Tabelle 3 für Bodenmaterial der Klasse F0* - BM-F0* - im Boden flächenhaft überschritten werden, kann die zuständige Behörde das Gebiet bestimmen und für bestimmte Einbauweisen in diesem Gebiet höhere Materialwerte für Bodenmaterial, das aus diesem Gebiet stammt, festlegen oder im Einzelfall zulassen. Höhere Materialwerte nach Satz</w:t>
      </w:r>
      <w:r w:rsidR="008B5E0D" w:rsidRPr="008D0377">
        <w:t> </w:t>
      </w:r>
      <w:r w:rsidRPr="008D0377">
        <w:t>1 sind von der zuständigen Behörde so zu bemessen, dass sich die stoffliche Situation nicht nachteilig verändert. Die Sätze 1 und 2 gelten in räumlich abgegrenzten Industriestandorten für Bodenmaterial, das einen oder mehrere Feststoffwerte der Anlage 1 Tabelle 3 für Bodenmaterial der Klasse F0* - BM-F0* überschreitet und das am Herkunftsort oder in dessen räumlichem Umfeld unter vergleichbaren geologischen und hydrogeologischen Bedingungen in ein technisches Bauwerk eingebaut werden soll, entsprechend. Gebiete nach Satz</w:t>
      </w:r>
      <w:r w:rsidR="008B5E0D" w:rsidRPr="008D0377">
        <w:t> </w:t>
      </w:r>
      <w:r w:rsidRPr="008D0377">
        <w:t>1 und Standorte nach Satz</w:t>
      </w:r>
      <w:r w:rsidR="008B5E0D" w:rsidRPr="008D0377">
        <w:t> </w:t>
      </w:r>
      <w:r w:rsidRPr="008D0377">
        <w:t xml:space="preserve">3 können von der zuständigen Behörde im Einzelfall der Bewertung zugrunde gelegt oder allgemein festgelegt werden. </w:t>
      </w:r>
    </w:p>
    <w:p w14:paraId="329C747C" w14:textId="77777777" w:rsidR="00C30FB0" w:rsidRPr="00C30FB0" w:rsidRDefault="00C30FB0" w:rsidP="00C30FB0">
      <w:pPr>
        <w:pStyle w:val="ParagraphBezeichner"/>
      </w:pPr>
    </w:p>
    <w:p w14:paraId="372D851A" w14:textId="77777777" w:rsidR="00C30FB0" w:rsidRPr="008D0377" w:rsidRDefault="00C30FB0" w:rsidP="00C30FB0">
      <w:pPr>
        <w:pStyle w:val="Paragraphberschrift"/>
      </w:pPr>
      <w:bookmarkStart w:id="28" w:name="_Toc64380044"/>
      <w:r w:rsidRPr="008D0377">
        <w:t>Anzeigepflichten</w:t>
      </w:r>
      <w:bookmarkEnd w:id="28"/>
    </w:p>
    <w:p w14:paraId="6857F7EE" w14:textId="77777777" w:rsidR="00C30FB0" w:rsidRPr="008D0377" w:rsidRDefault="00C30FB0" w:rsidP="00C30FB0">
      <w:pPr>
        <w:pStyle w:val="JuristischerAbsatznummeriert"/>
      </w:pPr>
      <w:r w:rsidRPr="008D0377">
        <w:t>Der Einbau der in §</w:t>
      </w:r>
      <w:r w:rsidR="008B5E0D" w:rsidRPr="008D0377">
        <w:t> </w:t>
      </w:r>
      <w:r w:rsidRPr="008D0377">
        <w:t>20 Absatz</w:t>
      </w:r>
      <w:r w:rsidR="008B5E0D" w:rsidRPr="008D0377">
        <w:t> </w:t>
      </w:r>
      <w:r w:rsidRPr="008D0377">
        <w:t>1 genannten mineralischen Ersatzbaustoffe oder ihrer Gemische ist der zuständigen Behörde vom Verwender vier Wochen vor Beginn des Einbaus schriftlich oder elektronisch nach dem Muster in Anlage 8 – Voranzeige – anzuzeigen, wenn das vorgesehene Gesamtvolumen der in §</w:t>
      </w:r>
      <w:r w:rsidR="008B5E0D" w:rsidRPr="008D0377">
        <w:t> </w:t>
      </w:r>
      <w:r w:rsidRPr="008D0377">
        <w:t>20 Absatz</w:t>
      </w:r>
      <w:r w:rsidR="008B5E0D" w:rsidRPr="008D0377">
        <w:t> </w:t>
      </w:r>
      <w:r w:rsidRPr="008D0377">
        <w:t>1 genannten mineralischen Ersatzbaustoffe mindestens 250 Kubikmeter beträgt. Satz</w:t>
      </w:r>
      <w:r w:rsidR="008B5E0D" w:rsidRPr="008D0377">
        <w:t> </w:t>
      </w:r>
      <w:r w:rsidRPr="008D0377">
        <w:t>1 gilt entsprechend, wenn das Gesamtvolumen von mindestens 250 Kubikmeter bei der Verwendung folgender mineralischer Ersatzbaustoffe erreicht wird:</w:t>
      </w:r>
    </w:p>
    <w:p w14:paraId="11CF5C3A" w14:textId="77777777" w:rsidR="00C30FB0" w:rsidRPr="008D0377" w:rsidRDefault="00C30FB0" w:rsidP="00C30FB0">
      <w:pPr>
        <w:pStyle w:val="NummerierungStufe1"/>
      </w:pPr>
      <w:r w:rsidRPr="008D0377">
        <w:t>Baggergut der Klasse F3 – BG-F3,</w:t>
      </w:r>
    </w:p>
    <w:p w14:paraId="5B11CCB9" w14:textId="77777777" w:rsidR="00C30FB0" w:rsidRPr="008D0377" w:rsidRDefault="00C30FB0" w:rsidP="00C30FB0">
      <w:pPr>
        <w:pStyle w:val="NummerierungStufe1"/>
      </w:pPr>
      <w:r w:rsidRPr="008D0377">
        <w:t>Bodenmaterial der Klasse F3 – BM-F3,</w:t>
      </w:r>
    </w:p>
    <w:p w14:paraId="54E7C320" w14:textId="77777777" w:rsidR="00C30FB0" w:rsidRPr="008D0377" w:rsidRDefault="00C30FB0" w:rsidP="00C30FB0">
      <w:pPr>
        <w:pStyle w:val="NummerierungStufe1"/>
      </w:pPr>
      <w:r w:rsidRPr="008D0377">
        <w:t>Recycling-Baustoff der Klasse 3 – RC-3.</w:t>
      </w:r>
    </w:p>
    <w:p w14:paraId="5A358E5F" w14:textId="77777777" w:rsidR="00C30FB0" w:rsidRPr="008D0377" w:rsidRDefault="00C30FB0" w:rsidP="00C30FB0">
      <w:pPr>
        <w:pStyle w:val="JuristischerAbsatznummeriert"/>
      </w:pPr>
      <w:r w:rsidRPr="008D0377">
        <w:t>Der Einbau von mineralischen Ersatzbaustoffen und ihrer Gemische, mit Ausnahme der in §</w:t>
      </w:r>
      <w:r w:rsidR="008B5E0D" w:rsidRPr="008D0377">
        <w:t> </w:t>
      </w:r>
      <w:r w:rsidRPr="008D0377">
        <w:t>19 Absatz</w:t>
      </w:r>
      <w:r w:rsidR="008B5E0D" w:rsidRPr="008D0377">
        <w:t> </w:t>
      </w:r>
      <w:r w:rsidRPr="008D0377">
        <w:t>6 Nummer</w:t>
      </w:r>
      <w:r w:rsidR="008B5E0D" w:rsidRPr="008D0377">
        <w:t> </w:t>
      </w:r>
      <w:r w:rsidRPr="008D0377">
        <w:t xml:space="preserve">1 bis 5 genannten Stoffe, in festgesetzten Wasserschutzgebieten und Heilquellenschutzgebieten ist der zuständigen Behörde vom Verwender vier Wochen vor Beginn des Einbaus schriftlich oder elektronisch nach dem Muster in </w:t>
      </w:r>
      <w:r w:rsidRPr="008D0377">
        <w:lastRenderedPageBreak/>
        <w:t>Anlage 8 anzuzeigen. Regelungen aufgrund der §§</w:t>
      </w:r>
      <w:r w:rsidR="008B5E0D" w:rsidRPr="008D0377">
        <w:t> </w:t>
      </w:r>
      <w:r w:rsidRPr="008D0377">
        <w:t>51 bis 53 des Wasserhaushaltsgesetzes haben Vorrang.</w:t>
      </w:r>
    </w:p>
    <w:p w14:paraId="53A3B3FE" w14:textId="77777777" w:rsidR="00C30FB0" w:rsidRPr="008D0377" w:rsidRDefault="00C30FB0" w:rsidP="00C30FB0">
      <w:pPr>
        <w:pStyle w:val="JuristischerAbsatznummeriert"/>
      </w:pPr>
      <w:r w:rsidRPr="008D0377">
        <w:t>In der Voranzeige sind folgende Angaben zu machen:</w:t>
      </w:r>
    </w:p>
    <w:p w14:paraId="4A3CFD2D" w14:textId="77777777" w:rsidR="00C30FB0" w:rsidRPr="008D0377" w:rsidRDefault="00C30FB0" w:rsidP="00C30FB0">
      <w:pPr>
        <w:pStyle w:val="NummerierungStufe1"/>
      </w:pPr>
      <w:r w:rsidRPr="008D0377">
        <w:t xml:space="preserve">die Bezeichnung und Lage der Baumaßnahme, </w:t>
      </w:r>
    </w:p>
    <w:p w14:paraId="20C98263" w14:textId="77777777" w:rsidR="00C30FB0" w:rsidRPr="008D0377" w:rsidRDefault="00C30FB0" w:rsidP="00C30FB0">
      <w:pPr>
        <w:pStyle w:val="NummerierungStufe1"/>
      </w:pPr>
      <w:r w:rsidRPr="008D0377">
        <w:t>den Verwender, sofern dieser nicht selbst Bauherr ist,</w:t>
      </w:r>
    </w:p>
    <w:p w14:paraId="6D9BDE0A" w14:textId="77777777" w:rsidR="00C30FB0" w:rsidRPr="008D0377" w:rsidRDefault="00C30FB0" w:rsidP="00C30FB0">
      <w:pPr>
        <w:pStyle w:val="NummerierungStufe1"/>
      </w:pPr>
      <w:r w:rsidRPr="008D0377">
        <w:t>den Bauherrn,</w:t>
      </w:r>
    </w:p>
    <w:p w14:paraId="0FA209D1" w14:textId="77777777" w:rsidR="00C30FB0" w:rsidRPr="008D0377" w:rsidRDefault="00C30FB0" w:rsidP="00C30FB0">
      <w:pPr>
        <w:pStyle w:val="NummerierungStufe1"/>
      </w:pPr>
      <w:r w:rsidRPr="008D0377">
        <w:t>die Bezeichnung des mineralischen Ersatzbaustoffs sowie der Materialklasse und bei Gemischen die Benennung der einzelnen in dem Gemisch enthaltenen mineralischen Ersatzbaustoffe sowie deren Materialklassen,</w:t>
      </w:r>
    </w:p>
    <w:p w14:paraId="565F44DB" w14:textId="77777777" w:rsidR="00C30FB0" w:rsidRPr="008D0377" w:rsidRDefault="00C30FB0" w:rsidP="00C30FB0">
      <w:pPr>
        <w:pStyle w:val="NummerierungStufe1"/>
      </w:pPr>
      <w:r w:rsidRPr="008D0377">
        <w:t>Masse und Volumen des einzubauenden mineralischen Ersatzbaustoffes oder der in einem Gemisch enthaltenen mineralischen Ersatzbaustoffe,</w:t>
      </w:r>
    </w:p>
    <w:p w14:paraId="1FE16CAA" w14:textId="77777777" w:rsidR="00C30FB0" w:rsidRPr="008D0377" w:rsidRDefault="00C30FB0" w:rsidP="00C30FB0">
      <w:pPr>
        <w:pStyle w:val="NummerierungStufe1"/>
      </w:pPr>
      <w:r w:rsidRPr="008D0377">
        <w:t>Nummer und Bezeichnung der Einbauweise nach Anlage 2 oder 3 und bei den Einbauweisen 9, 10 und 16 der Anlage 2 die Beschreibung der geplanten Deckschichten oder technischen Sicherungsmaßnahmen,</w:t>
      </w:r>
    </w:p>
    <w:p w14:paraId="261266D6" w14:textId="77777777" w:rsidR="00C30FB0" w:rsidRPr="008D0377" w:rsidRDefault="00C30FB0" w:rsidP="00C30FB0">
      <w:pPr>
        <w:pStyle w:val="NummerierungStufe1"/>
      </w:pPr>
      <w:r w:rsidRPr="008D0377">
        <w:t>Angaben zu dem höchsten zu erwartenden Grundwasserstand,</w:t>
      </w:r>
    </w:p>
    <w:p w14:paraId="2AFFF89C" w14:textId="77777777" w:rsidR="00C30FB0" w:rsidRPr="008D0377" w:rsidRDefault="00C30FB0" w:rsidP="00C30FB0">
      <w:pPr>
        <w:pStyle w:val="NummerierungStufe1"/>
      </w:pPr>
      <w:r w:rsidRPr="008D0377">
        <w:t>Mächtigkeit und Bodenart der Grundwasserdeckschicht,</w:t>
      </w:r>
    </w:p>
    <w:p w14:paraId="38F13C7C" w14:textId="77777777" w:rsidR="00C30FB0" w:rsidRPr="008D0377" w:rsidRDefault="00C30FB0" w:rsidP="00C30FB0">
      <w:pPr>
        <w:pStyle w:val="NummerierungStufe1"/>
      </w:pPr>
      <w:r w:rsidRPr="008D0377">
        <w:t>Lage der Baumaßnahme im Hinblick auf Wasserschutz-, Heilquellenschutz- oder Wasservorranggebiete nach den Spalten 4 bis 6 der Anlage 2 oder 3 und</w:t>
      </w:r>
    </w:p>
    <w:p w14:paraId="19AA2349" w14:textId="77777777" w:rsidR="00C30FB0" w:rsidRPr="008D0377" w:rsidRDefault="00C30FB0" w:rsidP="00C30FB0">
      <w:pPr>
        <w:pStyle w:val="NummerierungStufe1"/>
      </w:pPr>
      <w:r w:rsidRPr="008D0377">
        <w:t>Lageskizze des geplanten Einbauortes.</w:t>
      </w:r>
    </w:p>
    <w:p w14:paraId="2F1870E0" w14:textId="77777777" w:rsidR="00C30FB0" w:rsidRPr="008D0377" w:rsidRDefault="00C30FB0" w:rsidP="00C30FB0">
      <w:pPr>
        <w:pStyle w:val="JuristischerAbsatzFolgeabsatz"/>
      </w:pPr>
      <w:r w:rsidRPr="008D0377">
        <w:t>Der Voranzeige sind geeignete Nachweise über die Angaben nach Satz</w:t>
      </w:r>
      <w:r w:rsidR="008B5E0D" w:rsidRPr="008D0377">
        <w:t> </w:t>
      </w:r>
      <w:r w:rsidRPr="008D0377">
        <w:t>1 Nummer</w:t>
      </w:r>
      <w:r w:rsidR="008B5E0D" w:rsidRPr="008D0377">
        <w:t> </w:t>
      </w:r>
      <w:r w:rsidRPr="008D0377">
        <w:t>7 bis 9 beizufügen.</w:t>
      </w:r>
    </w:p>
    <w:p w14:paraId="57AF148B" w14:textId="77777777" w:rsidR="00C30FB0" w:rsidRPr="008D0377" w:rsidRDefault="00C30FB0" w:rsidP="00C30FB0">
      <w:pPr>
        <w:pStyle w:val="JuristischerAbsatznummeriert"/>
      </w:pPr>
      <w:r w:rsidRPr="008D0377">
        <w:t>Für mineralische Ersatzbaustoffe, die nach Absatz</w:t>
      </w:r>
      <w:r w:rsidR="008B5E0D" w:rsidRPr="008D0377">
        <w:t> </w:t>
      </w:r>
      <w:r w:rsidRPr="008D0377">
        <w:t>1 oder 2 einer Voranzeige bedürfen, ermittelt der Verwender innerhalb von zwei Wochen nach Abschluss der Baumaßnahme anhand der zusammengefassten Lieferscheine nach §</w:t>
      </w:r>
      <w:r w:rsidR="008B5E0D" w:rsidRPr="008D0377">
        <w:t> </w:t>
      </w:r>
      <w:r w:rsidRPr="008D0377">
        <w:t>25 Absatz</w:t>
      </w:r>
      <w:r w:rsidR="008B5E0D" w:rsidRPr="008D0377">
        <w:t> </w:t>
      </w:r>
      <w:r w:rsidRPr="008D0377">
        <w:t>1 die tatsächlich eingebauten Mengen und Materialklassen der verwendeten mineralischen Ersatzbaustoffe und übermittelt die Angaben nach dem Muster in Anlage 8 – Abschlussanzeige – unverzüglich schriftlich oder elektronisch an die zuständige Behörde.</w:t>
      </w:r>
    </w:p>
    <w:p w14:paraId="72B40A29" w14:textId="711BA4F2" w:rsidR="00C30FB0" w:rsidRPr="008D0377" w:rsidRDefault="00C30FB0" w:rsidP="00C30FB0">
      <w:pPr>
        <w:pStyle w:val="JuristischerAbsatznummeriert"/>
      </w:pPr>
      <w:r w:rsidRPr="008D0377">
        <w:t>Die Dokumentation der Vor- und der Abschlussanzeige gemäß Anlage 8 ersetzt die Verpflichtung zur Erstellung eines Deckblatts nach §</w:t>
      </w:r>
      <w:r w:rsidR="008B5E0D" w:rsidRPr="008D0377">
        <w:t> </w:t>
      </w:r>
      <w:r w:rsidRPr="008D0377">
        <w:t>25 Absatz</w:t>
      </w:r>
      <w:r w:rsidR="008B5E0D" w:rsidRPr="008D0377">
        <w:t> </w:t>
      </w:r>
      <w:r w:rsidRPr="008D0377">
        <w:t>3. Eine Kopie der Vor- und der Abschlussanzeige sind jeweils vom Verwender zu unterschreiben und, sofern dieser nicht selbst der Bauherr ist, zusammen mit den Lieferscheinen nach §</w:t>
      </w:r>
      <w:r w:rsidR="008B5E0D" w:rsidRPr="008D0377">
        <w:t> </w:t>
      </w:r>
      <w:r w:rsidRPr="008D0377">
        <w:t>25 Absatz</w:t>
      </w:r>
      <w:r w:rsidR="008B5E0D" w:rsidRPr="008D0377">
        <w:t> </w:t>
      </w:r>
      <w:r w:rsidRPr="008D0377">
        <w:t>1 unverzüglich nach Abschluss der Einbaumaßnahme an den Bauherrn zu überg</w:t>
      </w:r>
      <w:r w:rsidR="00A10B6A">
        <w:t xml:space="preserve">eben. Die Unterlagen </w:t>
      </w:r>
      <w:r w:rsidRPr="008D0377">
        <w:t>nach Satz</w:t>
      </w:r>
      <w:r w:rsidR="008B5E0D" w:rsidRPr="008D0377">
        <w:t> </w:t>
      </w:r>
      <w:r w:rsidRPr="008D0377">
        <w:t>2 sind vom Bauherrn, sofern er nicht selbst der Grundstückseigentümer ist, unverzüglich nach Abschluss der gesamten Baumaßnahme dem Grundstückseigentümer zu übergeben.</w:t>
      </w:r>
    </w:p>
    <w:p w14:paraId="7FF6B5C9" w14:textId="77777777" w:rsidR="00C30FB0" w:rsidRPr="00C30FB0" w:rsidRDefault="00C30FB0" w:rsidP="00C30FB0">
      <w:pPr>
        <w:pStyle w:val="JuristischerAbsatznummeriert"/>
      </w:pPr>
      <w:r w:rsidRPr="008D0377">
        <w:t>Für anzeigepflichtige Ersatzbaustoffe nach Absatz</w:t>
      </w:r>
      <w:r w:rsidR="008B5E0D" w:rsidRPr="008D0377">
        <w:t> </w:t>
      </w:r>
      <w:r w:rsidRPr="008D0377">
        <w:t>1 hat der Grundstückseigentümer oder ein von ihm beauftragter Dritter nach Ende der bestimmungsgemäßen Nutzung eines technischen Bauwerkes der zuständigen Behörde den Zeitpunkt des Rückbaus des technischen Bauwerks innerhalb eines Jahres mitzuteilen. Sollen die mineralischen Ersatzbaustoffe am Einbauort verbleiben, ist dies der zuständigen Behörde unter Angabe der Folgenutzung des Einbauortes ebenfalls mitzuteilen.</w:t>
      </w:r>
    </w:p>
    <w:p w14:paraId="36A8D9A1" w14:textId="77777777" w:rsidR="00C30FB0" w:rsidRPr="00C30FB0" w:rsidRDefault="00C30FB0" w:rsidP="00C30FB0">
      <w:pPr>
        <w:pStyle w:val="ParagraphBezeichner"/>
      </w:pPr>
    </w:p>
    <w:p w14:paraId="06B1C7D7" w14:textId="77777777" w:rsidR="00C30FB0" w:rsidRPr="00C30FB0" w:rsidRDefault="00C30FB0" w:rsidP="00C30FB0">
      <w:pPr>
        <w:pStyle w:val="Paragraphberschrift"/>
      </w:pPr>
      <w:bookmarkStart w:id="29" w:name="_Toc64380046"/>
      <w:r w:rsidRPr="008D0377">
        <w:t>Ersatzbaustoffkataster</w:t>
      </w:r>
      <w:bookmarkEnd w:id="29"/>
    </w:p>
    <w:p w14:paraId="6D4C281E" w14:textId="77777777" w:rsidR="00C30FB0" w:rsidRPr="00C30FB0" w:rsidRDefault="00C30FB0" w:rsidP="00C30FB0">
      <w:pPr>
        <w:pStyle w:val="JuristischerAbsatznichtnummeriert"/>
      </w:pPr>
      <w:r w:rsidRPr="008D0377">
        <w:t>Die Verwendung anzeigepflichtiger mineralischer Ersatzbaustoffe wird von der zuständigen Behörde in einem Kataster dokumentiert. In das Kataster sind die Angaben der Vor- und der Abschlussanzeige aufzunehmen.</w:t>
      </w:r>
    </w:p>
    <w:p w14:paraId="1DABFCC3" w14:textId="77777777" w:rsidR="00C30FB0" w:rsidRPr="00C30FB0" w:rsidRDefault="00C30FB0" w:rsidP="00C30FB0">
      <w:pPr>
        <w:pStyle w:val="AbschnittBezeichner"/>
      </w:pPr>
    </w:p>
    <w:p w14:paraId="6A0C9409" w14:textId="77777777" w:rsidR="00C30FB0" w:rsidRPr="00C30FB0" w:rsidRDefault="00C30FB0" w:rsidP="00C30FB0">
      <w:pPr>
        <w:pStyle w:val="Abschnittberschrift"/>
      </w:pPr>
      <w:bookmarkStart w:id="30" w:name="_Toc64380048"/>
      <w:r w:rsidRPr="008D0377">
        <w:t>Getrennte Sammlung von mineralischen Abfällen</w:t>
      </w:r>
      <w:bookmarkEnd w:id="30"/>
    </w:p>
    <w:p w14:paraId="7F981D3E" w14:textId="77777777" w:rsidR="00C30FB0" w:rsidRPr="00C30FB0" w:rsidRDefault="00C30FB0" w:rsidP="00C30FB0">
      <w:pPr>
        <w:pStyle w:val="ParagraphBezeichner"/>
      </w:pPr>
    </w:p>
    <w:p w14:paraId="09A6DD05" w14:textId="77777777" w:rsidR="00C30FB0" w:rsidRPr="00C30FB0" w:rsidRDefault="00C30FB0" w:rsidP="00C30FB0">
      <w:pPr>
        <w:pStyle w:val="Paragraphberschrift"/>
      </w:pPr>
      <w:bookmarkStart w:id="31" w:name="_Toc64380050"/>
      <w:r w:rsidRPr="008D0377">
        <w:t>Getrennte Sammlung und Verwertung von mineralischen Abfällen aus technischen Bauwerken</w:t>
      </w:r>
      <w:bookmarkEnd w:id="31"/>
    </w:p>
    <w:p w14:paraId="6179C847" w14:textId="77777777" w:rsidR="00C30FB0" w:rsidRPr="008D0377" w:rsidRDefault="00C30FB0" w:rsidP="00C30FB0">
      <w:pPr>
        <w:pStyle w:val="JuristischerAbsatznummeriert"/>
      </w:pPr>
      <w:r w:rsidRPr="008D0377">
        <w:t>Erzeuger und Besitzer haben die in §</w:t>
      </w:r>
      <w:r w:rsidR="008B5E0D" w:rsidRPr="008D0377">
        <w:t> </w:t>
      </w:r>
      <w:r w:rsidRPr="008D0377">
        <w:t>2 Nummer</w:t>
      </w:r>
      <w:r w:rsidR="008B5E0D" w:rsidRPr="008D0377">
        <w:t> </w:t>
      </w:r>
      <w:r w:rsidRPr="008D0377">
        <w:t>18 bis 33 bezeichneten mineralischen Stoffe und Gemische im Sinne des §</w:t>
      </w:r>
      <w:r w:rsidR="008B5E0D" w:rsidRPr="008D0377">
        <w:t> </w:t>
      </w:r>
      <w:r w:rsidRPr="008D0377">
        <w:t>2 Nummer</w:t>
      </w:r>
      <w:r w:rsidR="008B5E0D" w:rsidRPr="008D0377">
        <w:t> </w:t>
      </w:r>
      <w:r w:rsidRPr="008D0377">
        <w:t>2, die als Abfälle bei Rückbau, Sanierung oder Reparatur technischer Bauwerke anfallen, untereinander und von Abfällen aus Primärbaustoffen getrennt zu sammeln, zu befördern und nach Maßgabe des §</w:t>
      </w:r>
      <w:r w:rsidR="008B5E0D" w:rsidRPr="008D0377">
        <w:t> </w:t>
      </w:r>
      <w:r w:rsidRPr="008D0377">
        <w:t>8 Absatz</w:t>
      </w:r>
      <w:r w:rsidR="008B5E0D" w:rsidRPr="008D0377">
        <w:t> </w:t>
      </w:r>
      <w:r w:rsidRPr="008D0377">
        <w:t>1 Satz</w:t>
      </w:r>
      <w:r w:rsidR="008B5E0D" w:rsidRPr="008D0377">
        <w:t> </w:t>
      </w:r>
      <w:r w:rsidRPr="008D0377">
        <w:t>1 des Kreislaufwirtschaftsgesetzes vorrangig der Vorbereitung zur Wiederverwendung oder dem Recycling zuzuführen. Soweit diese Abfälle für den Einbau in technische Bauwerke vorgesehen, jedoch nicht unmittelbar hierfür geeignet sind, haben die Erzeuger und Besitzer der in Satz</w:t>
      </w:r>
      <w:r w:rsidR="008B5E0D" w:rsidRPr="008D0377">
        <w:t> </w:t>
      </w:r>
      <w:r w:rsidRPr="008D0377">
        <w:t>1 genannten Abfallfraktionen diese einer geeigneten Aufbereitungsanlage zuführen.</w:t>
      </w:r>
    </w:p>
    <w:p w14:paraId="1805463B" w14:textId="77777777" w:rsidR="00C30FB0" w:rsidRPr="008D0377" w:rsidRDefault="00C30FB0" w:rsidP="00C30FB0">
      <w:pPr>
        <w:pStyle w:val="JuristischerAbsatznummeriert"/>
      </w:pPr>
      <w:r w:rsidRPr="008D0377">
        <w:t>Eine erneute Verwertung der gemäß Absatz</w:t>
      </w:r>
      <w:r w:rsidR="008B5E0D" w:rsidRPr="008D0377">
        <w:t> </w:t>
      </w:r>
      <w:r w:rsidRPr="008D0377">
        <w:t>1 Satz</w:t>
      </w:r>
      <w:r w:rsidR="008B5E0D" w:rsidRPr="008D0377">
        <w:t> </w:t>
      </w:r>
      <w:r w:rsidRPr="008D0377">
        <w:t>1 getrennt gesammelten mineralischen Ersatzbaustoffe in einem technischen Bauwerk ist möglich, wenn diese nach der Art des mineralischen Ersatzbaustoffes sowie seiner Materialklasse eindeutig bestimmt wurden.</w:t>
      </w:r>
    </w:p>
    <w:p w14:paraId="1D63F145" w14:textId="77777777" w:rsidR="00C30FB0" w:rsidRPr="008D0377" w:rsidRDefault="00C30FB0" w:rsidP="00C30FB0">
      <w:pPr>
        <w:pStyle w:val="JuristischerAbsatznummeriert"/>
      </w:pPr>
      <w:r w:rsidRPr="008D0377">
        <w:t>Abweichend von Absatz</w:t>
      </w:r>
      <w:r w:rsidR="008B5E0D" w:rsidRPr="008D0377">
        <w:t> </w:t>
      </w:r>
      <w:r w:rsidRPr="008D0377">
        <w:t>1 Satz</w:t>
      </w:r>
      <w:r w:rsidR="008B5E0D" w:rsidRPr="008D0377">
        <w:t> </w:t>
      </w:r>
      <w:r w:rsidRPr="008D0377">
        <w:t xml:space="preserve">1 können Recycling-Baustoffe gemeinsam mit gleichartigen Abfallfraktionen aus Primärbaustoffen gesammelt und befördert werden. </w:t>
      </w:r>
    </w:p>
    <w:p w14:paraId="1E2BA183" w14:textId="77777777" w:rsidR="00C30FB0" w:rsidRPr="008D0377" w:rsidRDefault="00C30FB0" w:rsidP="00C30FB0">
      <w:pPr>
        <w:pStyle w:val="JuristischerAbsatznummeriert"/>
      </w:pPr>
      <w:r w:rsidRPr="008D0377">
        <w:t>Die Pflichten nach Absatz</w:t>
      </w:r>
      <w:r w:rsidR="008B5E0D" w:rsidRPr="008D0377">
        <w:t> </w:t>
      </w:r>
      <w:r w:rsidRPr="008D0377">
        <w:t>1 Satz</w:t>
      </w:r>
      <w:r w:rsidR="008B5E0D" w:rsidRPr="008D0377">
        <w:t> </w:t>
      </w:r>
      <w:r w:rsidRPr="008D0377">
        <w:t>1 entfallen, soweit die getrennte Sammlung der jeweiligen Abfallfraktion technisch nicht möglich oder wirtschaftlich nicht zumutbar ist. Technisch nicht möglich ist die getrennte Sammlung insbesondere dann, wenn für eine Aufstellung der Abfallbehälter für die getrennte Sammlung nicht genug Platz zur Verfügung steht. Die getrennte Sammlung der in Absatz</w:t>
      </w:r>
      <w:r w:rsidR="008B5E0D" w:rsidRPr="008D0377">
        <w:t> </w:t>
      </w:r>
      <w:r w:rsidRPr="008D0377">
        <w:t>1 Satz</w:t>
      </w:r>
      <w:r w:rsidR="008B5E0D" w:rsidRPr="008D0377">
        <w:t> </w:t>
      </w:r>
      <w:r w:rsidRPr="008D0377">
        <w:t>1 genannten Abfallfraktionen ist dann wirtschaftlich nicht zumutbar, wenn die Kosten für die getrennte Sammlung, insbesondere auf Grund einer hohen Verschmutzung oder einer sehr geringen Menge der jeweiligen Abfallfraktion, außer Verhältnis zu den Kosten für eine gemischte Sammlung stehen. Kosten, die durch technisch mögliche und wirtschaftlich zumutbare Maßnahmen des selektiven Rückbaus hätten vermieden werden können, sind bei der Prüfung der wirtschaftlichen Zumutbarkeit nicht zu berücksichtigen.</w:t>
      </w:r>
    </w:p>
    <w:p w14:paraId="0ADFCFF9" w14:textId="6BCF3431" w:rsidR="00C30FB0" w:rsidRPr="008D0377" w:rsidRDefault="00C30FB0" w:rsidP="00C30FB0">
      <w:pPr>
        <w:pStyle w:val="JuristischerAbsatznummeriert"/>
      </w:pPr>
      <w:r w:rsidRPr="008D0377">
        <w:t>Die Erzeuger und Besitzer haben die Erfüllung der Pflichten nach Absatz</w:t>
      </w:r>
      <w:r w:rsidR="008B5E0D" w:rsidRPr="008D0377">
        <w:t> </w:t>
      </w:r>
      <w:r w:rsidRPr="008D0377">
        <w:t>1 oder,</w:t>
      </w:r>
      <w:r w:rsidR="00CE1BE1">
        <w:t xml:space="preserve"> </w:t>
      </w:r>
      <w:r w:rsidRPr="008D0377">
        <w:t>im Falle der Abweichung von diesen Pflichten, das Vorliegen der Voraussetzungen nach Absatz</w:t>
      </w:r>
      <w:r w:rsidR="008B5E0D" w:rsidRPr="008D0377">
        <w:t> </w:t>
      </w:r>
      <w:r w:rsidRPr="008D0377">
        <w:t>4 zu dokumentieren. Die Dokumentation ist wie folgt vorzunehmen:</w:t>
      </w:r>
    </w:p>
    <w:p w14:paraId="473A2B78" w14:textId="77777777" w:rsidR="00C30FB0" w:rsidRPr="008D0377" w:rsidRDefault="00C30FB0" w:rsidP="00C30FB0">
      <w:pPr>
        <w:pStyle w:val="NummerierungStufe1"/>
      </w:pPr>
      <w:r w:rsidRPr="008D0377">
        <w:t>für die getrennte Sammlung durch Lagepläne, Lichtbilder, Praxisbelege, wie Liefer- oder Wiegescheine oder ähnliche Dokumente;</w:t>
      </w:r>
    </w:p>
    <w:p w14:paraId="1DA27449" w14:textId="77777777" w:rsidR="00C30FB0" w:rsidRPr="008D0377" w:rsidRDefault="00C30FB0" w:rsidP="00C30FB0">
      <w:pPr>
        <w:pStyle w:val="NummerierungStufe1"/>
      </w:pPr>
      <w:r w:rsidRPr="008D0377">
        <w:lastRenderedPageBreak/>
        <w:t>für die Zuführung sowohl der getrennt als auch der gemischt erfassten Abfälle zur Vorbereitung zur Wiederverwendung oder zur Aufbereitung durch eine Erklärung desjenigen, der die Abfälle übernimmt, wobei die Erklärung dessen Namen und Anschrift sowie die Masse und den beabsichtigten Verbleib des Abfalls zu enthalten hat;</w:t>
      </w:r>
    </w:p>
    <w:p w14:paraId="7C53D840" w14:textId="77777777" w:rsidR="00C30FB0" w:rsidRPr="008D0377" w:rsidRDefault="00C30FB0" w:rsidP="00C30FB0">
      <w:pPr>
        <w:pStyle w:val="NummerierungStufe1"/>
      </w:pPr>
      <w:r w:rsidRPr="008D0377">
        <w:t>für das Abweichen von der Pflicht zur getrennten Sammlung durch eine Darlegung der technischen Unmöglichkeit oder der wirtschaftlichen Unzumutbarkeit.</w:t>
      </w:r>
    </w:p>
    <w:p w14:paraId="379C173F" w14:textId="77777777" w:rsidR="00C30FB0" w:rsidRPr="00A10B6A" w:rsidRDefault="00C30FB0" w:rsidP="00C30FB0">
      <w:pPr>
        <w:pStyle w:val="JuristischerAbsatzFolgeabsatz"/>
      </w:pPr>
      <w:r w:rsidRPr="008D0377">
        <w:t>Die Dokumentation ist für einen Zeitraum von fünf Jahren aufzubewahren und auf Verlangen der zuständigen Behörde vorzulegen. Die Pflichten nach den Sätzen 1 bis 3 gelten nicht für Bau- und Abbruchmaßnahmen, bei denen das Volumen der insgesamt anfallenden Abfälle 50 Kubikmeter nicht überschreitet.</w:t>
      </w:r>
    </w:p>
    <w:p w14:paraId="7A34996F" w14:textId="77777777" w:rsidR="00C30FB0" w:rsidRPr="00C30FB0" w:rsidRDefault="00C30FB0" w:rsidP="00C30FB0">
      <w:pPr>
        <w:pStyle w:val="AbschnittBezeichner"/>
      </w:pPr>
    </w:p>
    <w:p w14:paraId="4EEF3773" w14:textId="77777777" w:rsidR="00C30FB0" w:rsidRPr="008D0377" w:rsidRDefault="00C30FB0" w:rsidP="00C30FB0">
      <w:pPr>
        <w:pStyle w:val="Abschnittberschrift"/>
      </w:pPr>
      <w:bookmarkStart w:id="32" w:name="_Toc64380052"/>
      <w:r w:rsidRPr="008D0377">
        <w:t>Gemeinsame Bestimmungen</w:t>
      </w:r>
      <w:bookmarkEnd w:id="32"/>
    </w:p>
    <w:p w14:paraId="4A2F27FE" w14:textId="77777777" w:rsidR="00C30FB0" w:rsidRDefault="00C30FB0" w:rsidP="00C30FB0">
      <w:pPr>
        <w:pStyle w:val="ParagraphBezeichner"/>
      </w:pPr>
    </w:p>
    <w:p w14:paraId="0E1E26B9" w14:textId="77777777" w:rsidR="00C30FB0" w:rsidRDefault="00C30FB0" w:rsidP="00C30FB0">
      <w:pPr>
        <w:pStyle w:val="Paragraphberschrift"/>
      </w:pPr>
      <w:bookmarkStart w:id="33" w:name="_Toc64380054"/>
      <w:r>
        <w:t>Lieferschein und Deckblatt</w:t>
      </w:r>
      <w:bookmarkEnd w:id="33"/>
    </w:p>
    <w:p w14:paraId="35C04CD1" w14:textId="77777777" w:rsidR="00C30FB0" w:rsidRPr="008D0377" w:rsidRDefault="00C30FB0" w:rsidP="00C30FB0">
      <w:pPr>
        <w:pStyle w:val="JuristischerAbsatznummeriert"/>
      </w:pPr>
      <w:r w:rsidRPr="008D0377">
        <w:t xml:space="preserve">Der Verbleib eines mineralischen Ersatzbaustoffs oder eines Gemisches ist vom erstmaligen Inverkehrbringen bis zum Einbau in ein technisches Bauwerk zu dokumentieren. Hierzu hat der Betreiber der Aufbereitungsanlage oder derjenige, der nicht aufbereitetes Bodenmaterial oder nicht aufbereitetes Baggergut in Verkehr bringt, spätestens bei der Anlieferung einen Lieferschein nach dem Muster in Anlage 7 auszustellen, </w:t>
      </w:r>
      <w:proofErr w:type="gramStart"/>
      <w:r w:rsidRPr="008D0377">
        <w:t>der folgende Angaben</w:t>
      </w:r>
      <w:proofErr w:type="gramEnd"/>
      <w:r w:rsidRPr="008D0377">
        <w:t xml:space="preserve"> enthalten muss:</w:t>
      </w:r>
    </w:p>
    <w:p w14:paraId="2D4FBDF3" w14:textId="77777777" w:rsidR="00C30FB0" w:rsidRPr="008D0377" w:rsidRDefault="00C30FB0" w:rsidP="00C30FB0">
      <w:pPr>
        <w:pStyle w:val="NummerierungStufe1"/>
      </w:pPr>
      <w:r w:rsidRPr="008D0377">
        <w:t>den Inverkehrbringer,</w:t>
      </w:r>
    </w:p>
    <w:p w14:paraId="6736ECD1" w14:textId="77777777" w:rsidR="00C30FB0" w:rsidRPr="008D0377" w:rsidRDefault="00C30FB0" w:rsidP="00C30FB0">
      <w:pPr>
        <w:pStyle w:val="NummerierungStufe1"/>
      </w:pPr>
      <w:r w:rsidRPr="008D0377">
        <w:t>Bezeichnung des mineralischen Ersatzbaustoffs sowie der Materialklasse und bei Gemischen die Benennung der einzelnen in dem Gemisch enthaltenen mineralischen Ersatzbaustoffe sowie deren Materialklassen,</w:t>
      </w:r>
    </w:p>
    <w:p w14:paraId="4127EA16" w14:textId="77777777" w:rsidR="00C30FB0" w:rsidRPr="008D0377" w:rsidRDefault="00C30FB0" w:rsidP="00C30FB0">
      <w:pPr>
        <w:pStyle w:val="NummerierungStufe1"/>
      </w:pPr>
      <w:r w:rsidRPr="008D0377">
        <w:t>bei Abfällen die Abfallschlüssel gemäß Abfallverzeichnisverordnung,</w:t>
      </w:r>
    </w:p>
    <w:p w14:paraId="334C37DE" w14:textId="77777777" w:rsidR="00C30FB0" w:rsidRPr="008D0377" w:rsidRDefault="00C30FB0" w:rsidP="00C30FB0">
      <w:pPr>
        <w:pStyle w:val="NummerierungStufe1"/>
      </w:pPr>
      <w:r w:rsidRPr="008D0377">
        <w:t>die Überwachungsstelle oder Untersuchungsstelle,</w:t>
      </w:r>
    </w:p>
    <w:p w14:paraId="0E080C61" w14:textId="77777777" w:rsidR="00C30FB0" w:rsidRPr="008D0377" w:rsidRDefault="00C30FB0" w:rsidP="00C30FB0">
      <w:pPr>
        <w:pStyle w:val="NummerierungStufe1"/>
      </w:pPr>
      <w:r w:rsidRPr="008D0377">
        <w:t>Angaben über die Einhaltung von in den Fußnoten der jeweiligen Einbautabelle für bestimmte Einbauweisen nach Anlage 2 oder 3 genannten Anforderungen,</w:t>
      </w:r>
    </w:p>
    <w:p w14:paraId="65CF98B6" w14:textId="77777777" w:rsidR="00C30FB0" w:rsidRPr="008D0377" w:rsidRDefault="00C30FB0" w:rsidP="00C30FB0">
      <w:pPr>
        <w:pStyle w:val="NummerierungStufe1"/>
      </w:pPr>
      <w:r w:rsidRPr="008D0377">
        <w:t>die Liefermenge in Tonnen und Abgabedatum,</w:t>
      </w:r>
    </w:p>
    <w:p w14:paraId="68227626" w14:textId="77777777" w:rsidR="00C30FB0" w:rsidRPr="008D0377" w:rsidRDefault="00C30FB0" w:rsidP="00C30FB0">
      <w:pPr>
        <w:pStyle w:val="NummerierungStufe1"/>
      </w:pPr>
      <w:r w:rsidRPr="008D0377">
        <w:t>die Lieferkörnung oder Bodengruppe und</w:t>
      </w:r>
    </w:p>
    <w:p w14:paraId="0D1B8F90" w14:textId="77777777" w:rsidR="00C30FB0" w:rsidRPr="008D0377" w:rsidRDefault="00C30FB0" w:rsidP="00C30FB0">
      <w:pPr>
        <w:pStyle w:val="NummerierungStufe1"/>
      </w:pPr>
      <w:r w:rsidRPr="008D0377">
        <w:t>den Beförderer.</w:t>
      </w:r>
    </w:p>
    <w:p w14:paraId="755F2F2C" w14:textId="77777777" w:rsidR="00C30FB0" w:rsidRPr="008D0377" w:rsidRDefault="00C30FB0" w:rsidP="00C30FB0">
      <w:pPr>
        <w:pStyle w:val="JuristischerAbsatznummeriert"/>
      </w:pPr>
      <w:r w:rsidRPr="008D0377">
        <w:t xml:space="preserve">Der Betreiber der Aufbereitungsanlage oder derjenige, der nicht aufbereitetes Bodenmaterial oder nicht aufbereitetes Baggergut in Verkehr bringt, hat den ausgefüllten Lieferschein zu unterschreiben und dem Beförderer zu übergeben. Der Beförderer hat den ausgefüllten und unterschriebenen Lieferschein dem Verwender zu übergeben. </w:t>
      </w:r>
    </w:p>
    <w:p w14:paraId="5FA19D19" w14:textId="77777777" w:rsidR="00C30FB0" w:rsidRPr="008D0377" w:rsidRDefault="00C30FB0" w:rsidP="00C30FB0">
      <w:pPr>
        <w:pStyle w:val="JuristischerAbsatznummeriert"/>
      </w:pPr>
      <w:r w:rsidRPr="008D0377">
        <w:t xml:space="preserve">Der Verwender hat die im Rahmen einer Baumaßnahme erhaltenen Lieferscheine unverzüglich nach Erhalt zusammenzufügen und mit einem Deckblatt nach dem Muster in Anlage 8 zu dokumentieren. Das Deckblatt hat folgende Angaben zu enthalten: </w:t>
      </w:r>
    </w:p>
    <w:p w14:paraId="5614BA7F" w14:textId="77777777" w:rsidR="00C30FB0" w:rsidRPr="008D0377" w:rsidRDefault="00C30FB0" w:rsidP="00C30FB0">
      <w:pPr>
        <w:pStyle w:val="NummerierungStufe1"/>
      </w:pPr>
      <w:r w:rsidRPr="008D0377">
        <w:lastRenderedPageBreak/>
        <w:t>den Verwender,</w:t>
      </w:r>
    </w:p>
    <w:p w14:paraId="744381FC" w14:textId="77777777" w:rsidR="00C30FB0" w:rsidRPr="008D0377" w:rsidRDefault="00C30FB0" w:rsidP="00C30FB0">
      <w:pPr>
        <w:pStyle w:val="NummerierungStufe1"/>
      </w:pPr>
      <w:r w:rsidRPr="008D0377">
        <w:t>den Bauherrn, sofern dieser nicht selbst Verwender ist,</w:t>
      </w:r>
    </w:p>
    <w:p w14:paraId="5CDE974F" w14:textId="77777777" w:rsidR="00C30FB0" w:rsidRPr="008D0377" w:rsidRDefault="00C30FB0" w:rsidP="00C30FB0">
      <w:pPr>
        <w:pStyle w:val="NummerierungStufe1"/>
      </w:pPr>
      <w:r w:rsidRPr="008D0377">
        <w:t>das Datum der Anlieferungen,</w:t>
      </w:r>
    </w:p>
    <w:p w14:paraId="625F87CA" w14:textId="77777777" w:rsidR="00C30FB0" w:rsidRPr="008D0377" w:rsidRDefault="00C30FB0" w:rsidP="00C30FB0">
      <w:pPr>
        <w:pStyle w:val="NummerierungStufe1"/>
      </w:pPr>
      <w:r w:rsidRPr="008D0377">
        <w:t>die Lageskizze des Einbauortes, Baumaßnahme,</w:t>
      </w:r>
    </w:p>
    <w:p w14:paraId="05E94546" w14:textId="77777777" w:rsidR="00C30FB0" w:rsidRPr="008D0377" w:rsidRDefault="00C30FB0" w:rsidP="00C30FB0">
      <w:pPr>
        <w:pStyle w:val="NummerierungStufe1"/>
      </w:pPr>
      <w:r w:rsidRPr="008D0377">
        <w:t>die Bezeichnung der Einbauweisen nach Anlage 2 oder 3 unter Angabe der jeweiligen Nummer,</w:t>
      </w:r>
    </w:p>
    <w:p w14:paraId="61134FB1" w14:textId="77777777" w:rsidR="00C30FB0" w:rsidRPr="008D0377" w:rsidRDefault="00C30FB0" w:rsidP="00C30FB0">
      <w:pPr>
        <w:pStyle w:val="NummerierungStufe1"/>
      </w:pPr>
      <w:r w:rsidRPr="008D0377">
        <w:t xml:space="preserve">die Bodenart der Grundwasserdeckschicht wie "Sand" oder "Lehm, Schluff oder Ton", </w:t>
      </w:r>
    </w:p>
    <w:p w14:paraId="3CE51B28" w14:textId="77777777" w:rsidR="00C30FB0" w:rsidRPr="008D0377" w:rsidRDefault="00C30FB0" w:rsidP="00C30FB0">
      <w:pPr>
        <w:pStyle w:val="NummerierungStufe1"/>
      </w:pPr>
      <w:r w:rsidRPr="008D0377">
        <w:t xml:space="preserve">Angaben zu dem höchsten zu erwartenden Grundwasserstand im Hinblick auf die Eigenschaft "günstig" oder "ungünstig" nach Anlage 2 oder 3 und </w:t>
      </w:r>
    </w:p>
    <w:p w14:paraId="3C4FAFEA" w14:textId="77777777" w:rsidR="00C30FB0" w:rsidRPr="008D0377" w:rsidRDefault="00C30FB0" w:rsidP="00C30FB0">
      <w:pPr>
        <w:pStyle w:val="NummerierungStufe1"/>
      </w:pPr>
      <w:r w:rsidRPr="008D0377">
        <w:t>die Lage der Baumaßnahme im Hinblick auf Wasserschutzgebiete, Heilquellenschutzgebiete oder Wasservorranggebiete nach den Spalten 4 bis 6 der Anlage 2 oder 3.</w:t>
      </w:r>
    </w:p>
    <w:p w14:paraId="581C6A70" w14:textId="77777777" w:rsidR="00C30FB0" w:rsidRPr="008D0377" w:rsidRDefault="00C30FB0" w:rsidP="00C30FB0">
      <w:pPr>
        <w:pStyle w:val="JuristischerAbsatzFolgeabsatz"/>
      </w:pPr>
      <w:r w:rsidRPr="008D0377">
        <w:t>Der Lieferschein kann für Bodenmaterial der Klasse 0 - BM-0, Bodenmaterial der Klasse 0* - BM-0*, Bodenmaterial der Klasse F0* - BM-F0*, Baggergut der Klasse 0 - BG-0, Baggergut der Klasse 0* - BG-0*, Baggergut der Klasse F0* - BG-F0* und Schmelzkammergranulat - SKG entfallen, wenn die Gesamtmenge des Einbaus in ein technisches Bauwerk 200 Tonnen nicht überschreitet. Der Verwender hat das Deckblatt unverzüglich nach Abschluss der Einbaumaßnahme zu unterschreiben und, sofern er nicht selbst Bauherr ist, dieses zusammen mit den Lieferscheinen dem Bauherrn zu übergeben. Der Bauherr hat, sofern er nicht selbst Grundstückseigentümer ist, das Deckblatt und die Lieferscheine unverzüglich nach Abschluss der gesamten Baumaßnahme dem Grundstückseigentümer zu übergeben. Sofern es sich bei der Baumaßnahme um eine kritische Dienstleistung, insbesondere die Verlegung eines Erdkabels handelt, gilt Satz</w:t>
      </w:r>
      <w:r w:rsidR="008B5E0D" w:rsidRPr="008D0377">
        <w:t> </w:t>
      </w:r>
      <w:r w:rsidRPr="008D0377">
        <w:t xml:space="preserve">5 mit der Maßgabe, dass das Deckblatt und die Lieferscheine dem Betreiber der kritischen Dienstleistung zu übergeben sind. </w:t>
      </w:r>
    </w:p>
    <w:p w14:paraId="552C4100" w14:textId="77777777" w:rsidR="00C30FB0" w:rsidRPr="00A10B6A" w:rsidRDefault="00C30FB0" w:rsidP="00C30FB0">
      <w:pPr>
        <w:pStyle w:val="JuristischerAbsatznummeriert"/>
      </w:pPr>
      <w:r w:rsidRPr="008D0377">
        <w:t>Der Betreiber der Aufbereitungsanlage oder derjenige, der nicht aufbereitetes Bodenmaterial oder nicht aufbereitetes Baggergut in Verkehr bringt, hat den Lieferschein als Durchschrift oder Kopie ab dem Zeitpunkt der Ausstellung fünf Jahre lang aufzubewahren. Der Grundstückseigentümer hat das Deckblatt und die Lieferscheine ab Erhalt so lange aufzubewahren, wie der jeweilige Ersatzbaustoff eingebaut ist. Diese Unterlagen sind der zuständigen Behörde auf deren Verlangen vorzulegen.</w:t>
      </w:r>
    </w:p>
    <w:p w14:paraId="1DC66F93" w14:textId="77777777" w:rsidR="00C30FB0" w:rsidRPr="00C30FB0" w:rsidRDefault="00C30FB0" w:rsidP="00C30FB0">
      <w:pPr>
        <w:pStyle w:val="ParagraphBezeichner"/>
      </w:pPr>
    </w:p>
    <w:p w14:paraId="60B31452" w14:textId="77777777" w:rsidR="00C30FB0" w:rsidRPr="00C30FB0" w:rsidRDefault="00C30FB0" w:rsidP="00C30FB0">
      <w:pPr>
        <w:pStyle w:val="Paragraphberschrift"/>
      </w:pPr>
      <w:bookmarkStart w:id="34" w:name="_Toc64380056"/>
      <w:r w:rsidRPr="008D0377">
        <w:t>Ordnungswidrigkeiten</w:t>
      </w:r>
      <w:bookmarkEnd w:id="34"/>
    </w:p>
    <w:p w14:paraId="511F774A" w14:textId="77777777" w:rsidR="00C30FB0" w:rsidRPr="008D0377" w:rsidRDefault="00C30FB0" w:rsidP="00C30FB0">
      <w:pPr>
        <w:pStyle w:val="JuristischerAbsatznummeriert"/>
      </w:pPr>
      <w:r w:rsidRPr="008D0377">
        <w:t>Ordnungswidrig im Sinne des §</w:t>
      </w:r>
      <w:r w:rsidR="008B5E0D" w:rsidRPr="008D0377">
        <w:t> </w:t>
      </w:r>
      <w:r w:rsidRPr="008D0377">
        <w:t>69 Absatz</w:t>
      </w:r>
      <w:r w:rsidR="008B5E0D" w:rsidRPr="008D0377">
        <w:t> </w:t>
      </w:r>
      <w:r w:rsidRPr="008D0377">
        <w:t>1 Nummer</w:t>
      </w:r>
      <w:r w:rsidR="008B5E0D" w:rsidRPr="008D0377">
        <w:t> </w:t>
      </w:r>
      <w:r w:rsidRPr="008D0377">
        <w:t>8 des Kreislaufwirtschaftsgesetzes handelt, wer vorsätzlich oder fahrlässig</w:t>
      </w:r>
    </w:p>
    <w:p w14:paraId="3F302222" w14:textId="77777777" w:rsidR="00C30FB0" w:rsidRPr="008D0377" w:rsidRDefault="00C30FB0" w:rsidP="00C30FB0">
      <w:pPr>
        <w:pStyle w:val="NummerierungStufe1"/>
      </w:pPr>
      <w:r w:rsidRPr="008D0377">
        <w:t>entgegen §</w:t>
      </w:r>
      <w:r w:rsidR="008B5E0D" w:rsidRPr="008D0377">
        <w:t> </w:t>
      </w:r>
      <w:r w:rsidRPr="008D0377">
        <w:t>5 Absatz</w:t>
      </w:r>
      <w:r w:rsidR="008B5E0D" w:rsidRPr="008D0377">
        <w:t> </w:t>
      </w:r>
      <w:r w:rsidRPr="008D0377">
        <w:t xml:space="preserve">5 einen mineralischen Ersatzbaustoff in Verkehr bringt, </w:t>
      </w:r>
    </w:p>
    <w:p w14:paraId="349A3A6F" w14:textId="77777777" w:rsidR="00C30FB0" w:rsidRPr="008D0377" w:rsidRDefault="00C30FB0" w:rsidP="00C30FB0">
      <w:pPr>
        <w:pStyle w:val="NummerierungStufe1"/>
      </w:pPr>
      <w:r w:rsidRPr="008D0377">
        <w:t>entgegen §</w:t>
      </w:r>
      <w:r w:rsidR="008B5E0D" w:rsidRPr="008D0377">
        <w:t> </w:t>
      </w:r>
      <w:r w:rsidRPr="008D0377">
        <w:t>6 Absatz</w:t>
      </w:r>
      <w:r w:rsidR="008B5E0D" w:rsidRPr="008D0377">
        <w:t> </w:t>
      </w:r>
      <w:r w:rsidRPr="008D0377">
        <w:t>2 Satz</w:t>
      </w:r>
      <w:r w:rsidR="008B5E0D" w:rsidRPr="008D0377">
        <w:t> </w:t>
      </w:r>
      <w:r w:rsidRPr="008D0377">
        <w:t>1 oder §</w:t>
      </w:r>
      <w:r w:rsidR="008B5E0D" w:rsidRPr="008D0377">
        <w:t> </w:t>
      </w:r>
      <w:r w:rsidRPr="008D0377">
        <w:t>7 Absatz</w:t>
      </w:r>
      <w:r w:rsidR="008B5E0D" w:rsidRPr="008D0377">
        <w:t> </w:t>
      </w:r>
      <w:r w:rsidRPr="008D0377">
        <w:t>1 Satz</w:t>
      </w:r>
      <w:r w:rsidR="008B5E0D" w:rsidRPr="008D0377">
        <w:t> </w:t>
      </w:r>
      <w:r w:rsidRPr="008D0377">
        <w:t>1 eine Überwachung nicht, nicht richtig, nicht vollständig oder nicht rechtzeitig durchführt oder durchführen lässt,</w:t>
      </w:r>
    </w:p>
    <w:p w14:paraId="1BC08420" w14:textId="77777777" w:rsidR="00C30FB0" w:rsidRPr="008D0377" w:rsidRDefault="00C30FB0" w:rsidP="00C30FB0">
      <w:pPr>
        <w:pStyle w:val="NummerierungStufe1"/>
      </w:pPr>
      <w:r w:rsidRPr="008D0377">
        <w:t>entgegen §</w:t>
      </w:r>
      <w:r w:rsidR="008B5E0D" w:rsidRPr="008D0377">
        <w:t> </w:t>
      </w:r>
      <w:r w:rsidRPr="008D0377">
        <w:t>11 oder §</w:t>
      </w:r>
      <w:r w:rsidR="008B5E0D" w:rsidRPr="008D0377">
        <w:t> </w:t>
      </w:r>
      <w:r w:rsidRPr="008D0377">
        <w:t>16 Absatz</w:t>
      </w:r>
      <w:r w:rsidR="008B5E0D" w:rsidRPr="008D0377">
        <w:t> </w:t>
      </w:r>
      <w:r w:rsidRPr="008D0377">
        <w:t>1 Satz</w:t>
      </w:r>
      <w:r w:rsidR="008B5E0D" w:rsidRPr="008D0377">
        <w:t> </w:t>
      </w:r>
      <w:r w:rsidRPr="008D0377">
        <w:t>1, auch in Verbindung mit Satz</w:t>
      </w:r>
      <w:r w:rsidR="008B5E0D" w:rsidRPr="008D0377">
        <w:t> </w:t>
      </w:r>
      <w:r w:rsidRPr="008D0377">
        <w:t>2, eine Einteilung nicht richtig vornimmt,</w:t>
      </w:r>
    </w:p>
    <w:p w14:paraId="43998442" w14:textId="77777777" w:rsidR="00C30FB0" w:rsidRPr="008D0377" w:rsidRDefault="00C30FB0" w:rsidP="00C30FB0">
      <w:pPr>
        <w:pStyle w:val="NummerierungStufe1"/>
      </w:pPr>
      <w:r w:rsidRPr="008D0377">
        <w:lastRenderedPageBreak/>
        <w:t>entgegen §</w:t>
      </w:r>
      <w:r w:rsidR="008B5E0D" w:rsidRPr="008D0377">
        <w:t> </w:t>
      </w:r>
      <w:r w:rsidRPr="008D0377">
        <w:t>12 Absatz</w:t>
      </w:r>
      <w:r w:rsidR="008B5E0D" w:rsidRPr="008D0377">
        <w:t> </w:t>
      </w:r>
      <w:r w:rsidRPr="008D0377">
        <w:t>1 Satz</w:t>
      </w:r>
      <w:r w:rsidR="008B5E0D" w:rsidRPr="008D0377">
        <w:t> </w:t>
      </w:r>
      <w:r w:rsidRPr="008D0377">
        <w:t>1, §</w:t>
      </w:r>
      <w:r w:rsidR="008B5E0D" w:rsidRPr="008D0377">
        <w:t> </w:t>
      </w:r>
      <w:r w:rsidRPr="008D0377">
        <w:t>17 Absatz</w:t>
      </w:r>
      <w:r w:rsidR="008B5E0D" w:rsidRPr="008D0377">
        <w:t> </w:t>
      </w:r>
      <w:r w:rsidRPr="008D0377">
        <w:t>1 oder 2 oder §</w:t>
      </w:r>
      <w:r w:rsidR="008B5E0D" w:rsidRPr="008D0377">
        <w:t> </w:t>
      </w:r>
      <w:r w:rsidRPr="008D0377">
        <w:t>25 Absatz</w:t>
      </w:r>
      <w:r w:rsidR="008B5E0D" w:rsidRPr="008D0377">
        <w:t> </w:t>
      </w:r>
      <w:r w:rsidRPr="008D0377">
        <w:t>1 Satz</w:t>
      </w:r>
      <w:r w:rsidR="008B5E0D" w:rsidRPr="008D0377">
        <w:t> </w:t>
      </w:r>
      <w:r w:rsidRPr="008D0377">
        <w:t>1 eine Dokumentation für ein Nebenprodukt oder für Abfall, der das Ende der Abfalleigenschaft erreicht hat, nicht, nicht richtig, nicht vollständig oder nicht rechtzeitig erstellt,</w:t>
      </w:r>
    </w:p>
    <w:p w14:paraId="7373C080" w14:textId="77777777" w:rsidR="00C30FB0" w:rsidRPr="008D0377" w:rsidRDefault="00C30FB0" w:rsidP="00C30FB0">
      <w:pPr>
        <w:pStyle w:val="NummerierungStufe1"/>
      </w:pPr>
      <w:r w:rsidRPr="008D0377">
        <w:t>entgegen §</w:t>
      </w:r>
      <w:r w:rsidR="008B5E0D" w:rsidRPr="008D0377">
        <w:t> </w:t>
      </w:r>
      <w:r w:rsidRPr="008D0377">
        <w:t xml:space="preserve">22 eine Anzeige nicht, nicht richtig, nicht vollständig oder nicht rechtzeitig erstattet, </w:t>
      </w:r>
    </w:p>
    <w:p w14:paraId="3AACD740" w14:textId="77777777" w:rsidR="00C30FB0" w:rsidRPr="008D0377" w:rsidRDefault="00C30FB0" w:rsidP="00C30FB0">
      <w:pPr>
        <w:pStyle w:val="NummerierungStufe1"/>
      </w:pPr>
      <w:r w:rsidRPr="008D0377">
        <w:t>entgegen §</w:t>
      </w:r>
      <w:r w:rsidR="008B5E0D" w:rsidRPr="008D0377">
        <w:t> </w:t>
      </w:r>
      <w:r w:rsidRPr="008D0377">
        <w:t>24 Absatz</w:t>
      </w:r>
      <w:r w:rsidR="008B5E0D" w:rsidRPr="008D0377">
        <w:t> </w:t>
      </w:r>
      <w:r w:rsidRPr="008D0377">
        <w:t>1 Satz</w:t>
      </w:r>
      <w:r w:rsidR="008B5E0D" w:rsidRPr="008D0377">
        <w:t> </w:t>
      </w:r>
      <w:r w:rsidRPr="008D0377">
        <w:t>1 dort genannte Abfälle nicht richtig sammelt oder nicht richtig befördert oder</w:t>
      </w:r>
    </w:p>
    <w:p w14:paraId="13CA89B2" w14:textId="77777777" w:rsidR="00C30FB0" w:rsidRPr="008D0377" w:rsidRDefault="00C30FB0" w:rsidP="00C30FB0">
      <w:pPr>
        <w:pStyle w:val="NummerierungStufe1"/>
      </w:pPr>
      <w:r w:rsidRPr="008D0377">
        <w:t>entgegen §</w:t>
      </w:r>
      <w:r w:rsidR="008B5E0D" w:rsidRPr="008D0377">
        <w:t> </w:t>
      </w:r>
      <w:r w:rsidRPr="008D0377">
        <w:t>25 Absatz</w:t>
      </w:r>
      <w:r w:rsidR="008B5E0D" w:rsidRPr="008D0377">
        <w:t> </w:t>
      </w:r>
      <w:r w:rsidRPr="008D0377">
        <w:t>4 Satz</w:t>
      </w:r>
      <w:r w:rsidR="008B5E0D" w:rsidRPr="008D0377">
        <w:t> </w:t>
      </w:r>
      <w:r w:rsidRPr="008D0377">
        <w:t xml:space="preserve">1 oder 2 einen dort genannten Lieferschein oder ein dort genanntes Deckblatt für ein Nebenprodukt oder für Abfall, der das Ende der Abfalleigenschaft erreicht hat, nicht oder nicht für die vorgesehene Dauer aufbewahrt. </w:t>
      </w:r>
    </w:p>
    <w:p w14:paraId="5C11242A" w14:textId="77777777" w:rsidR="00C30FB0" w:rsidRPr="008D0377" w:rsidRDefault="00C30FB0" w:rsidP="00C30FB0">
      <w:pPr>
        <w:pStyle w:val="JuristischerAbsatznummeriert"/>
      </w:pPr>
      <w:r w:rsidRPr="008D0377">
        <w:t>Ordnungswidrig im Sinne des §</w:t>
      </w:r>
      <w:r w:rsidR="008B5E0D" w:rsidRPr="008D0377">
        <w:t> </w:t>
      </w:r>
      <w:r w:rsidRPr="008D0377">
        <w:t>69 Absatz</w:t>
      </w:r>
      <w:r w:rsidR="008B5E0D" w:rsidRPr="008D0377">
        <w:t> </w:t>
      </w:r>
      <w:r w:rsidRPr="008D0377">
        <w:t>2 Nummer</w:t>
      </w:r>
      <w:r w:rsidR="008B5E0D" w:rsidRPr="008D0377">
        <w:t> </w:t>
      </w:r>
      <w:r w:rsidRPr="008D0377">
        <w:t>15 des Kreislaufwirtschaftsgesetzes handelt, wer vorsätzlich oder fahrlässig</w:t>
      </w:r>
    </w:p>
    <w:p w14:paraId="18A5496F" w14:textId="77777777" w:rsidR="00C30FB0" w:rsidRPr="008D0377" w:rsidRDefault="00C30FB0" w:rsidP="00C30FB0">
      <w:pPr>
        <w:pStyle w:val="NummerierungStufe1"/>
      </w:pPr>
      <w:r w:rsidRPr="008D0377">
        <w:t>entgegen §</w:t>
      </w:r>
      <w:r w:rsidR="008B5E0D" w:rsidRPr="008D0377">
        <w:t> </w:t>
      </w:r>
      <w:r w:rsidRPr="008D0377">
        <w:t>3 Absatz</w:t>
      </w:r>
      <w:r w:rsidR="008B5E0D" w:rsidRPr="008D0377">
        <w:t> </w:t>
      </w:r>
      <w:r w:rsidRPr="008D0377">
        <w:t>1 Satz</w:t>
      </w:r>
      <w:r w:rsidR="008B5E0D" w:rsidRPr="008D0377">
        <w:t> </w:t>
      </w:r>
      <w:r w:rsidRPr="008D0377">
        <w:t>1 eine Annahmekontrolle nicht, nicht richtig, nicht vollständig oder nicht rechtzeitig durchführt oder eine Dokumentation nicht, nicht richtig, nicht vollständig oder nicht rechtzeitig erstellt,</w:t>
      </w:r>
    </w:p>
    <w:p w14:paraId="17FEE990" w14:textId="77777777" w:rsidR="00C30FB0" w:rsidRPr="008D0377" w:rsidRDefault="00C30FB0" w:rsidP="00C30FB0">
      <w:pPr>
        <w:pStyle w:val="NummerierungStufe1"/>
      </w:pPr>
      <w:r w:rsidRPr="008D0377">
        <w:t>entgegen §</w:t>
      </w:r>
      <w:r w:rsidR="008B5E0D" w:rsidRPr="008D0377">
        <w:t> </w:t>
      </w:r>
      <w:r w:rsidRPr="008D0377">
        <w:t>3 Absatz</w:t>
      </w:r>
      <w:r w:rsidR="008B5E0D" w:rsidRPr="008D0377">
        <w:t> </w:t>
      </w:r>
      <w:r w:rsidRPr="008D0377">
        <w:t>1 Satz</w:t>
      </w:r>
      <w:r w:rsidR="008B5E0D" w:rsidRPr="008D0377">
        <w:t> </w:t>
      </w:r>
      <w:r w:rsidRPr="008D0377">
        <w:t xml:space="preserve">5 vorhandene Untersuchungsergebnisse nicht, nicht richtig, nicht vollständig oder nicht rechtzeitig vorlegt, </w:t>
      </w:r>
    </w:p>
    <w:p w14:paraId="295302AB" w14:textId="6F419428" w:rsidR="00C30FB0" w:rsidRPr="008D0377" w:rsidRDefault="00C30FB0" w:rsidP="00C30FB0">
      <w:pPr>
        <w:pStyle w:val="NummerierungStufe1"/>
      </w:pPr>
      <w:r w:rsidRPr="008D0377">
        <w:t>entgegen §</w:t>
      </w:r>
      <w:r w:rsidR="008B5E0D" w:rsidRPr="008D0377">
        <w:t> </w:t>
      </w:r>
      <w:r w:rsidRPr="008D0377">
        <w:t>12 Absatz</w:t>
      </w:r>
      <w:r w:rsidR="008B5E0D" w:rsidRPr="008D0377">
        <w:t> </w:t>
      </w:r>
      <w:r w:rsidRPr="008D0377">
        <w:t>1 Satz</w:t>
      </w:r>
      <w:r w:rsidR="008B5E0D" w:rsidRPr="008D0377">
        <w:t> </w:t>
      </w:r>
      <w:r w:rsidR="005D6233">
        <w:t>1</w:t>
      </w:r>
      <w:r w:rsidRPr="008D0377">
        <w:t xml:space="preserve"> oder §</w:t>
      </w:r>
      <w:r w:rsidR="008B5E0D" w:rsidRPr="008D0377">
        <w:t> </w:t>
      </w:r>
      <w:r w:rsidRPr="008D0377">
        <w:t>17 Absatz</w:t>
      </w:r>
      <w:r w:rsidR="008B5E0D" w:rsidRPr="008D0377">
        <w:t> </w:t>
      </w:r>
      <w:r w:rsidRPr="008D0377">
        <w:t>1 oder 2 oder §</w:t>
      </w:r>
      <w:r w:rsidR="008B5E0D" w:rsidRPr="008D0377">
        <w:t> </w:t>
      </w:r>
      <w:r w:rsidRPr="008D0377">
        <w:t>25 Absatz</w:t>
      </w:r>
      <w:r w:rsidR="008B5E0D" w:rsidRPr="008D0377">
        <w:t> </w:t>
      </w:r>
      <w:r w:rsidRPr="008D0377">
        <w:t>1 Satz</w:t>
      </w:r>
      <w:r w:rsidR="008B5E0D" w:rsidRPr="008D0377">
        <w:t> </w:t>
      </w:r>
      <w:r w:rsidRPr="008D0377">
        <w:t>1 eine Dokumentation nicht, nicht richtig, nicht vollständig oder nicht rechtzeitig erstellt, oder</w:t>
      </w:r>
    </w:p>
    <w:p w14:paraId="709A2D4A" w14:textId="77777777" w:rsidR="00C30FB0" w:rsidRPr="008D0377" w:rsidRDefault="00C30FB0" w:rsidP="00C30FB0">
      <w:pPr>
        <w:pStyle w:val="NummerierungStufe1"/>
      </w:pPr>
      <w:r w:rsidRPr="008D0377">
        <w:t>entgegen §</w:t>
      </w:r>
      <w:r w:rsidR="008B5E0D" w:rsidRPr="008D0377">
        <w:t> </w:t>
      </w:r>
      <w:r w:rsidRPr="008D0377">
        <w:t>14 Absatz</w:t>
      </w:r>
      <w:r w:rsidR="008B5E0D" w:rsidRPr="008D0377">
        <w:t> </w:t>
      </w:r>
      <w:r w:rsidRPr="008D0377">
        <w:t>1 Satz</w:t>
      </w:r>
      <w:r w:rsidR="008B5E0D" w:rsidRPr="008D0377">
        <w:t> </w:t>
      </w:r>
      <w:r w:rsidRPr="008D0377">
        <w:t xml:space="preserve">1 eine dort genannte Untersuchung nicht, nicht richtig oder nicht rechtzeitig durchführt oder durchführen lässt. </w:t>
      </w:r>
    </w:p>
    <w:p w14:paraId="65C8618C" w14:textId="77777777" w:rsidR="00C30FB0" w:rsidRPr="008D0377" w:rsidRDefault="00C30FB0" w:rsidP="00C30FB0">
      <w:pPr>
        <w:pStyle w:val="JuristischerAbsatznummeriert"/>
        <w:tabs>
          <w:tab w:val="clear" w:pos="850"/>
        </w:tabs>
      </w:pPr>
      <w:r w:rsidRPr="008D0377">
        <w:t>Ordnungswidrig im Sinne des §</w:t>
      </w:r>
      <w:r w:rsidR="008B5E0D" w:rsidRPr="008D0377">
        <w:t> </w:t>
      </w:r>
      <w:r w:rsidRPr="008D0377">
        <w:t>26 Absatz</w:t>
      </w:r>
      <w:r w:rsidR="008B5E0D" w:rsidRPr="008D0377">
        <w:t> </w:t>
      </w:r>
      <w:r w:rsidRPr="008D0377">
        <w:t>1 Nummer</w:t>
      </w:r>
      <w:r w:rsidR="008B5E0D" w:rsidRPr="008D0377">
        <w:t> </w:t>
      </w:r>
      <w:r w:rsidRPr="008D0377">
        <w:t>1 des Bundes-Bodenschutzgesetzes handelt, wer vorsätzlich oder fahrlässig entgegen §</w:t>
      </w:r>
      <w:r w:rsidR="008B5E0D" w:rsidRPr="008D0377">
        <w:t> </w:t>
      </w:r>
      <w:r w:rsidRPr="008D0377">
        <w:t>19 Absatz</w:t>
      </w:r>
      <w:r w:rsidR="008B5E0D" w:rsidRPr="008D0377">
        <w:t> </w:t>
      </w:r>
      <w:r w:rsidRPr="008D0377">
        <w:t>1 oder Absatz</w:t>
      </w:r>
      <w:r w:rsidR="008B5E0D" w:rsidRPr="008D0377">
        <w:t> </w:t>
      </w:r>
      <w:r w:rsidRPr="008D0377">
        <w:t>6 Satz</w:t>
      </w:r>
      <w:r w:rsidR="008B5E0D" w:rsidRPr="008D0377">
        <w:t> </w:t>
      </w:r>
      <w:r w:rsidRPr="008D0377">
        <w:t>1 oder 2 oder §</w:t>
      </w:r>
      <w:r w:rsidR="008B5E0D" w:rsidRPr="008D0377">
        <w:t> </w:t>
      </w:r>
      <w:r w:rsidRPr="008D0377">
        <w:t>20 Absatz</w:t>
      </w:r>
      <w:r w:rsidR="008B5E0D" w:rsidRPr="008D0377">
        <w:t> </w:t>
      </w:r>
      <w:r w:rsidRPr="008D0377">
        <w:t>1 Satz</w:t>
      </w:r>
      <w:r w:rsidR="008B5E0D" w:rsidRPr="008D0377">
        <w:t> </w:t>
      </w:r>
      <w:r w:rsidRPr="008D0377">
        <w:t xml:space="preserve">1 einen mineralischen Ersatzbaustoff einbaut. </w:t>
      </w:r>
    </w:p>
    <w:p w14:paraId="535326D4" w14:textId="77777777" w:rsidR="00C30FB0" w:rsidRPr="00C30FB0" w:rsidRDefault="00C30FB0" w:rsidP="00C30FB0">
      <w:pPr>
        <w:pStyle w:val="ParagraphBezeichner"/>
      </w:pPr>
    </w:p>
    <w:p w14:paraId="38056D3B" w14:textId="77777777" w:rsidR="00C30FB0" w:rsidRPr="00C30FB0" w:rsidRDefault="00C30FB0" w:rsidP="00C30FB0">
      <w:pPr>
        <w:pStyle w:val="Paragraphberschrift"/>
      </w:pPr>
      <w:bookmarkStart w:id="35" w:name="_Toc64380058"/>
      <w:r w:rsidRPr="008D0377">
        <w:t>Übergangsvorschriften</w:t>
      </w:r>
      <w:bookmarkEnd w:id="35"/>
    </w:p>
    <w:p w14:paraId="433C3E95" w14:textId="77777777" w:rsidR="00C30FB0" w:rsidRPr="008D0377" w:rsidRDefault="00C30FB0" w:rsidP="00C30FB0">
      <w:pPr>
        <w:pStyle w:val="JuristischerAbsatznummeriert"/>
      </w:pPr>
      <w:r w:rsidRPr="008D0377">
        <w:t xml:space="preserve">Betreiber von Aufbereitungsanlagen, die am … </w:t>
      </w:r>
      <w:r w:rsidRPr="008D0377">
        <w:rPr>
          <w:rStyle w:val="Marker"/>
        </w:rPr>
        <w:t>[einsetzen: Datum des Tages des Inkrafttretens dieser Verordnung]</w:t>
      </w:r>
      <w:r w:rsidRPr="008D0377">
        <w:t xml:space="preserve"> in Betrieb sind, haben bis zum … </w:t>
      </w:r>
      <w:r w:rsidRPr="008D0377">
        <w:rPr>
          <w:rStyle w:val="Marker"/>
        </w:rPr>
        <w:t>[einsetzen: Datum des ersten Tages des vierten auf das Inkrafttreten dieser Verordnung folgenden Kalendermonats]</w:t>
      </w:r>
      <w:r w:rsidRPr="008D0377">
        <w:t xml:space="preserve"> einen Eignungsnachweis gemäß §</w:t>
      </w:r>
      <w:r w:rsidR="008B5E0D" w:rsidRPr="008D0377">
        <w:t> </w:t>
      </w:r>
      <w:r w:rsidRPr="008D0377">
        <w:t>5 Absatz</w:t>
      </w:r>
      <w:r w:rsidR="008B5E0D" w:rsidRPr="008D0377">
        <w:t> </w:t>
      </w:r>
      <w:r w:rsidRPr="008D0377">
        <w:t>1 zu erbringen.</w:t>
      </w:r>
    </w:p>
    <w:p w14:paraId="7939C546" w14:textId="77777777" w:rsidR="00C30FB0" w:rsidRPr="008D0377" w:rsidRDefault="00C30FB0" w:rsidP="00C30FB0">
      <w:pPr>
        <w:pStyle w:val="JuristischerAbsatznummeriert"/>
      </w:pPr>
      <w:r w:rsidRPr="008D0377">
        <w:t>Abweichend von §</w:t>
      </w:r>
      <w:r w:rsidR="008B5E0D" w:rsidRPr="008D0377">
        <w:t> </w:t>
      </w:r>
      <w:r w:rsidRPr="008D0377">
        <w:t>5 Absatz</w:t>
      </w:r>
      <w:r w:rsidR="008B5E0D" w:rsidRPr="008D0377">
        <w:t> </w:t>
      </w:r>
      <w:r w:rsidRPr="008D0377">
        <w:t xml:space="preserve">5 dürfen die Betreiber von Aufbereitungsanlagen mineralische Ersatzbaustoffe bis zum … </w:t>
      </w:r>
      <w:r w:rsidRPr="008D0377">
        <w:rPr>
          <w:rStyle w:val="Marker"/>
        </w:rPr>
        <w:t>[einsetzen: Datum des ersten Tages des vierten auf das Inkrafttreten dieser Verordnung folgenden Kalendermonats]</w:t>
      </w:r>
      <w:r w:rsidRPr="008D0377">
        <w:t xml:space="preserve"> auch dann in Verkehr bringen, wenn das Prüfzeugnis für einen bestandenen Eignungsnachweis nicht vorliegt. </w:t>
      </w:r>
    </w:p>
    <w:p w14:paraId="385204E4" w14:textId="77777777" w:rsidR="00C30FB0" w:rsidRPr="008D0377" w:rsidRDefault="00C30FB0" w:rsidP="00C30FB0">
      <w:pPr>
        <w:pStyle w:val="JuristischerAbsatznummeriert"/>
      </w:pPr>
      <w:r w:rsidRPr="008D0377">
        <w:t>Diese Verordnung findet keine Anwendung auf den Einbau von nicht aufbereitetem Bodenmaterial oder nicht aufbereitetem Baggergut in ein technisches Bauwerk, soweit</w:t>
      </w:r>
    </w:p>
    <w:p w14:paraId="3D927F69" w14:textId="77777777" w:rsidR="00C30FB0" w:rsidRPr="008D0377" w:rsidRDefault="00C30FB0" w:rsidP="00C30FB0">
      <w:pPr>
        <w:pStyle w:val="NummerierungStufe1"/>
      </w:pPr>
      <w:r w:rsidRPr="008D0377">
        <w:lastRenderedPageBreak/>
        <w:t xml:space="preserve">der Einbau auf der Grundlage einer Zulassung erfolgt, die vor dem … </w:t>
      </w:r>
      <w:r w:rsidRPr="008D0377">
        <w:rPr>
          <w:rStyle w:val="Marker"/>
        </w:rPr>
        <w:t>[einsetzen: Datum der Verkündung dieser Verordnung]</w:t>
      </w:r>
      <w:r w:rsidRPr="008D0377">
        <w:t xml:space="preserve"> erteilt wurde und die Anforderungen an den Einbau festlegt, oder</w:t>
      </w:r>
    </w:p>
    <w:p w14:paraId="382EBE28" w14:textId="5ABF987B" w:rsidR="00C30FB0" w:rsidRPr="008D0377" w:rsidRDefault="00C30FB0" w:rsidP="00C30FB0">
      <w:pPr>
        <w:pStyle w:val="NummerierungStufe1"/>
      </w:pPr>
      <w:r w:rsidRPr="008D0377">
        <w:t>der Einbau im Rahmen eines UVP-pflichtigen Vorhabens erfolgt, bei dem der Träger des Vorhabens die Unterlagen nach §</w:t>
      </w:r>
      <w:r w:rsidR="008B5E0D" w:rsidRPr="008D0377">
        <w:t> </w:t>
      </w:r>
      <w:r w:rsidRPr="008D0377">
        <w:t>5 Absatz</w:t>
      </w:r>
      <w:r w:rsidR="008B5E0D" w:rsidRPr="008D0377">
        <w:t> </w:t>
      </w:r>
      <w:r w:rsidRPr="008D0377">
        <w:t xml:space="preserve">1 des Gesetzes über die Umweltverträglichkeitsprüfung oder entsprechenden Vorschriften des Landesrechts der zuständigen Behörde vor dem … </w:t>
      </w:r>
      <w:r w:rsidRPr="008D0377">
        <w:rPr>
          <w:rStyle w:val="Marker"/>
        </w:rPr>
        <w:t>[einsetzen: Datum der Verkündung dieser Verordnung]</w:t>
      </w:r>
      <w:r w:rsidRPr="008D0377">
        <w:t xml:space="preserve"> vorgelegt hat und diese Unterlagen Anforderungen an den Einbau vorsahen.</w:t>
      </w:r>
    </w:p>
    <w:p w14:paraId="7441C44B" w14:textId="77777777" w:rsidR="00C30FB0" w:rsidRPr="008D0377" w:rsidRDefault="00C30FB0" w:rsidP="00C30FB0">
      <w:pPr>
        <w:pStyle w:val="JuristischerAbsatznummeriert"/>
        <w:tabs>
          <w:tab w:val="clear" w:pos="850"/>
        </w:tabs>
      </w:pPr>
      <w:r w:rsidRPr="008D0377">
        <w:t>Solange keine Möglichkeit besteht, ein elektronisches Kataster zu führen, ist die zuständige Behörde verpflichtet, die angezeigten Verwendungen mineralischer Ersatzbaustoffe aufzubewahren.</w:t>
      </w:r>
    </w:p>
    <w:p w14:paraId="1A146131" w14:textId="77777777" w:rsidR="00C30FB0" w:rsidRDefault="00C30FB0" w:rsidP="00C30FB0">
      <w:pPr>
        <w:sectPr w:rsidR="00C30FB0" w:rsidSect="007947FE">
          <w:pgSz w:w="11907" w:h="16839"/>
          <w:pgMar w:top="1134" w:right="1417" w:bottom="1134" w:left="1701" w:header="709" w:footer="709" w:gutter="0"/>
          <w:cols w:space="708"/>
          <w:docGrid w:linePitch="360"/>
        </w:sectPr>
      </w:pPr>
    </w:p>
    <w:p w14:paraId="1AE156AA" w14:textId="77777777" w:rsidR="00C30FB0" w:rsidRPr="00C30FB0" w:rsidRDefault="00C30FB0" w:rsidP="00C17FD1">
      <w:pPr>
        <w:pStyle w:val="AnlageBezeichnernummeriert"/>
        <w:numPr>
          <w:ilvl w:val="0"/>
          <w:numId w:val="34"/>
        </w:numPr>
      </w:pPr>
    </w:p>
    <w:p w14:paraId="51C684A2" w14:textId="77777777" w:rsidR="008B5E0D" w:rsidRPr="008B5E0D" w:rsidRDefault="008B5E0D" w:rsidP="008B5E0D">
      <w:pPr>
        <w:pStyle w:val="AnlageVerweis"/>
      </w:pPr>
      <w:r w:rsidRPr="008D0377">
        <w:t>(zu § 2 Nummer 11 und 13, § 3 Absatz 1 Satz 3 Nummer 1 und 2 und Absatz 2 und 3, § 5 Absatz 2, § 6 Absatz 2, § 7 Absatz 1, § 9 Absatz 1 und 4, § 10 Absatz 1, 2 und 3, § 11, § 13 Absatz 1 Nummer 2, § 14 Absatz 1, § 15, § 16 Absatz 1 sowie § 21 Absatz 3, 4 und 5)</w:t>
      </w:r>
    </w:p>
    <w:p w14:paraId="47DB22A1" w14:textId="77777777" w:rsidR="00C30FB0" w:rsidRPr="00C30FB0" w:rsidRDefault="00C30FB0" w:rsidP="00C30FB0">
      <w:pPr>
        <w:pStyle w:val="Anlageberschrift"/>
      </w:pPr>
      <w:bookmarkStart w:id="36" w:name="_Toc64380060"/>
      <w:r w:rsidRPr="008D0377">
        <w:t>Abkürzungsverzeichnis und Materialwerte für die in den Anlagen bezeichneten mineralischen Ersatzbaustoffe</w:t>
      </w:r>
      <w:bookmarkEnd w:id="36"/>
    </w:p>
    <w:p w14:paraId="3CCC43EB" w14:textId="77777777" w:rsidR="008B5E0D" w:rsidRPr="008D0377" w:rsidRDefault="008B5E0D" w:rsidP="009E3875">
      <w:pPr>
        <w:spacing w:before="80" w:after="80"/>
      </w:pPr>
      <w:r w:rsidRPr="008D0377">
        <w:t>MEB</w:t>
      </w:r>
      <w:r w:rsidRPr="008D0377">
        <w:tab/>
      </w:r>
      <w:r w:rsidRPr="008D0377">
        <w:tab/>
      </w:r>
      <w:r w:rsidRPr="008D0377">
        <w:tab/>
      </w:r>
      <w:r w:rsidRPr="008D0377">
        <w:tab/>
      </w:r>
      <w:r w:rsidRPr="008D0377">
        <w:tab/>
      </w:r>
      <w:r w:rsidRPr="008D0377">
        <w:tab/>
      </w:r>
      <w:r w:rsidRPr="008D0377">
        <w:tab/>
      </w:r>
      <w:r w:rsidRPr="008D0377">
        <w:tab/>
        <w:t>Mineralischer Ersatzbaustoff</w:t>
      </w:r>
    </w:p>
    <w:p w14:paraId="03566884" w14:textId="194D24BC" w:rsidR="008B5E0D" w:rsidRPr="008D0377" w:rsidRDefault="008B5E0D" w:rsidP="009E3875">
      <w:pPr>
        <w:spacing w:before="80" w:after="80"/>
        <w:jc w:val="left"/>
      </w:pPr>
      <w:r w:rsidRPr="008D0377">
        <w:t>HOS-1, HOS-2</w:t>
      </w:r>
      <w:r w:rsidRPr="008D0377">
        <w:tab/>
      </w:r>
      <w:r w:rsidRPr="008D0377">
        <w:tab/>
      </w:r>
      <w:r w:rsidRPr="008D0377">
        <w:tab/>
      </w:r>
      <w:r w:rsidRPr="008D0377">
        <w:tab/>
      </w:r>
      <w:r w:rsidR="009E3875">
        <w:tab/>
      </w:r>
      <w:r w:rsidR="009E3875">
        <w:tab/>
      </w:r>
      <w:r w:rsidRPr="008D0377">
        <w:t>Hochofenstückschlacke der Klassen 1, 2</w:t>
      </w:r>
    </w:p>
    <w:p w14:paraId="24F430C6" w14:textId="76C718F7" w:rsidR="008B5E0D" w:rsidRPr="008D0377" w:rsidRDefault="009E3875" w:rsidP="009E3875">
      <w:pPr>
        <w:spacing w:before="80" w:after="80"/>
      </w:pPr>
      <w:r>
        <w:t>HS</w:t>
      </w:r>
      <w:r>
        <w:tab/>
      </w:r>
      <w:r>
        <w:tab/>
      </w:r>
      <w:r>
        <w:tab/>
      </w:r>
      <w:r>
        <w:tab/>
      </w:r>
      <w:r>
        <w:tab/>
      </w:r>
      <w:r>
        <w:tab/>
      </w:r>
      <w:r>
        <w:tab/>
      </w:r>
      <w:r w:rsidR="008B5E0D" w:rsidRPr="008D0377">
        <w:tab/>
        <w:t>Hüttensand</w:t>
      </w:r>
    </w:p>
    <w:p w14:paraId="46FFE4D6" w14:textId="0A7943AA" w:rsidR="008B5E0D" w:rsidRPr="008D0377" w:rsidRDefault="008B5E0D" w:rsidP="009E3875">
      <w:pPr>
        <w:spacing w:before="80" w:after="80"/>
      </w:pPr>
      <w:r w:rsidRPr="008D0377">
        <w:t>SWS-1, SWS-2</w:t>
      </w:r>
      <w:r w:rsidRPr="008D0377">
        <w:tab/>
      </w:r>
      <w:r w:rsidRPr="008D0377">
        <w:tab/>
      </w:r>
      <w:r w:rsidRPr="008D0377">
        <w:tab/>
      </w:r>
      <w:r w:rsidR="009E3875">
        <w:tab/>
      </w:r>
      <w:r w:rsidRPr="008D0377">
        <w:tab/>
      </w:r>
      <w:r w:rsidRPr="008D0377">
        <w:tab/>
        <w:t>Stahlwerksschlacke der Klassen 1, 2</w:t>
      </w:r>
    </w:p>
    <w:p w14:paraId="61FAB577" w14:textId="18B73F47" w:rsidR="008B5E0D" w:rsidRPr="008D0377" w:rsidRDefault="008B5E0D" w:rsidP="009E3875">
      <w:pPr>
        <w:spacing w:before="80" w:after="80"/>
      </w:pPr>
      <w:r w:rsidRPr="008D0377">
        <w:t>CUM-1, CUM-2</w:t>
      </w:r>
      <w:r w:rsidRPr="008D0377">
        <w:tab/>
      </w:r>
      <w:r w:rsidRPr="008D0377">
        <w:tab/>
      </w:r>
      <w:r w:rsidRPr="008D0377">
        <w:tab/>
      </w:r>
      <w:r w:rsidR="009E3875">
        <w:tab/>
      </w:r>
      <w:r w:rsidRPr="008D0377">
        <w:tab/>
      </w:r>
      <w:r w:rsidRPr="008D0377">
        <w:tab/>
        <w:t>Kupferhüttenmaterial der Klassen 1, 2</w:t>
      </w:r>
    </w:p>
    <w:p w14:paraId="6A107A42" w14:textId="77777777" w:rsidR="008B5E0D" w:rsidRPr="008D0377" w:rsidRDefault="008B5E0D" w:rsidP="009E3875">
      <w:pPr>
        <w:spacing w:before="80" w:after="80"/>
      </w:pPr>
      <w:r w:rsidRPr="008D0377">
        <w:t>GKOS</w:t>
      </w:r>
      <w:r w:rsidRPr="008D0377">
        <w:tab/>
      </w:r>
      <w:r w:rsidRPr="008D0377">
        <w:tab/>
      </w:r>
      <w:r w:rsidRPr="008D0377">
        <w:tab/>
      </w:r>
      <w:r w:rsidRPr="008D0377">
        <w:tab/>
      </w:r>
      <w:r w:rsidRPr="008D0377">
        <w:tab/>
      </w:r>
      <w:r w:rsidRPr="008D0377">
        <w:tab/>
      </w:r>
      <w:r w:rsidRPr="008D0377">
        <w:tab/>
      </w:r>
      <w:r w:rsidRPr="008D0377">
        <w:tab/>
        <w:t>Gießerei-</w:t>
      </w:r>
      <w:proofErr w:type="spellStart"/>
      <w:r w:rsidRPr="008D0377">
        <w:t>Kupolofenschlacke</w:t>
      </w:r>
      <w:proofErr w:type="spellEnd"/>
    </w:p>
    <w:p w14:paraId="152F22A0" w14:textId="587FFD14" w:rsidR="008B5E0D" w:rsidRPr="008D0377" w:rsidRDefault="009E3875" w:rsidP="009E3875">
      <w:pPr>
        <w:spacing w:before="80" w:after="80"/>
      </w:pPr>
      <w:r>
        <w:t>GRS</w:t>
      </w:r>
      <w:r>
        <w:tab/>
      </w:r>
      <w:r>
        <w:tab/>
      </w:r>
      <w:r>
        <w:tab/>
      </w:r>
      <w:r>
        <w:tab/>
      </w:r>
      <w:r>
        <w:tab/>
      </w:r>
      <w:r>
        <w:tab/>
      </w:r>
      <w:r>
        <w:tab/>
      </w:r>
      <w:r>
        <w:tab/>
      </w:r>
      <w:r w:rsidR="008B5E0D" w:rsidRPr="008D0377">
        <w:t>Gießereirestsand</w:t>
      </w:r>
    </w:p>
    <w:p w14:paraId="4C501623" w14:textId="3E302790" w:rsidR="008B5E0D" w:rsidRPr="008D0377" w:rsidRDefault="008B5E0D" w:rsidP="009E3875">
      <w:pPr>
        <w:spacing w:before="80" w:after="80"/>
      </w:pPr>
      <w:r w:rsidRPr="008D0377">
        <w:t>SKG</w:t>
      </w:r>
      <w:r w:rsidRPr="008D0377">
        <w:tab/>
      </w:r>
      <w:r w:rsidRPr="008D0377">
        <w:tab/>
      </w:r>
      <w:r w:rsidRPr="008D0377">
        <w:tab/>
      </w:r>
      <w:r w:rsidR="009E3875">
        <w:tab/>
      </w:r>
      <w:r w:rsidR="009E3875">
        <w:tab/>
      </w:r>
      <w:r w:rsidR="009E3875">
        <w:tab/>
      </w:r>
      <w:r w:rsidR="009E3875">
        <w:tab/>
      </w:r>
      <w:r w:rsidR="009E3875">
        <w:tab/>
      </w:r>
      <w:r w:rsidRPr="008D0377">
        <w:t>Schmelzkammergranulat aus der Schmelzfeuerung von Steinkohle</w:t>
      </w:r>
    </w:p>
    <w:p w14:paraId="376E1787" w14:textId="77777777" w:rsidR="008B5E0D" w:rsidRPr="008D0377" w:rsidRDefault="008B5E0D" w:rsidP="009E3875">
      <w:pPr>
        <w:spacing w:before="80" w:after="80"/>
      </w:pPr>
      <w:r w:rsidRPr="008D0377">
        <w:t>SKA</w:t>
      </w:r>
      <w:r w:rsidRPr="008D0377">
        <w:tab/>
      </w:r>
      <w:r w:rsidRPr="008D0377">
        <w:tab/>
      </w:r>
      <w:r w:rsidRPr="008D0377">
        <w:tab/>
      </w:r>
      <w:r w:rsidRPr="008D0377">
        <w:tab/>
      </w:r>
      <w:r w:rsidRPr="008D0377">
        <w:tab/>
      </w:r>
      <w:r w:rsidRPr="008D0377">
        <w:tab/>
      </w:r>
      <w:r w:rsidRPr="008D0377">
        <w:tab/>
      </w:r>
      <w:r w:rsidRPr="008D0377">
        <w:tab/>
        <w:t>Steinkohlenkesselasche</w:t>
      </w:r>
    </w:p>
    <w:p w14:paraId="15897594" w14:textId="0688C7EE" w:rsidR="008B5E0D" w:rsidRPr="008D0377" w:rsidRDefault="009E3875" w:rsidP="009E3875">
      <w:pPr>
        <w:spacing w:before="80" w:after="80"/>
      </w:pPr>
      <w:r>
        <w:t>SFA</w:t>
      </w:r>
      <w:r>
        <w:tab/>
      </w:r>
      <w:r>
        <w:tab/>
      </w:r>
      <w:r>
        <w:tab/>
      </w:r>
      <w:r>
        <w:tab/>
      </w:r>
      <w:r>
        <w:tab/>
      </w:r>
      <w:r>
        <w:tab/>
      </w:r>
      <w:r>
        <w:tab/>
      </w:r>
      <w:r>
        <w:tab/>
      </w:r>
      <w:r w:rsidR="008B5E0D" w:rsidRPr="008D0377">
        <w:t>Steinkohlenflugasche</w:t>
      </w:r>
    </w:p>
    <w:p w14:paraId="557078F2" w14:textId="5B1B77E5" w:rsidR="008B5E0D" w:rsidRPr="008D0377" w:rsidRDefault="009E3875" w:rsidP="009E3875">
      <w:pPr>
        <w:spacing w:before="80" w:after="80"/>
      </w:pPr>
      <w:r>
        <w:t>BFA</w:t>
      </w:r>
      <w:r>
        <w:tab/>
      </w:r>
      <w:r>
        <w:tab/>
      </w:r>
      <w:r>
        <w:tab/>
      </w:r>
      <w:r>
        <w:tab/>
      </w:r>
      <w:r>
        <w:tab/>
      </w:r>
      <w:r>
        <w:tab/>
      </w:r>
      <w:r>
        <w:tab/>
      </w:r>
      <w:r>
        <w:tab/>
      </w:r>
      <w:r w:rsidR="008B5E0D" w:rsidRPr="008D0377">
        <w:t>Braunkohlenflugasche</w:t>
      </w:r>
    </w:p>
    <w:p w14:paraId="56DCAF02" w14:textId="009C4530" w:rsidR="008B5E0D" w:rsidRPr="008D0377" w:rsidRDefault="008B5E0D" w:rsidP="009E3875">
      <w:pPr>
        <w:spacing w:before="80" w:after="80"/>
      </w:pPr>
      <w:r w:rsidRPr="008D0377">
        <w:t>HMVA-1, HMVA-2</w:t>
      </w:r>
      <w:r w:rsidRPr="008D0377">
        <w:tab/>
      </w:r>
      <w:r w:rsidRPr="008D0377">
        <w:tab/>
      </w:r>
      <w:r w:rsidRPr="008D0377">
        <w:tab/>
      </w:r>
      <w:r w:rsidRPr="008D0377">
        <w:tab/>
      </w:r>
      <w:r w:rsidR="009E3875">
        <w:tab/>
      </w:r>
      <w:r w:rsidR="009E3875">
        <w:tab/>
      </w:r>
      <w:r w:rsidRPr="008D0377">
        <w:t>Hausmüllverbrennungsasche der Klassen 1, 2</w:t>
      </w:r>
    </w:p>
    <w:p w14:paraId="6B32CA6C" w14:textId="5E5A7584" w:rsidR="008B5E0D" w:rsidRPr="008D0377" w:rsidRDefault="008B5E0D" w:rsidP="009E3875">
      <w:pPr>
        <w:spacing w:before="80" w:after="80"/>
      </w:pPr>
      <w:r w:rsidRPr="008D0377">
        <w:t>RC-1, RC-2, RC-3</w:t>
      </w:r>
      <w:r w:rsidRPr="008D0377">
        <w:tab/>
      </w:r>
      <w:r w:rsidRPr="008D0377">
        <w:tab/>
      </w:r>
      <w:r w:rsidRPr="008D0377">
        <w:tab/>
      </w:r>
      <w:r w:rsidRPr="008D0377">
        <w:tab/>
      </w:r>
      <w:r w:rsidRPr="008D0377">
        <w:tab/>
      </w:r>
      <w:r w:rsidR="009E3875">
        <w:tab/>
      </w:r>
      <w:r w:rsidRPr="008D0377">
        <w:t>Recycling-Baustoff der Klassen 1, 2, 3</w:t>
      </w:r>
    </w:p>
    <w:p w14:paraId="168C8441" w14:textId="0C25965B" w:rsidR="008B5E0D" w:rsidRPr="008D0377" w:rsidRDefault="008B5E0D" w:rsidP="009E3875">
      <w:pPr>
        <w:spacing w:before="80" w:after="80"/>
      </w:pPr>
      <w:r w:rsidRPr="008D0377">
        <w:t>BM-0, BM-0*, BM-F0*, BM-F1, BM-F2, BM-F3</w:t>
      </w:r>
      <w:r w:rsidRPr="008D0377">
        <w:tab/>
      </w:r>
      <w:r w:rsidR="009E3875">
        <w:tab/>
      </w:r>
      <w:r w:rsidRPr="008D0377">
        <w:t>Bodenmaterial der Klassen 0, 0*, F0*, F1, F2, F3</w:t>
      </w:r>
    </w:p>
    <w:p w14:paraId="27BA5E33" w14:textId="52983B91" w:rsidR="008B5E0D" w:rsidRPr="008D0377" w:rsidRDefault="008B5E0D" w:rsidP="009E3875">
      <w:pPr>
        <w:spacing w:before="80" w:after="80"/>
      </w:pPr>
      <w:r w:rsidRPr="008D0377">
        <w:t>BG-0, BG-0*, BG-F0*, BG-F1, BG-F2, BG-3</w:t>
      </w:r>
      <w:r w:rsidRPr="008D0377">
        <w:tab/>
      </w:r>
      <w:r w:rsidR="009E3875">
        <w:tab/>
      </w:r>
      <w:r w:rsidR="009E3875">
        <w:tab/>
      </w:r>
      <w:r w:rsidRPr="008D0377">
        <w:t>Baggergut der Klassen 0, 0*, F0*, F1, F2, F3</w:t>
      </w:r>
    </w:p>
    <w:p w14:paraId="33BC80ED" w14:textId="3F553841" w:rsidR="008B5E0D" w:rsidRPr="008D0377" w:rsidRDefault="008B5E0D" w:rsidP="009E3875">
      <w:pPr>
        <w:spacing w:before="80" w:after="80"/>
      </w:pPr>
      <w:r w:rsidRPr="008D0377">
        <w:t>GS-0, GS-1, GS-2, GS-3</w:t>
      </w:r>
      <w:r w:rsidRPr="008D0377">
        <w:tab/>
      </w:r>
      <w:r w:rsidRPr="008D0377">
        <w:tab/>
      </w:r>
      <w:r w:rsidRPr="008D0377">
        <w:tab/>
      </w:r>
      <w:r w:rsidRPr="008D0377">
        <w:tab/>
      </w:r>
      <w:r w:rsidR="009E3875">
        <w:tab/>
      </w:r>
      <w:r w:rsidRPr="008D0377">
        <w:t xml:space="preserve">Gleisschotter der Klassen 0, 1, 2, 3 </w:t>
      </w:r>
    </w:p>
    <w:p w14:paraId="72535A64" w14:textId="5AEEBDAA" w:rsidR="00EE2B72" w:rsidRPr="008D0377" w:rsidRDefault="009E3875" w:rsidP="00CE7461">
      <w:pPr>
        <w:spacing w:before="80" w:after="80"/>
      </w:pPr>
      <w:r>
        <w:t>ZM</w:t>
      </w:r>
      <w:r>
        <w:tab/>
      </w:r>
      <w:r>
        <w:tab/>
      </w:r>
      <w:r>
        <w:tab/>
      </w:r>
      <w:r>
        <w:tab/>
      </w:r>
      <w:r>
        <w:tab/>
      </w:r>
      <w:r>
        <w:tab/>
      </w:r>
      <w:r>
        <w:tab/>
      </w:r>
      <w:r>
        <w:tab/>
      </w:r>
      <w:r w:rsidR="008B5E0D" w:rsidRPr="008D0377">
        <w:t>Ziegelmaterial</w:t>
      </w:r>
      <w:r w:rsidR="004B6F12" w:rsidRPr="008D0377">
        <w:t xml:space="preserve"> </w:t>
      </w:r>
      <w:r w:rsidR="00EE2B72" w:rsidRPr="008D0377">
        <w:br w:type="page"/>
      </w:r>
    </w:p>
    <w:p w14:paraId="02BFB188" w14:textId="6DB8606C" w:rsidR="004B6F12" w:rsidRDefault="004B6F12" w:rsidP="00C17FD1">
      <w:pPr>
        <w:pStyle w:val="berschrift1"/>
        <w:numPr>
          <w:ilvl w:val="0"/>
          <w:numId w:val="35"/>
        </w:numPr>
      </w:pPr>
      <w:r w:rsidRPr="008D0377">
        <w:lastRenderedPageBreak/>
        <w:t>Tabelle 1</w:t>
      </w:r>
    </w:p>
    <w:p w14:paraId="0F0A63FC" w14:textId="77777777" w:rsidR="004B6F12" w:rsidRPr="00EE2B72" w:rsidRDefault="004B6F12" w:rsidP="004B6F12">
      <w:pPr>
        <w:pStyle w:val="Text"/>
        <w:rPr>
          <w:b/>
        </w:rPr>
      </w:pPr>
      <w:r w:rsidRPr="008D0377">
        <w:t>Materialwerte für geregelte Ersatzbaustoffe ohne Gleisschotter, Bodenmaterial und Baggergut</w:t>
      </w:r>
    </w:p>
    <w:tbl>
      <w:tblPr>
        <w:tblW w:w="1238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3397"/>
        <w:gridCol w:w="905"/>
        <w:gridCol w:w="800"/>
        <w:gridCol w:w="800"/>
        <w:gridCol w:w="920"/>
        <w:gridCol w:w="950"/>
        <w:gridCol w:w="950"/>
        <w:gridCol w:w="800"/>
        <w:gridCol w:w="965"/>
        <w:gridCol w:w="965"/>
        <w:gridCol w:w="935"/>
      </w:tblGrid>
      <w:tr w:rsidR="004B6F12" w:rsidRPr="004B6F12" w14:paraId="7FD1CB20" w14:textId="77777777" w:rsidTr="00CE7461">
        <w:trPr>
          <w:cantSplit/>
          <w:trHeight w:hRule="exact" w:val="548"/>
        </w:trPr>
        <w:tc>
          <w:tcPr>
            <w:tcW w:w="3397" w:type="dxa"/>
            <w:tcBorders>
              <w:top w:val="single" w:sz="4" w:space="0" w:color="auto"/>
              <w:left w:val="single" w:sz="4" w:space="0" w:color="auto"/>
              <w:bottom w:val="single" w:sz="4" w:space="0" w:color="auto"/>
            </w:tcBorders>
            <w:vAlign w:val="center"/>
          </w:tcPr>
          <w:p w14:paraId="1CAA6928" w14:textId="77777777" w:rsidR="004B6F12" w:rsidRPr="004B6F12" w:rsidRDefault="004B6F12" w:rsidP="00CE7461">
            <w:pPr>
              <w:spacing w:before="0" w:after="0"/>
              <w:jc w:val="center"/>
              <w:rPr>
                <w:rFonts w:eastAsia="Times New Roman"/>
                <w:b/>
                <w:lang w:eastAsia="de-DE"/>
              </w:rPr>
            </w:pPr>
            <w:r w:rsidRPr="004B6F12">
              <w:rPr>
                <w:rFonts w:eastAsia="Times New Roman"/>
                <w:b/>
                <w:lang w:eastAsia="de-DE"/>
              </w:rPr>
              <w:t>MEB</w:t>
            </w:r>
          </w:p>
        </w:tc>
        <w:tc>
          <w:tcPr>
            <w:tcW w:w="905" w:type="dxa"/>
            <w:tcBorders>
              <w:top w:val="single" w:sz="4" w:space="0" w:color="auto"/>
              <w:bottom w:val="single" w:sz="4" w:space="0" w:color="auto"/>
            </w:tcBorders>
            <w:vAlign w:val="center"/>
          </w:tcPr>
          <w:p w14:paraId="5090ED43" w14:textId="77777777" w:rsidR="004B6F12" w:rsidRPr="004B6F12" w:rsidRDefault="004B6F12" w:rsidP="00CE7461">
            <w:pPr>
              <w:spacing w:before="0" w:after="0"/>
              <w:jc w:val="center"/>
              <w:rPr>
                <w:rFonts w:eastAsia="Times New Roman"/>
                <w:b/>
                <w:lang w:eastAsia="de-DE"/>
              </w:rPr>
            </w:pPr>
          </w:p>
        </w:tc>
        <w:tc>
          <w:tcPr>
            <w:tcW w:w="800" w:type="dxa"/>
            <w:tcBorders>
              <w:top w:val="single" w:sz="4" w:space="0" w:color="auto"/>
              <w:bottom w:val="single" w:sz="4" w:space="0" w:color="auto"/>
              <w:right w:val="single" w:sz="4" w:space="0" w:color="auto"/>
            </w:tcBorders>
            <w:vAlign w:val="center"/>
          </w:tcPr>
          <w:p w14:paraId="62EAF2FD" w14:textId="77777777" w:rsidR="004B6F12" w:rsidRPr="004B6F12" w:rsidRDefault="004B6F12" w:rsidP="00CE7461">
            <w:pPr>
              <w:spacing w:before="0" w:after="0"/>
              <w:jc w:val="center"/>
              <w:rPr>
                <w:rFonts w:eastAsia="Times New Roman"/>
                <w:b/>
                <w:lang w:eastAsia="de-DE"/>
              </w:rPr>
            </w:pPr>
            <w:r w:rsidRPr="004B6F12">
              <w:rPr>
                <w:rFonts w:eastAsia="Times New Roman"/>
                <w:b/>
                <w:lang w:eastAsia="de-DE"/>
              </w:rPr>
              <w:t>RC-1</w:t>
            </w:r>
          </w:p>
        </w:tc>
        <w:tc>
          <w:tcPr>
            <w:tcW w:w="800" w:type="dxa"/>
            <w:tcBorders>
              <w:top w:val="single" w:sz="4" w:space="0" w:color="auto"/>
              <w:bottom w:val="single" w:sz="4" w:space="0" w:color="auto"/>
              <w:right w:val="single" w:sz="4" w:space="0" w:color="auto"/>
            </w:tcBorders>
            <w:vAlign w:val="center"/>
          </w:tcPr>
          <w:p w14:paraId="6A78B0F8" w14:textId="77777777" w:rsidR="004B6F12" w:rsidRPr="004B6F12" w:rsidRDefault="004B6F12" w:rsidP="00CE7461">
            <w:pPr>
              <w:spacing w:before="0" w:after="0"/>
              <w:jc w:val="center"/>
              <w:rPr>
                <w:rFonts w:eastAsia="Times New Roman"/>
                <w:b/>
                <w:lang w:eastAsia="de-DE"/>
              </w:rPr>
            </w:pPr>
            <w:r w:rsidRPr="004B6F12">
              <w:rPr>
                <w:rFonts w:eastAsia="Times New Roman"/>
                <w:b/>
                <w:lang w:eastAsia="de-DE"/>
              </w:rPr>
              <w:t>RC-2</w:t>
            </w:r>
          </w:p>
        </w:tc>
        <w:tc>
          <w:tcPr>
            <w:tcW w:w="920" w:type="dxa"/>
            <w:tcBorders>
              <w:top w:val="single" w:sz="4" w:space="0" w:color="auto"/>
              <w:bottom w:val="single" w:sz="4" w:space="0" w:color="auto"/>
              <w:right w:val="single" w:sz="4" w:space="0" w:color="auto"/>
            </w:tcBorders>
            <w:vAlign w:val="center"/>
          </w:tcPr>
          <w:p w14:paraId="332A0ADD" w14:textId="77777777" w:rsidR="004B6F12" w:rsidRPr="004B6F12" w:rsidRDefault="004B6F12" w:rsidP="00CE7461">
            <w:pPr>
              <w:spacing w:before="0" w:after="0"/>
              <w:jc w:val="center"/>
              <w:rPr>
                <w:rFonts w:eastAsia="Times New Roman"/>
                <w:b/>
                <w:lang w:eastAsia="de-DE"/>
              </w:rPr>
            </w:pPr>
            <w:r w:rsidRPr="004B6F12">
              <w:rPr>
                <w:rFonts w:eastAsia="Times New Roman"/>
                <w:b/>
                <w:lang w:eastAsia="de-DE"/>
              </w:rPr>
              <w:t>RC-3</w:t>
            </w:r>
          </w:p>
        </w:tc>
        <w:tc>
          <w:tcPr>
            <w:tcW w:w="950" w:type="dxa"/>
            <w:tcBorders>
              <w:top w:val="single" w:sz="4" w:space="0" w:color="auto"/>
              <w:bottom w:val="single" w:sz="4" w:space="0" w:color="auto"/>
            </w:tcBorders>
            <w:vAlign w:val="center"/>
          </w:tcPr>
          <w:p w14:paraId="6EEF81EB" w14:textId="77777777" w:rsidR="004B6F12" w:rsidRPr="004B6F12" w:rsidRDefault="004B6F12" w:rsidP="00CE7461">
            <w:pPr>
              <w:spacing w:before="0" w:after="0"/>
              <w:jc w:val="center"/>
              <w:rPr>
                <w:rFonts w:eastAsia="Times New Roman"/>
                <w:b/>
                <w:lang w:eastAsia="de-DE"/>
              </w:rPr>
            </w:pPr>
            <w:r w:rsidRPr="004B6F12">
              <w:rPr>
                <w:rFonts w:eastAsia="Times New Roman"/>
                <w:b/>
                <w:lang w:eastAsia="de-DE"/>
              </w:rPr>
              <w:t>HOS-1</w:t>
            </w:r>
          </w:p>
        </w:tc>
        <w:tc>
          <w:tcPr>
            <w:tcW w:w="950" w:type="dxa"/>
            <w:tcBorders>
              <w:top w:val="single" w:sz="4" w:space="0" w:color="auto"/>
              <w:bottom w:val="single" w:sz="4" w:space="0" w:color="auto"/>
            </w:tcBorders>
            <w:vAlign w:val="center"/>
          </w:tcPr>
          <w:p w14:paraId="75581911" w14:textId="77777777" w:rsidR="004B6F12" w:rsidRPr="004B6F12" w:rsidRDefault="004B6F12" w:rsidP="00CE7461">
            <w:pPr>
              <w:spacing w:before="0" w:after="0"/>
              <w:jc w:val="center"/>
              <w:rPr>
                <w:rFonts w:eastAsia="Times New Roman"/>
                <w:b/>
                <w:lang w:eastAsia="de-DE"/>
              </w:rPr>
            </w:pPr>
            <w:r w:rsidRPr="004B6F12">
              <w:rPr>
                <w:rFonts w:eastAsia="Times New Roman"/>
                <w:b/>
                <w:lang w:eastAsia="de-DE"/>
              </w:rPr>
              <w:t>HOS-2</w:t>
            </w:r>
          </w:p>
        </w:tc>
        <w:tc>
          <w:tcPr>
            <w:tcW w:w="800" w:type="dxa"/>
            <w:tcBorders>
              <w:top w:val="single" w:sz="4" w:space="0" w:color="auto"/>
              <w:bottom w:val="single" w:sz="4" w:space="0" w:color="auto"/>
            </w:tcBorders>
            <w:vAlign w:val="center"/>
          </w:tcPr>
          <w:p w14:paraId="4FC69564" w14:textId="77777777" w:rsidR="004B6F12" w:rsidRPr="004B6F12" w:rsidRDefault="004B6F12" w:rsidP="00CE7461">
            <w:pPr>
              <w:spacing w:before="0" w:after="0"/>
              <w:jc w:val="center"/>
              <w:rPr>
                <w:rFonts w:eastAsia="Times New Roman"/>
                <w:b/>
                <w:lang w:eastAsia="de-DE"/>
              </w:rPr>
            </w:pPr>
            <w:r w:rsidRPr="004B6F12">
              <w:rPr>
                <w:rFonts w:eastAsia="Times New Roman"/>
                <w:b/>
                <w:lang w:eastAsia="de-DE"/>
              </w:rPr>
              <w:t>HS</w:t>
            </w:r>
          </w:p>
        </w:tc>
        <w:tc>
          <w:tcPr>
            <w:tcW w:w="965" w:type="dxa"/>
            <w:tcBorders>
              <w:top w:val="single" w:sz="4" w:space="0" w:color="auto"/>
              <w:bottom w:val="single" w:sz="4" w:space="0" w:color="auto"/>
            </w:tcBorders>
            <w:vAlign w:val="center"/>
          </w:tcPr>
          <w:p w14:paraId="105DECAE" w14:textId="77777777" w:rsidR="004B6F12" w:rsidRPr="004B6F12" w:rsidRDefault="004B6F12" w:rsidP="00CE7461">
            <w:pPr>
              <w:spacing w:before="0" w:after="0"/>
              <w:jc w:val="center"/>
              <w:rPr>
                <w:rFonts w:eastAsia="Times New Roman"/>
                <w:b/>
                <w:lang w:eastAsia="de-DE"/>
              </w:rPr>
            </w:pPr>
            <w:r w:rsidRPr="004B6F12">
              <w:rPr>
                <w:rFonts w:eastAsia="Times New Roman"/>
                <w:b/>
                <w:lang w:eastAsia="de-DE"/>
              </w:rPr>
              <w:t>SWS-1</w:t>
            </w:r>
          </w:p>
        </w:tc>
        <w:tc>
          <w:tcPr>
            <w:tcW w:w="965" w:type="dxa"/>
            <w:tcBorders>
              <w:top w:val="single" w:sz="4" w:space="0" w:color="auto"/>
              <w:bottom w:val="single" w:sz="4" w:space="0" w:color="auto"/>
            </w:tcBorders>
            <w:vAlign w:val="center"/>
          </w:tcPr>
          <w:p w14:paraId="7E4D9065" w14:textId="77777777" w:rsidR="004B6F12" w:rsidRPr="004B6F12" w:rsidRDefault="004B6F12" w:rsidP="00CE7461">
            <w:pPr>
              <w:spacing w:before="0" w:after="0"/>
              <w:jc w:val="center"/>
              <w:rPr>
                <w:rFonts w:eastAsia="Times New Roman"/>
                <w:b/>
                <w:lang w:eastAsia="de-DE"/>
              </w:rPr>
            </w:pPr>
            <w:r w:rsidRPr="004B6F12">
              <w:rPr>
                <w:rFonts w:eastAsia="Times New Roman"/>
                <w:b/>
                <w:lang w:eastAsia="de-DE"/>
              </w:rPr>
              <w:t>SWS-2</w:t>
            </w:r>
          </w:p>
        </w:tc>
        <w:tc>
          <w:tcPr>
            <w:tcW w:w="935" w:type="dxa"/>
            <w:tcBorders>
              <w:top w:val="single" w:sz="4" w:space="0" w:color="auto"/>
              <w:bottom w:val="single" w:sz="4" w:space="0" w:color="auto"/>
            </w:tcBorders>
            <w:vAlign w:val="center"/>
          </w:tcPr>
          <w:p w14:paraId="00A973F2" w14:textId="77777777" w:rsidR="004B6F12" w:rsidRPr="004B6F12" w:rsidRDefault="004B6F12" w:rsidP="00CE7461">
            <w:pPr>
              <w:spacing w:before="0" w:after="0"/>
              <w:jc w:val="center"/>
              <w:rPr>
                <w:rFonts w:eastAsia="Times New Roman"/>
                <w:b/>
                <w:lang w:eastAsia="de-DE"/>
              </w:rPr>
            </w:pPr>
            <w:r w:rsidRPr="004B6F12">
              <w:rPr>
                <w:rFonts w:eastAsia="Times New Roman"/>
                <w:b/>
                <w:lang w:eastAsia="de-DE"/>
              </w:rPr>
              <w:t>GKOS</w:t>
            </w:r>
          </w:p>
        </w:tc>
      </w:tr>
      <w:tr w:rsidR="004B6F12" w:rsidRPr="004B6F12" w14:paraId="0B487179" w14:textId="77777777" w:rsidTr="00CE7461">
        <w:trPr>
          <w:cantSplit/>
          <w:trHeight w:hRule="exact" w:val="302"/>
        </w:trPr>
        <w:tc>
          <w:tcPr>
            <w:tcW w:w="3397" w:type="dxa"/>
            <w:tcBorders>
              <w:top w:val="single" w:sz="4" w:space="0" w:color="auto"/>
              <w:left w:val="single" w:sz="4" w:space="0" w:color="auto"/>
              <w:bottom w:val="single" w:sz="4" w:space="0" w:color="auto"/>
            </w:tcBorders>
          </w:tcPr>
          <w:p w14:paraId="2E6A7E04" w14:textId="77777777" w:rsidR="004B6F12" w:rsidRPr="004B6F12" w:rsidRDefault="004B6F12" w:rsidP="00CE7461">
            <w:pPr>
              <w:spacing w:before="0" w:after="0"/>
              <w:jc w:val="left"/>
              <w:rPr>
                <w:rFonts w:eastAsia="Times New Roman"/>
                <w:b/>
                <w:lang w:eastAsia="de-DE"/>
              </w:rPr>
            </w:pPr>
            <w:r w:rsidRPr="004B6F12">
              <w:rPr>
                <w:rFonts w:eastAsia="Times New Roman"/>
                <w:b/>
                <w:lang w:eastAsia="de-DE"/>
              </w:rPr>
              <w:t>Parameter</w:t>
            </w:r>
          </w:p>
        </w:tc>
        <w:tc>
          <w:tcPr>
            <w:tcW w:w="905" w:type="dxa"/>
            <w:tcBorders>
              <w:top w:val="single" w:sz="4" w:space="0" w:color="auto"/>
              <w:bottom w:val="single" w:sz="4" w:space="0" w:color="auto"/>
            </w:tcBorders>
          </w:tcPr>
          <w:p w14:paraId="46713A57" w14:textId="77777777" w:rsidR="004B6F12" w:rsidRPr="004B6F12" w:rsidRDefault="004B6F12" w:rsidP="00CE7461">
            <w:pPr>
              <w:spacing w:before="0" w:after="0"/>
              <w:jc w:val="left"/>
              <w:rPr>
                <w:rFonts w:eastAsia="Times New Roman"/>
                <w:b/>
                <w:lang w:eastAsia="de-DE"/>
              </w:rPr>
            </w:pPr>
            <w:r w:rsidRPr="004B6F12">
              <w:rPr>
                <w:rFonts w:eastAsia="Times New Roman"/>
                <w:b/>
                <w:lang w:eastAsia="de-DE"/>
              </w:rPr>
              <w:t>Dim.</w:t>
            </w:r>
          </w:p>
        </w:tc>
        <w:tc>
          <w:tcPr>
            <w:tcW w:w="800" w:type="dxa"/>
            <w:tcBorders>
              <w:top w:val="single" w:sz="4" w:space="0" w:color="auto"/>
              <w:bottom w:val="single" w:sz="4" w:space="0" w:color="auto"/>
              <w:right w:val="single" w:sz="4" w:space="0" w:color="auto"/>
            </w:tcBorders>
          </w:tcPr>
          <w:p w14:paraId="00D8021D" w14:textId="77777777" w:rsidR="004B6F12" w:rsidRPr="004B6F12" w:rsidRDefault="004B6F12" w:rsidP="00CE7461">
            <w:pPr>
              <w:spacing w:before="0" w:after="0"/>
              <w:jc w:val="center"/>
              <w:rPr>
                <w:rFonts w:eastAsia="Times New Roman"/>
                <w:lang w:eastAsia="de-DE"/>
              </w:rPr>
            </w:pPr>
          </w:p>
        </w:tc>
        <w:tc>
          <w:tcPr>
            <w:tcW w:w="800" w:type="dxa"/>
            <w:tcBorders>
              <w:top w:val="single" w:sz="4" w:space="0" w:color="auto"/>
              <w:bottom w:val="single" w:sz="4" w:space="0" w:color="auto"/>
              <w:right w:val="single" w:sz="4" w:space="0" w:color="auto"/>
            </w:tcBorders>
          </w:tcPr>
          <w:p w14:paraId="79D5B23A" w14:textId="77777777" w:rsidR="004B6F12" w:rsidRPr="004B6F12" w:rsidRDefault="004B6F12" w:rsidP="00CE7461">
            <w:pPr>
              <w:spacing w:before="0" w:after="0"/>
              <w:jc w:val="center"/>
              <w:rPr>
                <w:rFonts w:eastAsia="Times New Roman"/>
                <w:lang w:eastAsia="de-DE"/>
              </w:rPr>
            </w:pPr>
          </w:p>
        </w:tc>
        <w:tc>
          <w:tcPr>
            <w:tcW w:w="920" w:type="dxa"/>
            <w:tcBorders>
              <w:top w:val="single" w:sz="4" w:space="0" w:color="auto"/>
              <w:bottom w:val="single" w:sz="4" w:space="0" w:color="auto"/>
              <w:right w:val="single" w:sz="4" w:space="0" w:color="auto"/>
            </w:tcBorders>
          </w:tcPr>
          <w:p w14:paraId="162354E8" w14:textId="77777777" w:rsidR="004B6F12" w:rsidRPr="004B6F12" w:rsidRDefault="004B6F12" w:rsidP="00CE7461">
            <w:pPr>
              <w:spacing w:before="0" w:after="0"/>
              <w:jc w:val="center"/>
              <w:rPr>
                <w:rFonts w:eastAsia="Times New Roman"/>
                <w:lang w:eastAsia="de-DE"/>
              </w:rPr>
            </w:pPr>
          </w:p>
        </w:tc>
        <w:tc>
          <w:tcPr>
            <w:tcW w:w="950" w:type="dxa"/>
            <w:tcBorders>
              <w:top w:val="single" w:sz="4" w:space="0" w:color="auto"/>
              <w:bottom w:val="single" w:sz="4" w:space="0" w:color="auto"/>
            </w:tcBorders>
            <w:vAlign w:val="center"/>
          </w:tcPr>
          <w:p w14:paraId="647D14A2" w14:textId="77777777" w:rsidR="004B6F12" w:rsidRPr="004B6F12" w:rsidRDefault="004B6F12" w:rsidP="00CE7461">
            <w:pPr>
              <w:spacing w:before="0" w:after="0"/>
              <w:jc w:val="center"/>
              <w:rPr>
                <w:rFonts w:eastAsia="Times New Roman"/>
                <w:lang w:eastAsia="de-DE"/>
              </w:rPr>
            </w:pPr>
          </w:p>
        </w:tc>
        <w:tc>
          <w:tcPr>
            <w:tcW w:w="950" w:type="dxa"/>
            <w:tcBorders>
              <w:top w:val="single" w:sz="4" w:space="0" w:color="auto"/>
              <w:bottom w:val="single" w:sz="4" w:space="0" w:color="auto"/>
            </w:tcBorders>
            <w:vAlign w:val="center"/>
          </w:tcPr>
          <w:p w14:paraId="2D8D6837" w14:textId="77777777" w:rsidR="004B6F12" w:rsidRPr="004B6F12" w:rsidRDefault="004B6F12" w:rsidP="00CE7461">
            <w:pPr>
              <w:spacing w:before="0" w:after="0"/>
              <w:jc w:val="center"/>
              <w:rPr>
                <w:rFonts w:eastAsia="Times New Roman"/>
                <w:lang w:eastAsia="de-DE"/>
              </w:rPr>
            </w:pPr>
          </w:p>
        </w:tc>
        <w:tc>
          <w:tcPr>
            <w:tcW w:w="800" w:type="dxa"/>
            <w:tcBorders>
              <w:top w:val="single" w:sz="4" w:space="0" w:color="auto"/>
              <w:bottom w:val="single" w:sz="4" w:space="0" w:color="auto"/>
            </w:tcBorders>
            <w:vAlign w:val="center"/>
          </w:tcPr>
          <w:p w14:paraId="24E3C5E5" w14:textId="77777777" w:rsidR="004B6F12" w:rsidRPr="004B6F12" w:rsidRDefault="004B6F12" w:rsidP="00CE7461">
            <w:pPr>
              <w:spacing w:before="0" w:after="0"/>
              <w:jc w:val="center"/>
              <w:rPr>
                <w:rFonts w:eastAsia="Times New Roman"/>
                <w:lang w:eastAsia="de-DE"/>
              </w:rPr>
            </w:pPr>
          </w:p>
        </w:tc>
        <w:tc>
          <w:tcPr>
            <w:tcW w:w="965" w:type="dxa"/>
            <w:tcBorders>
              <w:top w:val="single" w:sz="4" w:space="0" w:color="auto"/>
              <w:bottom w:val="single" w:sz="4" w:space="0" w:color="auto"/>
            </w:tcBorders>
            <w:vAlign w:val="center"/>
          </w:tcPr>
          <w:p w14:paraId="512BB9B5" w14:textId="77777777" w:rsidR="004B6F12" w:rsidRPr="004B6F12" w:rsidRDefault="004B6F12" w:rsidP="00CE7461">
            <w:pPr>
              <w:spacing w:before="0" w:after="0"/>
              <w:jc w:val="center"/>
              <w:rPr>
                <w:rFonts w:eastAsia="Times New Roman"/>
                <w:lang w:eastAsia="de-DE"/>
              </w:rPr>
            </w:pPr>
          </w:p>
        </w:tc>
        <w:tc>
          <w:tcPr>
            <w:tcW w:w="965" w:type="dxa"/>
            <w:tcBorders>
              <w:top w:val="single" w:sz="4" w:space="0" w:color="auto"/>
              <w:bottom w:val="single" w:sz="4" w:space="0" w:color="auto"/>
            </w:tcBorders>
            <w:vAlign w:val="center"/>
          </w:tcPr>
          <w:p w14:paraId="15803497" w14:textId="77777777" w:rsidR="004B6F12" w:rsidRPr="004B6F12" w:rsidRDefault="004B6F12" w:rsidP="00CE7461">
            <w:pPr>
              <w:spacing w:before="0" w:after="0"/>
              <w:jc w:val="center"/>
              <w:rPr>
                <w:rFonts w:eastAsia="Times New Roman"/>
                <w:lang w:eastAsia="de-DE"/>
              </w:rPr>
            </w:pPr>
          </w:p>
        </w:tc>
        <w:tc>
          <w:tcPr>
            <w:tcW w:w="935" w:type="dxa"/>
            <w:tcBorders>
              <w:top w:val="single" w:sz="4" w:space="0" w:color="auto"/>
              <w:bottom w:val="single" w:sz="4" w:space="0" w:color="auto"/>
            </w:tcBorders>
            <w:vAlign w:val="center"/>
          </w:tcPr>
          <w:p w14:paraId="726E448B" w14:textId="77777777" w:rsidR="004B6F12" w:rsidRPr="004B6F12" w:rsidRDefault="004B6F12" w:rsidP="00CE7461">
            <w:pPr>
              <w:spacing w:before="0" w:after="0"/>
              <w:jc w:val="center"/>
              <w:rPr>
                <w:rFonts w:eastAsia="Times New Roman"/>
                <w:lang w:eastAsia="de-DE"/>
              </w:rPr>
            </w:pPr>
          </w:p>
        </w:tc>
      </w:tr>
      <w:tr w:rsidR="004B6F12" w:rsidRPr="004B6F12" w14:paraId="7A037E70" w14:textId="77777777" w:rsidTr="00CE7461">
        <w:trPr>
          <w:cantSplit/>
          <w:trHeight w:hRule="exact" w:val="302"/>
        </w:trPr>
        <w:tc>
          <w:tcPr>
            <w:tcW w:w="3397" w:type="dxa"/>
            <w:tcBorders>
              <w:top w:val="single" w:sz="4" w:space="0" w:color="auto"/>
              <w:left w:val="single" w:sz="4" w:space="0" w:color="auto"/>
            </w:tcBorders>
          </w:tcPr>
          <w:p w14:paraId="7535F4DD" w14:textId="77777777" w:rsidR="004B6F12" w:rsidRPr="00EE2B72" w:rsidRDefault="004B6F12" w:rsidP="00CE7461">
            <w:pPr>
              <w:spacing w:before="0" w:after="0"/>
              <w:jc w:val="left"/>
              <w:rPr>
                <w:rFonts w:eastAsia="Times New Roman"/>
                <w:b/>
                <w:vertAlign w:val="superscript"/>
                <w:lang w:eastAsia="de-DE"/>
              </w:rPr>
            </w:pPr>
            <w:r w:rsidRPr="004B6F12">
              <w:rPr>
                <w:rFonts w:eastAsia="Times New Roman"/>
                <w:b/>
                <w:lang w:eastAsia="de-DE"/>
              </w:rPr>
              <w:t>pH-Wert</w:t>
            </w:r>
            <w:r w:rsidR="00EE2B72" w:rsidRPr="00EE2B72">
              <w:rPr>
                <w:vertAlign w:val="superscript"/>
              </w:rPr>
              <w:t>1</w:t>
            </w:r>
          </w:p>
        </w:tc>
        <w:tc>
          <w:tcPr>
            <w:tcW w:w="905" w:type="dxa"/>
            <w:tcBorders>
              <w:top w:val="single" w:sz="4" w:space="0" w:color="auto"/>
            </w:tcBorders>
          </w:tcPr>
          <w:p w14:paraId="31FFAE2F" w14:textId="77777777" w:rsidR="004B6F12" w:rsidRPr="004B6F12" w:rsidRDefault="004B6F12" w:rsidP="00CE7461">
            <w:pPr>
              <w:spacing w:before="0" w:after="0"/>
              <w:jc w:val="left"/>
              <w:rPr>
                <w:rFonts w:eastAsia="Times New Roman"/>
                <w:lang w:eastAsia="de-DE"/>
              </w:rPr>
            </w:pPr>
          </w:p>
        </w:tc>
        <w:tc>
          <w:tcPr>
            <w:tcW w:w="800" w:type="dxa"/>
            <w:tcBorders>
              <w:top w:val="single" w:sz="4" w:space="0" w:color="auto"/>
              <w:right w:val="single" w:sz="4" w:space="0" w:color="auto"/>
            </w:tcBorders>
            <w:vAlign w:val="center"/>
          </w:tcPr>
          <w:p w14:paraId="38CA0A21" w14:textId="77777777" w:rsidR="004B6F12" w:rsidRPr="004B6F12" w:rsidRDefault="004B6F12" w:rsidP="00CE7461">
            <w:pPr>
              <w:spacing w:before="40" w:after="0"/>
              <w:jc w:val="center"/>
              <w:rPr>
                <w:rFonts w:eastAsia="Times New Roman"/>
                <w:lang w:eastAsia="de-DE"/>
              </w:rPr>
            </w:pPr>
            <w:r w:rsidRPr="004B6F12">
              <w:rPr>
                <w:rFonts w:eastAsia="Times New Roman"/>
                <w:lang w:eastAsia="de-DE"/>
              </w:rPr>
              <w:t>6-13</w:t>
            </w:r>
          </w:p>
        </w:tc>
        <w:tc>
          <w:tcPr>
            <w:tcW w:w="800" w:type="dxa"/>
            <w:tcBorders>
              <w:top w:val="single" w:sz="4" w:space="0" w:color="auto"/>
              <w:right w:val="single" w:sz="4" w:space="0" w:color="auto"/>
            </w:tcBorders>
            <w:vAlign w:val="center"/>
          </w:tcPr>
          <w:p w14:paraId="39F371A6" w14:textId="77777777" w:rsidR="004B6F12" w:rsidRPr="004B6F12" w:rsidRDefault="004B6F12" w:rsidP="00CE7461">
            <w:pPr>
              <w:spacing w:before="40" w:after="0"/>
              <w:jc w:val="center"/>
              <w:rPr>
                <w:rFonts w:eastAsia="Times New Roman"/>
                <w:lang w:eastAsia="de-DE"/>
              </w:rPr>
            </w:pPr>
            <w:r w:rsidRPr="004B6F12">
              <w:rPr>
                <w:rFonts w:eastAsia="Times New Roman"/>
                <w:lang w:eastAsia="de-DE"/>
              </w:rPr>
              <w:t>6-13</w:t>
            </w:r>
          </w:p>
        </w:tc>
        <w:tc>
          <w:tcPr>
            <w:tcW w:w="920" w:type="dxa"/>
            <w:tcBorders>
              <w:top w:val="single" w:sz="4" w:space="0" w:color="auto"/>
              <w:right w:val="single" w:sz="4" w:space="0" w:color="auto"/>
            </w:tcBorders>
            <w:vAlign w:val="center"/>
          </w:tcPr>
          <w:p w14:paraId="4B5BC917" w14:textId="77777777" w:rsidR="004B6F12" w:rsidRPr="004B6F12" w:rsidRDefault="004B6F12" w:rsidP="00CE7461">
            <w:pPr>
              <w:spacing w:before="40" w:after="0"/>
              <w:jc w:val="center"/>
              <w:rPr>
                <w:rFonts w:eastAsia="Times New Roman"/>
                <w:lang w:eastAsia="de-DE"/>
              </w:rPr>
            </w:pPr>
            <w:r w:rsidRPr="004B6F12">
              <w:rPr>
                <w:rFonts w:eastAsia="Times New Roman"/>
                <w:lang w:eastAsia="de-DE"/>
              </w:rPr>
              <w:t>6-13</w:t>
            </w:r>
          </w:p>
        </w:tc>
        <w:tc>
          <w:tcPr>
            <w:tcW w:w="950" w:type="dxa"/>
            <w:tcBorders>
              <w:top w:val="single" w:sz="4" w:space="0" w:color="auto"/>
            </w:tcBorders>
            <w:vAlign w:val="center"/>
          </w:tcPr>
          <w:p w14:paraId="1B3E64C1"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9-12</w:t>
            </w:r>
          </w:p>
        </w:tc>
        <w:tc>
          <w:tcPr>
            <w:tcW w:w="950" w:type="dxa"/>
            <w:tcBorders>
              <w:top w:val="single" w:sz="4" w:space="0" w:color="auto"/>
            </w:tcBorders>
            <w:shd w:val="clear" w:color="auto" w:fill="auto"/>
            <w:vAlign w:val="center"/>
          </w:tcPr>
          <w:p w14:paraId="43ABFB15"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9-12</w:t>
            </w:r>
          </w:p>
        </w:tc>
        <w:tc>
          <w:tcPr>
            <w:tcW w:w="800" w:type="dxa"/>
            <w:tcBorders>
              <w:top w:val="single" w:sz="4" w:space="0" w:color="auto"/>
            </w:tcBorders>
            <w:vAlign w:val="center"/>
          </w:tcPr>
          <w:p w14:paraId="37CC2C98"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8-12</w:t>
            </w:r>
          </w:p>
        </w:tc>
        <w:tc>
          <w:tcPr>
            <w:tcW w:w="965" w:type="dxa"/>
            <w:tcBorders>
              <w:top w:val="single" w:sz="4" w:space="0" w:color="auto"/>
            </w:tcBorders>
            <w:vAlign w:val="center"/>
          </w:tcPr>
          <w:p w14:paraId="2ED7A680"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9-13</w:t>
            </w:r>
          </w:p>
        </w:tc>
        <w:tc>
          <w:tcPr>
            <w:tcW w:w="965" w:type="dxa"/>
            <w:tcBorders>
              <w:top w:val="single" w:sz="4" w:space="0" w:color="auto"/>
            </w:tcBorders>
            <w:vAlign w:val="center"/>
          </w:tcPr>
          <w:p w14:paraId="221B49D4"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9-13</w:t>
            </w:r>
          </w:p>
        </w:tc>
        <w:tc>
          <w:tcPr>
            <w:tcW w:w="935" w:type="dxa"/>
            <w:tcBorders>
              <w:top w:val="single" w:sz="4" w:space="0" w:color="auto"/>
            </w:tcBorders>
            <w:vAlign w:val="center"/>
          </w:tcPr>
          <w:p w14:paraId="0BEC0EE1" w14:textId="77777777" w:rsidR="004B6F12" w:rsidRPr="004B6F12" w:rsidRDefault="004B6F12" w:rsidP="00CE7461">
            <w:pPr>
              <w:spacing w:before="40" w:after="0"/>
              <w:jc w:val="center"/>
              <w:rPr>
                <w:rFonts w:eastAsia="Times New Roman"/>
                <w:lang w:eastAsia="de-DE"/>
              </w:rPr>
            </w:pPr>
            <w:r w:rsidRPr="004B6F12">
              <w:rPr>
                <w:rFonts w:eastAsia="Times New Roman"/>
                <w:lang w:eastAsia="de-DE"/>
              </w:rPr>
              <w:t>7-12</w:t>
            </w:r>
          </w:p>
        </w:tc>
      </w:tr>
      <w:tr w:rsidR="004B6F12" w:rsidRPr="004B6F12" w14:paraId="26B5029D" w14:textId="77777777" w:rsidTr="00CE7461">
        <w:trPr>
          <w:cantSplit/>
          <w:trHeight w:hRule="exact" w:val="302"/>
        </w:trPr>
        <w:tc>
          <w:tcPr>
            <w:tcW w:w="3397" w:type="dxa"/>
            <w:tcBorders>
              <w:left w:val="single" w:sz="4" w:space="0" w:color="auto"/>
            </w:tcBorders>
          </w:tcPr>
          <w:p w14:paraId="7316916F" w14:textId="77777777" w:rsidR="004B6F12" w:rsidRPr="004B6F12" w:rsidRDefault="004B6F12" w:rsidP="00CE7461">
            <w:pPr>
              <w:spacing w:before="0" w:after="0"/>
              <w:jc w:val="left"/>
              <w:rPr>
                <w:rFonts w:eastAsia="Times New Roman"/>
                <w:b/>
                <w:lang w:eastAsia="de-DE"/>
              </w:rPr>
            </w:pPr>
            <w:r w:rsidRPr="004B6F12">
              <w:rPr>
                <w:rFonts w:eastAsia="Times New Roman"/>
                <w:b/>
                <w:lang w:eastAsia="de-DE"/>
              </w:rPr>
              <w:t>Elektrische Leitfähigkeit</w:t>
            </w:r>
            <w:r w:rsidR="00EE2B72">
              <w:rPr>
                <w:vertAlign w:val="superscript"/>
              </w:rPr>
              <w:t>2</w:t>
            </w:r>
            <w:r w:rsidRPr="004B6F12">
              <w:t xml:space="preserve"> </w:t>
            </w:r>
          </w:p>
        </w:tc>
        <w:tc>
          <w:tcPr>
            <w:tcW w:w="905" w:type="dxa"/>
          </w:tcPr>
          <w:p w14:paraId="43D64E2E" w14:textId="77777777" w:rsidR="004B6F12" w:rsidRPr="004B6F12" w:rsidRDefault="004B6F12" w:rsidP="00CE7461">
            <w:pPr>
              <w:spacing w:before="0" w:after="0"/>
              <w:jc w:val="left"/>
              <w:rPr>
                <w:rFonts w:eastAsia="Times New Roman"/>
                <w:lang w:eastAsia="de-DE"/>
              </w:rPr>
            </w:pPr>
            <w:r w:rsidRPr="004B6F12">
              <w:rPr>
                <w:rFonts w:eastAsia="Times New Roman"/>
                <w:lang w:eastAsia="de-DE"/>
              </w:rPr>
              <w:t>µS/cm</w:t>
            </w:r>
          </w:p>
        </w:tc>
        <w:tc>
          <w:tcPr>
            <w:tcW w:w="800" w:type="dxa"/>
            <w:tcBorders>
              <w:right w:val="single" w:sz="4" w:space="0" w:color="auto"/>
            </w:tcBorders>
            <w:vAlign w:val="center"/>
          </w:tcPr>
          <w:p w14:paraId="0F82021F" w14:textId="77777777" w:rsidR="004B6F12" w:rsidRPr="004B6F12" w:rsidRDefault="004B6F12" w:rsidP="00CE7461">
            <w:pPr>
              <w:spacing w:before="40" w:after="0"/>
              <w:jc w:val="center"/>
              <w:rPr>
                <w:rFonts w:eastAsia="Times New Roman"/>
                <w:lang w:eastAsia="de-DE"/>
              </w:rPr>
            </w:pPr>
            <w:r w:rsidRPr="004B6F12">
              <w:rPr>
                <w:rFonts w:eastAsia="Times New Roman"/>
                <w:lang w:eastAsia="de-DE"/>
              </w:rPr>
              <w:t>2 500</w:t>
            </w:r>
          </w:p>
        </w:tc>
        <w:tc>
          <w:tcPr>
            <w:tcW w:w="800" w:type="dxa"/>
            <w:tcBorders>
              <w:right w:val="single" w:sz="4" w:space="0" w:color="auto"/>
            </w:tcBorders>
            <w:vAlign w:val="center"/>
          </w:tcPr>
          <w:p w14:paraId="099816B6"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3 200</w:t>
            </w:r>
          </w:p>
        </w:tc>
        <w:tc>
          <w:tcPr>
            <w:tcW w:w="920" w:type="dxa"/>
            <w:tcBorders>
              <w:right w:val="single" w:sz="4" w:space="0" w:color="auto"/>
            </w:tcBorders>
            <w:vAlign w:val="center"/>
          </w:tcPr>
          <w:p w14:paraId="2AAC077B"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10 000</w:t>
            </w:r>
          </w:p>
        </w:tc>
        <w:tc>
          <w:tcPr>
            <w:tcW w:w="950" w:type="dxa"/>
            <w:vAlign w:val="center"/>
          </w:tcPr>
          <w:p w14:paraId="24A7B87A"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5 000</w:t>
            </w:r>
          </w:p>
        </w:tc>
        <w:tc>
          <w:tcPr>
            <w:tcW w:w="950" w:type="dxa"/>
            <w:shd w:val="clear" w:color="auto" w:fill="auto"/>
            <w:vAlign w:val="center"/>
          </w:tcPr>
          <w:p w14:paraId="515CDC0A"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7 000</w:t>
            </w:r>
          </w:p>
        </w:tc>
        <w:tc>
          <w:tcPr>
            <w:tcW w:w="800" w:type="dxa"/>
            <w:vAlign w:val="center"/>
          </w:tcPr>
          <w:p w14:paraId="72723C8D"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4 000</w:t>
            </w:r>
          </w:p>
        </w:tc>
        <w:tc>
          <w:tcPr>
            <w:tcW w:w="965" w:type="dxa"/>
            <w:vAlign w:val="center"/>
          </w:tcPr>
          <w:p w14:paraId="2389F405"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10 000</w:t>
            </w:r>
          </w:p>
        </w:tc>
        <w:tc>
          <w:tcPr>
            <w:tcW w:w="965" w:type="dxa"/>
            <w:vAlign w:val="center"/>
          </w:tcPr>
          <w:p w14:paraId="7E6334F6"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10 000</w:t>
            </w:r>
          </w:p>
        </w:tc>
        <w:tc>
          <w:tcPr>
            <w:tcW w:w="935" w:type="dxa"/>
            <w:vAlign w:val="center"/>
          </w:tcPr>
          <w:p w14:paraId="3EF3B6B5" w14:textId="77777777" w:rsidR="004B6F12" w:rsidRPr="004B6F12" w:rsidRDefault="004B6F12" w:rsidP="00CE7461">
            <w:pPr>
              <w:spacing w:before="40" w:after="0"/>
              <w:jc w:val="center"/>
              <w:rPr>
                <w:rFonts w:eastAsia="Times New Roman"/>
                <w:lang w:eastAsia="de-DE"/>
              </w:rPr>
            </w:pPr>
            <w:r w:rsidRPr="004B6F12">
              <w:rPr>
                <w:rFonts w:eastAsia="Times New Roman"/>
                <w:lang w:eastAsia="de-DE"/>
              </w:rPr>
              <w:t>1 500</w:t>
            </w:r>
          </w:p>
        </w:tc>
      </w:tr>
      <w:tr w:rsidR="004B6F12" w:rsidRPr="004B6F12" w14:paraId="71156501" w14:textId="77777777" w:rsidTr="00CE7461">
        <w:trPr>
          <w:cantSplit/>
          <w:trHeight w:hRule="exact" w:val="305"/>
        </w:trPr>
        <w:tc>
          <w:tcPr>
            <w:tcW w:w="3397" w:type="dxa"/>
            <w:tcBorders>
              <w:left w:val="single" w:sz="4" w:space="0" w:color="auto"/>
            </w:tcBorders>
          </w:tcPr>
          <w:p w14:paraId="0932181B" w14:textId="77777777" w:rsidR="004B6F12" w:rsidRPr="004B6F12" w:rsidRDefault="004B6F12" w:rsidP="00CE7461">
            <w:pPr>
              <w:spacing w:before="0" w:after="0"/>
              <w:jc w:val="left"/>
              <w:rPr>
                <w:rFonts w:eastAsia="Times New Roman"/>
                <w:b/>
                <w:lang w:eastAsia="de-DE"/>
              </w:rPr>
            </w:pPr>
            <w:r w:rsidRPr="004B6F12">
              <w:rPr>
                <w:rFonts w:eastAsia="Times New Roman"/>
                <w:b/>
                <w:lang w:eastAsia="de-DE"/>
              </w:rPr>
              <w:t>Chlorid</w:t>
            </w:r>
          </w:p>
        </w:tc>
        <w:tc>
          <w:tcPr>
            <w:tcW w:w="905" w:type="dxa"/>
          </w:tcPr>
          <w:p w14:paraId="61D379D5" w14:textId="77777777" w:rsidR="004B6F12" w:rsidRPr="004B6F12" w:rsidRDefault="004B6F12" w:rsidP="00CE7461">
            <w:pPr>
              <w:spacing w:before="0" w:after="0"/>
              <w:jc w:val="left"/>
              <w:rPr>
                <w:rFonts w:eastAsia="Times New Roman"/>
                <w:lang w:eastAsia="de-DE"/>
              </w:rPr>
            </w:pPr>
            <w:r w:rsidRPr="004B6F12">
              <w:rPr>
                <w:rFonts w:eastAsia="Times New Roman"/>
                <w:lang w:eastAsia="de-DE"/>
              </w:rPr>
              <w:t>mg/l</w:t>
            </w:r>
          </w:p>
        </w:tc>
        <w:tc>
          <w:tcPr>
            <w:tcW w:w="800" w:type="dxa"/>
            <w:tcBorders>
              <w:right w:val="single" w:sz="4" w:space="0" w:color="auto"/>
            </w:tcBorders>
            <w:vAlign w:val="center"/>
          </w:tcPr>
          <w:p w14:paraId="08F5B8CC" w14:textId="77777777" w:rsidR="004B6F12" w:rsidRPr="004B6F12" w:rsidRDefault="004B6F12" w:rsidP="00CE7461">
            <w:pPr>
              <w:spacing w:before="40" w:after="0"/>
              <w:jc w:val="center"/>
              <w:rPr>
                <w:rFonts w:eastAsia="Times New Roman"/>
                <w:lang w:val="en-GB" w:eastAsia="de-DE"/>
              </w:rPr>
            </w:pPr>
          </w:p>
        </w:tc>
        <w:tc>
          <w:tcPr>
            <w:tcW w:w="800" w:type="dxa"/>
            <w:tcBorders>
              <w:right w:val="single" w:sz="4" w:space="0" w:color="auto"/>
            </w:tcBorders>
            <w:vAlign w:val="center"/>
          </w:tcPr>
          <w:p w14:paraId="55BF2A79" w14:textId="77777777" w:rsidR="004B6F12" w:rsidRPr="004B6F12" w:rsidRDefault="004B6F12" w:rsidP="00CE7461">
            <w:pPr>
              <w:spacing w:before="40" w:after="0"/>
              <w:jc w:val="center"/>
              <w:rPr>
                <w:rFonts w:eastAsia="Times New Roman"/>
                <w:lang w:val="en-GB" w:eastAsia="de-DE"/>
              </w:rPr>
            </w:pPr>
          </w:p>
        </w:tc>
        <w:tc>
          <w:tcPr>
            <w:tcW w:w="920" w:type="dxa"/>
            <w:tcBorders>
              <w:right w:val="single" w:sz="4" w:space="0" w:color="auto"/>
            </w:tcBorders>
            <w:vAlign w:val="center"/>
          </w:tcPr>
          <w:p w14:paraId="21CD3EEC" w14:textId="77777777" w:rsidR="004B6F12" w:rsidRPr="004B6F12" w:rsidRDefault="004B6F12" w:rsidP="00CE7461">
            <w:pPr>
              <w:spacing w:before="40" w:after="0"/>
              <w:ind w:left="-151"/>
              <w:jc w:val="center"/>
              <w:rPr>
                <w:rFonts w:eastAsia="Times New Roman"/>
                <w:lang w:val="en-GB" w:eastAsia="de-DE"/>
              </w:rPr>
            </w:pPr>
          </w:p>
        </w:tc>
        <w:tc>
          <w:tcPr>
            <w:tcW w:w="950" w:type="dxa"/>
            <w:vAlign w:val="center"/>
          </w:tcPr>
          <w:p w14:paraId="59F3AAD7" w14:textId="77777777" w:rsidR="004B6F12" w:rsidRPr="004B6F12" w:rsidRDefault="004B6F12" w:rsidP="00CE7461">
            <w:pPr>
              <w:spacing w:before="0" w:after="0"/>
              <w:jc w:val="center"/>
              <w:rPr>
                <w:rFonts w:eastAsia="Times New Roman"/>
                <w:lang w:eastAsia="de-DE"/>
              </w:rPr>
            </w:pPr>
          </w:p>
        </w:tc>
        <w:tc>
          <w:tcPr>
            <w:tcW w:w="950" w:type="dxa"/>
            <w:shd w:val="clear" w:color="auto" w:fill="auto"/>
            <w:vAlign w:val="center"/>
          </w:tcPr>
          <w:p w14:paraId="73EDE267" w14:textId="77777777" w:rsidR="004B6F12" w:rsidRPr="004B6F12" w:rsidRDefault="004B6F12" w:rsidP="00CE7461">
            <w:pPr>
              <w:spacing w:before="0" w:after="0"/>
              <w:jc w:val="center"/>
              <w:rPr>
                <w:rFonts w:eastAsia="Times New Roman"/>
                <w:lang w:eastAsia="de-DE"/>
              </w:rPr>
            </w:pPr>
          </w:p>
        </w:tc>
        <w:tc>
          <w:tcPr>
            <w:tcW w:w="800" w:type="dxa"/>
            <w:vAlign w:val="center"/>
          </w:tcPr>
          <w:p w14:paraId="081383A1" w14:textId="77777777" w:rsidR="004B6F12" w:rsidRPr="004B6F12" w:rsidRDefault="004B6F12" w:rsidP="00CE7461">
            <w:pPr>
              <w:spacing w:before="0" w:after="0"/>
              <w:jc w:val="center"/>
              <w:rPr>
                <w:rFonts w:eastAsia="Times New Roman"/>
                <w:lang w:eastAsia="de-DE"/>
              </w:rPr>
            </w:pPr>
          </w:p>
        </w:tc>
        <w:tc>
          <w:tcPr>
            <w:tcW w:w="965" w:type="dxa"/>
            <w:vAlign w:val="center"/>
          </w:tcPr>
          <w:p w14:paraId="6FAD74DA" w14:textId="77777777" w:rsidR="004B6F12" w:rsidRPr="004B6F12" w:rsidRDefault="004B6F12" w:rsidP="00CE7461">
            <w:pPr>
              <w:spacing w:before="0" w:after="0"/>
              <w:jc w:val="center"/>
              <w:rPr>
                <w:rFonts w:eastAsia="Times New Roman"/>
                <w:lang w:eastAsia="de-DE"/>
              </w:rPr>
            </w:pPr>
          </w:p>
        </w:tc>
        <w:tc>
          <w:tcPr>
            <w:tcW w:w="965" w:type="dxa"/>
            <w:vAlign w:val="center"/>
          </w:tcPr>
          <w:p w14:paraId="6C68C654" w14:textId="77777777" w:rsidR="004B6F12" w:rsidRPr="004B6F12" w:rsidRDefault="004B6F12" w:rsidP="00CE7461">
            <w:pPr>
              <w:spacing w:before="0" w:after="0"/>
              <w:jc w:val="center"/>
              <w:rPr>
                <w:rFonts w:eastAsia="Times New Roman"/>
                <w:lang w:eastAsia="de-DE"/>
              </w:rPr>
            </w:pPr>
          </w:p>
        </w:tc>
        <w:tc>
          <w:tcPr>
            <w:tcW w:w="935" w:type="dxa"/>
            <w:vAlign w:val="center"/>
          </w:tcPr>
          <w:p w14:paraId="0A8D7D87" w14:textId="77777777" w:rsidR="004B6F12" w:rsidRPr="004B6F12" w:rsidRDefault="004B6F12" w:rsidP="00CE7461">
            <w:pPr>
              <w:spacing w:before="40" w:after="0"/>
              <w:jc w:val="center"/>
              <w:rPr>
                <w:rFonts w:eastAsia="Times New Roman"/>
                <w:lang w:eastAsia="de-DE"/>
              </w:rPr>
            </w:pPr>
          </w:p>
        </w:tc>
      </w:tr>
      <w:tr w:rsidR="004B6F12" w:rsidRPr="004B6F12" w14:paraId="320DF33F" w14:textId="77777777" w:rsidTr="00CE7461">
        <w:trPr>
          <w:cantSplit/>
          <w:trHeight w:hRule="exact" w:val="357"/>
        </w:trPr>
        <w:tc>
          <w:tcPr>
            <w:tcW w:w="3397" w:type="dxa"/>
            <w:tcBorders>
              <w:left w:val="single" w:sz="4" w:space="0" w:color="auto"/>
            </w:tcBorders>
          </w:tcPr>
          <w:p w14:paraId="5CD0C3B5" w14:textId="77777777" w:rsidR="004B6F12" w:rsidRPr="004B6F12" w:rsidRDefault="004B6F12" w:rsidP="00CE7461">
            <w:pPr>
              <w:spacing w:before="0" w:after="0"/>
              <w:jc w:val="left"/>
              <w:rPr>
                <w:rFonts w:eastAsia="Times New Roman"/>
                <w:b/>
                <w:lang w:eastAsia="de-DE"/>
              </w:rPr>
            </w:pPr>
            <w:r w:rsidRPr="004B6F12">
              <w:rPr>
                <w:rFonts w:eastAsia="Times New Roman"/>
                <w:b/>
                <w:lang w:eastAsia="de-DE"/>
              </w:rPr>
              <w:t>Sulfat</w:t>
            </w:r>
          </w:p>
        </w:tc>
        <w:tc>
          <w:tcPr>
            <w:tcW w:w="905" w:type="dxa"/>
          </w:tcPr>
          <w:p w14:paraId="4FF0E9C5" w14:textId="77777777" w:rsidR="004B6F12" w:rsidRPr="004B6F12" w:rsidRDefault="004B6F12" w:rsidP="00CE7461">
            <w:pPr>
              <w:spacing w:before="0" w:after="0"/>
              <w:jc w:val="left"/>
              <w:rPr>
                <w:rFonts w:eastAsia="Times New Roman"/>
                <w:lang w:eastAsia="de-DE"/>
              </w:rPr>
            </w:pPr>
            <w:r w:rsidRPr="004B6F12">
              <w:rPr>
                <w:rFonts w:eastAsia="Times New Roman"/>
                <w:lang w:eastAsia="de-DE"/>
              </w:rPr>
              <w:t>mg/l</w:t>
            </w:r>
          </w:p>
        </w:tc>
        <w:tc>
          <w:tcPr>
            <w:tcW w:w="800" w:type="dxa"/>
            <w:tcBorders>
              <w:right w:val="single" w:sz="4" w:space="0" w:color="auto"/>
            </w:tcBorders>
            <w:vAlign w:val="center"/>
          </w:tcPr>
          <w:p w14:paraId="6844FD6F" w14:textId="77777777" w:rsidR="004B6F12" w:rsidRPr="004B6F12" w:rsidRDefault="004B6F12" w:rsidP="00CE7461">
            <w:pPr>
              <w:spacing w:before="40" w:after="0"/>
              <w:jc w:val="center"/>
              <w:rPr>
                <w:rFonts w:eastAsia="Times New Roman"/>
                <w:lang w:val="en-GB" w:eastAsia="de-DE"/>
              </w:rPr>
            </w:pPr>
            <w:r w:rsidRPr="004B6F12">
              <w:rPr>
                <w:rFonts w:eastAsia="Times New Roman"/>
                <w:lang w:val="en-GB" w:eastAsia="de-DE"/>
              </w:rPr>
              <w:t>600</w:t>
            </w:r>
          </w:p>
        </w:tc>
        <w:tc>
          <w:tcPr>
            <w:tcW w:w="800" w:type="dxa"/>
            <w:tcBorders>
              <w:right w:val="single" w:sz="4" w:space="0" w:color="auto"/>
            </w:tcBorders>
            <w:vAlign w:val="center"/>
          </w:tcPr>
          <w:p w14:paraId="39BB877B" w14:textId="77777777" w:rsidR="004B6F12" w:rsidRPr="004B6F12" w:rsidRDefault="004B6F12" w:rsidP="00CE7461">
            <w:pPr>
              <w:spacing w:before="40" w:after="0"/>
              <w:jc w:val="center"/>
              <w:rPr>
                <w:rFonts w:eastAsia="Times New Roman"/>
                <w:lang w:val="en-GB" w:eastAsia="de-DE"/>
              </w:rPr>
            </w:pPr>
            <w:r w:rsidRPr="004B6F12">
              <w:rPr>
                <w:rFonts w:eastAsia="Times New Roman"/>
                <w:lang w:val="en-GB" w:eastAsia="de-DE"/>
              </w:rPr>
              <w:t>1 000</w:t>
            </w:r>
          </w:p>
        </w:tc>
        <w:tc>
          <w:tcPr>
            <w:tcW w:w="920" w:type="dxa"/>
            <w:tcBorders>
              <w:right w:val="single" w:sz="4" w:space="0" w:color="auto"/>
            </w:tcBorders>
            <w:vAlign w:val="center"/>
          </w:tcPr>
          <w:p w14:paraId="6A4952B2" w14:textId="77777777" w:rsidR="004B6F12" w:rsidRPr="004B6F12" w:rsidRDefault="004B6F12" w:rsidP="00CE7461">
            <w:pPr>
              <w:spacing w:before="40" w:after="0"/>
              <w:ind w:left="-151"/>
              <w:jc w:val="center"/>
              <w:rPr>
                <w:rFonts w:eastAsia="Times New Roman"/>
                <w:lang w:val="en-GB" w:eastAsia="de-DE"/>
              </w:rPr>
            </w:pPr>
            <w:r w:rsidRPr="004B6F12">
              <w:rPr>
                <w:rFonts w:eastAsia="Times New Roman"/>
                <w:lang w:val="en-GB" w:eastAsia="de-DE"/>
              </w:rPr>
              <w:t>3 500</w:t>
            </w:r>
          </w:p>
        </w:tc>
        <w:tc>
          <w:tcPr>
            <w:tcW w:w="950" w:type="dxa"/>
            <w:vAlign w:val="center"/>
          </w:tcPr>
          <w:p w14:paraId="19F66EC7"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1 300</w:t>
            </w:r>
          </w:p>
        </w:tc>
        <w:tc>
          <w:tcPr>
            <w:tcW w:w="950" w:type="dxa"/>
            <w:shd w:val="clear" w:color="auto" w:fill="auto"/>
            <w:vAlign w:val="center"/>
          </w:tcPr>
          <w:p w14:paraId="1E04824A"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3 600</w:t>
            </w:r>
          </w:p>
        </w:tc>
        <w:tc>
          <w:tcPr>
            <w:tcW w:w="800" w:type="dxa"/>
            <w:vAlign w:val="center"/>
          </w:tcPr>
          <w:p w14:paraId="2E071AFD"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350</w:t>
            </w:r>
          </w:p>
        </w:tc>
        <w:tc>
          <w:tcPr>
            <w:tcW w:w="965" w:type="dxa"/>
            <w:vAlign w:val="center"/>
          </w:tcPr>
          <w:p w14:paraId="61A32809" w14:textId="77777777" w:rsidR="004B6F12" w:rsidRPr="004B6F12" w:rsidRDefault="004B6F12" w:rsidP="00CE7461">
            <w:pPr>
              <w:spacing w:before="0" w:after="0"/>
              <w:jc w:val="center"/>
              <w:rPr>
                <w:rFonts w:eastAsia="Times New Roman"/>
                <w:lang w:eastAsia="de-DE"/>
              </w:rPr>
            </w:pPr>
          </w:p>
        </w:tc>
        <w:tc>
          <w:tcPr>
            <w:tcW w:w="965" w:type="dxa"/>
            <w:vAlign w:val="center"/>
          </w:tcPr>
          <w:p w14:paraId="4B43D017" w14:textId="77777777" w:rsidR="004B6F12" w:rsidRPr="004B6F12" w:rsidRDefault="004B6F12" w:rsidP="00CE7461">
            <w:pPr>
              <w:spacing w:before="0" w:after="0"/>
              <w:jc w:val="center"/>
              <w:rPr>
                <w:rFonts w:eastAsia="Times New Roman"/>
                <w:lang w:eastAsia="de-DE"/>
              </w:rPr>
            </w:pPr>
          </w:p>
        </w:tc>
        <w:tc>
          <w:tcPr>
            <w:tcW w:w="935" w:type="dxa"/>
            <w:vAlign w:val="center"/>
          </w:tcPr>
          <w:p w14:paraId="0392CEA3" w14:textId="77777777" w:rsidR="004B6F12" w:rsidRPr="004B6F12" w:rsidRDefault="004B6F12" w:rsidP="00CE7461">
            <w:pPr>
              <w:spacing w:before="40" w:after="0"/>
              <w:jc w:val="center"/>
              <w:rPr>
                <w:rFonts w:eastAsia="Times New Roman"/>
                <w:lang w:val="en-GB" w:eastAsia="de-DE"/>
              </w:rPr>
            </w:pPr>
          </w:p>
        </w:tc>
      </w:tr>
      <w:tr w:rsidR="004B6F12" w:rsidRPr="004B6F12" w14:paraId="73FD3917" w14:textId="77777777" w:rsidTr="00CE7461">
        <w:trPr>
          <w:cantSplit/>
          <w:trHeight w:hRule="exact" w:val="340"/>
        </w:trPr>
        <w:tc>
          <w:tcPr>
            <w:tcW w:w="3397" w:type="dxa"/>
            <w:tcBorders>
              <w:left w:val="single" w:sz="4" w:space="0" w:color="auto"/>
            </w:tcBorders>
          </w:tcPr>
          <w:p w14:paraId="5C397BEC" w14:textId="77777777" w:rsidR="004B6F12" w:rsidRPr="004B6F12" w:rsidRDefault="004B6F12" w:rsidP="00CE7461">
            <w:pPr>
              <w:spacing w:before="0" w:after="0"/>
              <w:jc w:val="left"/>
              <w:rPr>
                <w:rFonts w:eastAsia="Times New Roman"/>
                <w:b/>
                <w:lang w:eastAsia="de-DE"/>
              </w:rPr>
            </w:pPr>
            <w:r w:rsidRPr="004B6F12">
              <w:rPr>
                <w:rFonts w:eastAsia="Times New Roman"/>
                <w:b/>
                <w:lang w:eastAsia="de-DE"/>
              </w:rPr>
              <w:t>Fluorid</w:t>
            </w:r>
          </w:p>
        </w:tc>
        <w:tc>
          <w:tcPr>
            <w:tcW w:w="905" w:type="dxa"/>
          </w:tcPr>
          <w:p w14:paraId="2453E3E1" w14:textId="77777777" w:rsidR="004B6F12" w:rsidRPr="004B6F12" w:rsidRDefault="004B6F12" w:rsidP="00CE7461">
            <w:pPr>
              <w:spacing w:before="0" w:after="0"/>
              <w:jc w:val="left"/>
              <w:rPr>
                <w:rFonts w:eastAsia="Times New Roman"/>
                <w:lang w:eastAsia="de-DE"/>
              </w:rPr>
            </w:pPr>
            <w:r w:rsidRPr="004B6F12">
              <w:rPr>
                <w:rFonts w:eastAsia="Times New Roman"/>
                <w:lang w:eastAsia="de-DE"/>
              </w:rPr>
              <w:t>mg/l</w:t>
            </w:r>
          </w:p>
        </w:tc>
        <w:tc>
          <w:tcPr>
            <w:tcW w:w="800" w:type="dxa"/>
            <w:tcBorders>
              <w:right w:val="single" w:sz="4" w:space="0" w:color="auto"/>
            </w:tcBorders>
            <w:vAlign w:val="center"/>
          </w:tcPr>
          <w:p w14:paraId="4159EBBB" w14:textId="77777777" w:rsidR="004B6F12" w:rsidRPr="004B6F12" w:rsidRDefault="004B6F12" w:rsidP="00CE7461">
            <w:pPr>
              <w:spacing w:before="40" w:after="0"/>
              <w:jc w:val="center"/>
              <w:rPr>
                <w:rFonts w:eastAsia="Times New Roman"/>
                <w:lang w:eastAsia="de-DE"/>
              </w:rPr>
            </w:pPr>
          </w:p>
        </w:tc>
        <w:tc>
          <w:tcPr>
            <w:tcW w:w="800" w:type="dxa"/>
            <w:tcBorders>
              <w:right w:val="single" w:sz="4" w:space="0" w:color="auto"/>
            </w:tcBorders>
            <w:vAlign w:val="center"/>
          </w:tcPr>
          <w:p w14:paraId="31B5393B" w14:textId="77777777" w:rsidR="004B6F12" w:rsidRPr="004B6F12" w:rsidRDefault="004B6F12" w:rsidP="00CE7461">
            <w:pPr>
              <w:spacing w:before="40" w:after="0"/>
              <w:jc w:val="center"/>
              <w:rPr>
                <w:rFonts w:eastAsia="Times New Roman"/>
                <w:lang w:eastAsia="de-DE"/>
              </w:rPr>
            </w:pPr>
          </w:p>
        </w:tc>
        <w:tc>
          <w:tcPr>
            <w:tcW w:w="920" w:type="dxa"/>
            <w:tcBorders>
              <w:right w:val="single" w:sz="4" w:space="0" w:color="auto"/>
            </w:tcBorders>
            <w:vAlign w:val="center"/>
          </w:tcPr>
          <w:p w14:paraId="10614D2D" w14:textId="77777777" w:rsidR="004B6F12" w:rsidRPr="004B6F12" w:rsidRDefault="004B6F12" w:rsidP="00CE7461">
            <w:pPr>
              <w:spacing w:before="40" w:after="0"/>
              <w:ind w:left="-151"/>
              <w:jc w:val="center"/>
              <w:rPr>
                <w:rFonts w:eastAsia="Times New Roman"/>
                <w:lang w:eastAsia="de-DE"/>
              </w:rPr>
            </w:pPr>
          </w:p>
        </w:tc>
        <w:tc>
          <w:tcPr>
            <w:tcW w:w="950" w:type="dxa"/>
            <w:vAlign w:val="center"/>
          </w:tcPr>
          <w:p w14:paraId="7FDA686C" w14:textId="77777777" w:rsidR="004B6F12" w:rsidRPr="004B6F12" w:rsidRDefault="004B6F12" w:rsidP="00CE7461">
            <w:pPr>
              <w:spacing w:before="0" w:after="0"/>
              <w:jc w:val="center"/>
              <w:rPr>
                <w:rFonts w:eastAsia="Times New Roman"/>
                <w:lang w:eastAsia="de-DE"/>
              </w:rPr>
            </w:pPr>
          </w:p>
        </w:tc>
        <w:tc>
          <w:tcPr>
            <w:tcW w:w="950" w:type="dxa"/>
            <w:shd w:val="clear" w:color="auto" w:fill="auto"/>
            <w:vAlign w:val="center"/>
          </w:tcPr>
          <w:p w14:paraId="78E4F676" w14:textId="77777777" w:rsidR="004B6F12" w:rsidRPr="004B6F12" w:rsidRDefault="004B6F12" w:rsidP="00CE7461">
            <w:pPr>
              <w:spacing w:before="0" w:after="0"/>
              <w:jc w:val="center"/>
              <w:rPr>
                <w:rFonts w:eastAsia="Times New Roman"/>
                <w:lang w:eastAsia="de-DE"/>
              </w:rPr>
            </w:pPr>
          </w:p>
        </w:tc>
        <w:tc>
          <w:tcPr>
            <w:tcW w:w="800" w:type="dxa"/>
            <w:vAlign w:val="center"/>
          </w:tcPr>
          <w:p w14:paraId="02CFF732" w14:textId="77777777" w:rsidR="004B6F12" w:rsidRPr="004B6F12" w:rsidRDefault="004B6F12" w:rsidP="00CE7461">
            <w:pPr>
              <w:spacing w:before="0" w:after="0"/>
              <w:jc w:val="center"/>
              <w:rPr>
                <w:rFonts w:eastAsia="Times New Roman"/>
                <w:lang w:eastAsia="de-DE"/>
              </w:rPr>
            </w:pPr>
          </w:p>
        </w:tc>
        <w:tc>
          <w:tcPr>
            <w:tcW w:w="965" w:type="dxa"/>
            <w:vAlign w:val="center"/>
          </w:tcPr>
          <w:p w14:paraId="7F4AE30C"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1,1</w:t>
            </w:r>
          </w:p>
        </w:tc>
        <w:tc>
          <w:tcPr>
            <w:tcW w:w="965" w:type="dxa"/>
            <w:vAlign w:val="center"/>
          </w:tcPr>
          <w:p w14:paraId="76F531CE"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4,7</w:t>
            </w:r>
          </w:p>
        </w:tc>
        <w:tc>
          <w:tcPr>
            <w:tcW w:w="935" w:type="dxa"/>
            <w:vAlign w:val="center"/>
          </w:tcPr>
          <w:p w14:paraId="378492B7" w14:textId="77777777" w:rsidR="004B6F12" w:rsidRPr="004B6F12" w:rsidRDefault="004B6F12" w:rsidP="00CE7461">
            <w:pPr>
              <w:spacing w:before="40" w:after="0"/>
              <w:jc w:val="center"/>
              <w:rPr>
                <w:rFonts w:eastAsia="Times New Roman"/>
                <w:lang w:eastAsia="de-DE"/>
              </w:rPr>
            </w:pPr>
          </w:p>
        </w:tc>
      </w:tr>
      <w:tr w:rsidR="004B6F12" w:rsidRPr="004B6F12" w14:paraId="54F56267" w14:textId="77777777" w:rsidTr="00CE7461">
        <w:trPr>
          <w:cantSplit/>
          <w:trHeight w:hRule="exact" w:val="302"/>
        </w:trPr>
        <w:tc>
          <w:tcPr>
            <w:tcW w:w="3397" w:type="dxa"/>
            <w:tcBorders>
              <w:left w:val="single" w:sz="4" w:space="0" w:color="auto"/>
            </w:tcBorders>
          </w:tcPr>
          <w:p w14:paraId="5484138D" w14:textId="77777777" w:rsidR="004B6F12" w:rsidRPr="004B6F12" w:rsidRDefault="004B6F12" w:rsidP="00CE7461">
            <w:pPr>
              <w:spacing w:before="0" w:after="0"/>
              <w:jc w:val="left"/>
              <w:rPr>
                <w:rFonts w:eastAsia="Times New Roman"/>
                <w:b/>
                <w:lang w:eastAsia="de-DE"/>
              </w:rPr>
            </w:pPr>
            <w:r w:rsidRPr="004B6F12">
              <w:rPr>
                <w:rFonts w:eastAsia="Times New Roman"/>
                <w:b/>
                <w:lang w:eastAsia="de-DE"/>
              </w:rPr>
              <w:t>DOC</w:t>
            </w:r>
          </w:p>
        </w:tc>
        <w:tc>
          <w:tcPr>
            <w:tcW w:w="905" w:type="dxa"/>
          </w:tcPr>
          <w:p w14:paraId="69EEED26" w14:textId="77777777" w:rsidR="004B6F12" w:rsidRPr="004B6F12" w:rsidRDefault="004B6F12" w:rsidP="00CE7461">
            <w:pPr>
              <w:spacing w:before="0" w:after="0"/>
              <w:jc w:val="left"/>
              <w:rPr>
                <w:rFonts w:eastAsia="Times New Roman"/>
                <w:lang w:eastAsia="de-DE"/>
              </w:rPr>
            </w:pPr>
            <w:r w:rsidRPr="004B6F12">
              <w:rPr>
                <w:rFonts w:eastAsia="Times New Roman"/>
                <w:lang w:eastAsia="de-DE"/>
              </w:rPr>
              <w:t>mg/l</w:t>
            </w:r>
          </w:p>
        </w:tc>
        <w:tc>
          <w:tcPr>
            <w:tcW w:w="800" w:type="dxa"/>
            <w:tcBorders>
              <w:right w:val="single" w:sz="4" w:space="0" w:color="auto"/>
            </w:tcBorders>
            <w:vAlign w:val="center"/>
          </w:tcPr>
          <w:p w14:paraId="0E0CBE59" w14:textId="77777777" w:rsidR="004B6F12" w:rsidRPr="004B6F12" w:rsidRDefault="004B6F12" w:rsidP="00CE7461">
            <w:pPr>
              <w:spacing w:before="40" w:after="0"/>
              <w:jc w:val="center"/>
              <w:rPr>
                <w:rFonts w:eastAsia="Times New Roman"/>
                <w:lang w:val="en-GB" w:eastAsia="de-DE"/>
              </w:rPr>
            </w:pPr>
          </w:p>
        </w:tc>
        <w:tc>
          <w:tcPr>
            <w:tcW w:w="800" w:type="dxa"/>
            <w:tcBorders>
              <w:right w:val="single" w:sz="4" w:space="0" w:color="auto"/>
            </w:tcBorders>
            <w:vAlign w:val="center"/>
          </w:tcPr>
          <w:p w14:paraId="19EF1342" w14:textId="77777777" w:rsidR="004B6F12" w:rsidRPr="004B6F12" w:rsidRDefault="004B6F12" w:rsidP="00CE7461">
            <w:pPr>
              <w:spacing w:before="40" w:after="0"/>
              <w:jc w:val="center"/>
              <w:rPr>
                <w:rFonts w:eastAsia="Times New Roman"/>
                <w:lang w:val="en-GB" w:eastAsia="de-DE"/>
              </w:rPr>
            </w:pPr>
          </w:p>
        </w:tc>
        <w:tc>
          <w:tcPr>
            <w:tcW w:w="920" w:type="dxa"/>
            <w:tcBorders>
              <w:right w:val="single" w:sz="4" w:space="0" w:color="auto"/>
            </w:tcBorders>
            <w:vAlign w:val="center"/>
          </w:tcPr>
          <w:p w14:paraId="03C283ED" w14:textId="77777777" w:rsidR="004B6F12" w:rsidRPr="004B6F12" w:rsidRDefault="004B6F12" w:rsidP="00CE7461">
            <w:pPr>
              <w:spacing w:before="40" w:after="0"/>
              <w:ind w:left="-151"/>
              <w:jc w:val="center"/>
              <w:rPr>
                <w:rFonts w:eastAsia="Times New Roman"/>
                <w:lang w:val="en-GB" w:eastAsia="de-DE"/>
              </w:rPr>
            </w:pPr>
          </w:p>
        </w:tc>
        <w:tc>
          <w:tcPr>
            <w:tcW w:w="950" w:type="dxa"/>
            <w:vAlign w:val="center"/>
          </w:tcPr>
          <w:p w14:paraId="584BD05F" w14:textId="77777777" w:rsidR="004B6F12" w:rsidRPr="004B6F12" w:rsidRDefault="004B6F12" w:rsidP="00CE7461">
            <w:pPr>
              <w:spacing w:before="0" w:after="0"/>
              <w:jc w:val="center"/>
              <w:rPr>
                <w:rFonts w:eastAsia="Times New Roman"/>
                <w:lang w:eastAsia="de-DE"/>
              </w:rPr>
            </w:pPr>
          </w:p>
        </w:tc>
        <w:tc>
          <w:tcPr>
            <w:tcW w:w="950" w:type="dxa"/>
            <w:shd w:val="clear" w:color="auto" w:fill="auto"/>
            <w:vAlign w:val="center"/>
          </w:tcPr>
          <w:p w14:paraId="6F85ABF8" w14:textId="77777777" w:rsidR="004B6F12" w:rsidRPr="004B6F12" w:rsidRDefault="004B6F12" w:rsidP="00CE7461">
            <w:pPr>
              <w:spacing w:before="0" w:after="0"/>
              <w:jc w:val="center"/>
              <w:rPr>
                <w:rFonts w:eastAsia="Times New Roman"/>
                <w:lang w:eastAsia="de-DE"/>
              </w:rPr>
            </w:pPr>
          </w:p>
        </w:tc>
        <w:tc>
          <w:tcPr>
            <w:tcW w:w="800" w:type="dxa"/>
            <w:vAlign w:val="center"/>
          </w:tcPr>
          <w:p w14:paraId="762332AA" w14:textId="77777777" w:rsidR="004B6F12" w:rsidRPr="004B6F12" w:rsidRDefault="004B6F12" w:rsidP="00CE7461">
            <w:pPr>
              <w:spacing w:before="0" w:after="0"/>
              <w:jc w:val="center"/>
              <w:rPr>
                <w:rFonts w:eastAsia="Times New Roman"/>
                <w:lang w:eastAsia="de-DE"/>
              </w:rPr>
            </w:pPr>
          </w:p>
        </w:tc>
        <w:tc>
          <w:tcPr>
            <w:tcW w:w="965" w:type="dxa"/>
            <w:vAlign w:val="center"/>
          </w:tcPr>
          <w:p w14:paraId="3F5BA16A" w14:textId="77777777" w:rsidR="004B6F12" w:rsidRPr="004B6F12" w:rsidRDefault="004B6F12" w:rsidP="00CE7461">
            <w:pPr>
              <w:spacing w:before="0" w:after="0"/>
              <w:jc w:val="center"/>
              <w:rPr>
                <w:rFonts w:eastAsia="Times New Roman"/>
                <w:lang w:eastAsia="de-DE"/>
              </w:rPr>
            </w:pPr>
          </w:p>
        </w:tc>
        <w:tc>
          <w:tcPr>
            <w:tcW w:w="965" w:type="dxa"/>
            <w:vAlign w:val="center"/>
          </w:tcPr>
          <w:p w14:paraId="394C2A83" w14:textId="77777777" w:rsidR="004B6F12" w:rsidRPr="004B6F12" w:rsidRDefault="004B6F12" w:rsidP="00CE7461">
            <w:pPr>
              <w:spacing w:before="0" w:after="0"/>
              <w:jc w:val="center"/>
              <w:rPr>
                <w:rFonts w:eastAsia="Times New Roman"/>
                <w:lang w:eastAsia="de-DE"/>
              </w:rPr>
            </w:pPr>
          </w:p>
        </w:tc>
        <w:tc>
          <w:tcPr>
            <w:tcW w:w="935" w:type="dxa"/>
            <w:vAlign w:val="center"/>
          </w:tcPr>
          <w:p w14:paraId="3A07B69C" w14:textId="77777777" w:rsidR="004B6F12" w:rsidRPr="004B6F12" w:rsidRDefault="004B6F12" w:rsidP="00CE7461">
            <w:pPr>
              <w:spacing w:before="40" w:after="0"/>
              <w:jc w:val="center"/>
              <w:rPr>
                <w:rFonts w:eastAsia="Times New Roman"/>
                <w:lang w:val="en-GB" w:eastAsia="de-DE"/>
              </w:rPr>
            </w:pPr>
          </w:p>
        </w:tc>
      </w:tr>
      <w:tr w:rsidR="004B6F12" w:rsidRPr="004B6F12" w14:paraId="3EC7F53D" w14:textId="77777777" w:rsidTr="00CE7461">
        <w:trPr>
          <w:cantSplit/>
          <w:trHeight w:hRule="exact" w:val="302"/>
        </w:trPr>
        <w:tc>
          <w:tcPr>
            <w:tcW w:w="3397" w:type="dxa"/>
            <w:tcBorders>
              <w:left w:val="single" w:sz="4" w:space="0" w:color="auto"/>
            </w:tcBorders>
          </w:tcPr>
          <w:p w14:paraId="64CCDA30" w14:textId="77777777" w:rsidR="004B6F12" w:rsidRPr="004B6F12" w:rsidRDefault="004B6F12" w:rsidP="00CE7461">
            <w:pPr>
              <w:spacing w:before="0" w:after="0"/>
              <w:jc w:val="left"/>
              <w:rPr>
                <w:rFonts w:eastAsia="Times New Roman"/>
                <w:b/>
                <w:vertAlign w:val="superscript"/>
                <w:lang w:eastAsia="de-DE"/>
              </w:rPr>
            </w:pPr>
            <w:r w:rsidRPr="004B6F12">
              <w:rPr>
                <w:rFonts w:eastAsia="Times New Roman"/>
                <w:b/>
                <w:lang w:eastAsia="de-DE"/>
              </w:rPr>
              <w:t>PAK</w:t>
            </w:r>
            <w:r w:rsidRPr="004B6F12">
              <w:rPr>
                <w:rFonts w:eastAsia="Times New Roman"/>
                <w:b/>
                <w:vertAlign w:val="subscript"/>
                <w:lang w:val="en-GB" w:eastAsia="de-DE"/>
              </w:rPr>
              <w:t>15</w:t>
            </w:r>
            <w:r w:rsidR="00EE2B72">
              <w:rPr>
                <w:vertAlign w:val="superscript"/>
              </w:rPr>
              <w:t>3</w:t>
            </w:r>
            <w:r w:rsidRPr="004B6F12">
              <w:t xml:space="preserve"> </w:t>
            </w:r>
          </w:p>
        </w:tc>
        <w:tc>
          <w:tcPr>
            <w:tcW w:w="905" w:type="dxa"/>
          </w:tcPr>
          <w:p w14:paraId="21DB5C4D" w14:textId="77777777" w:rsidR="004B6F12" w:rsidRPr="004B6F12" w:rsidRDefault="004B6F12" w:rsidP="00CE7461">
            <w:pPr>
              <w:spacing w:before="0" w:after="0"/>
              <w:jc w:val="left"/>
              <w:rPr>
                <w:rFonts w:eastAsia="Times New Roman"/>
                <w:lang w:eastAsia="de-DE"/>
              </w:rPr>
            </w:pPr>
            <w:r w:rsidRPr="004B6F12">
              <w:rPr>
                <w:rFonts w:eastAsia="Times New Roman"/>
                <w:lang w:eastAsia="de-DE"/>
              </w:rPr>
              <w:t>µg/l</w:t>
            </w:r>
          </w:p>
        </w:tc>
        <w:tc>
          <w:tcPr>
            <w:tcW w:w="800" w:type="dxa"/>
            <w:tcBorders>
              <w:right w:val="single" w:sz="4" w:space="0" w:color="auto"/>
            </w:tcBorders>
            <w:vAlign w:val="center"/>
          </w:tcPr>
          <w:p w14:paraId="7770A8EC" w14:textId="77777777" w:rsidR="004B6F12" w:rsidRPr="004B6F12" w:rsidRDefault="004B6F12" w:rsidP="00CE7461">
            <w:pPr>
              <w:spacing w:before="40" w:after="0"/>
              <w:jc w:val="center"/>
              <w:rPr>
                <w:rFonts w:eastAsia="Times New Roman"/>
                <w:lang w:val="en-GB" w:eastAsia="de-DE"/>
              </w:rPr>
            </w:pPr>
            <w:r w:rsidRPr="004B6F12">
              <w:rPr>
                <w:rFonts w:eastAsia="Times New Roman"/>
                <w:lang w:val="en-GB" w:eastAsia="de-DE"/>
              </w:rPr>
              <w:t>4,0</w:t>
            </w:r>
          </w:p>
        </w:tc>
        <w:tc>
          <w:tcPr>
            <w:tcW w:w="800" w:type="dxa"/>
            <w:tcBorders>
              <w:right w:val="single" w:sz="4" w:space="0" w:color="auto"/>
            </w:tcBorders>
            <w:vAlign w:val="center"/>
          </w:tcPr>
          <w:p w14:paraId="380D535B" w14:textId="77777777" w:rsidR="004B6F12" w:rsidRPr="004B6F12" w:rsidRDefault="004B6F12" w:rsidP="00CE7461">
            <w:pPr>
              <w:spacing w:before="40" w:after="0"/>
              <w:jc w:val="center"/>
              <w:rPr>
                <w:rFonts w:eastAsia="Times New Roman"/>
                <w:vertAlign w:val="superscript"/>
                <w:lang w:eastAsia="de-DE"/>
              </w:rPr>
            </w:pPr>
            <w:r w:rsidRPr="004B6F12">
              <w:rPr>
                <w:rFonts w:eastAsia="Times New Roman"/>
                <w:lang w:eastAsia="de-DE"/>
              </w:rPr>
              <w:t>8,0</w:t>
            </w:r>
          </w:p>
        </w:tc>
        <w:tc>
          <w:tcPr>
            <w:tcW w:w="920" w:type="dxa"/>
            <w:tcBorders>
              <w:right w:val="single" w:sz="4" w:space="0" w:color="auto"/>
            </w:tcBorders>
            <w:vAlign w:val="center"/>
          </w:tcPr>
          <w:p w14:paraId="72439A01" w14:textId="77777777" w:rsidR="004B6F12" w:rsidRPr="004B6F12" w:rsidRDefault="004B6F12" w:rsidP="00CE7461">
            <w:pPr>
              <w:spacing w:before="40" w:after="0"/>
              <w:ind w:left="-151"/>
              <w:jc w:val="center"/>
              <w:rPr>
                <w:rFonts w:eastAsia="Times New Roman"/>
                <w:strike/>
                <w:lang w:val="en-GB" w:eastAsia="de-DE"/>
              </w:rPr>
            </w:pPr>
            <w:r w:rsidRPr="004B6F12">
              <w:rPr>
                <w:rFonts w:eastAsia="Times New Roman"/>
                <w:lang w:val="en-GB" w:eastAsia="de-DE"/>
              </w:rPr>
              <w:t>25</w:t>
            </w:r>
          </w:p>
        </w:tc>
        <w:tc>
          <w:tcPr>
            <w:tcW w:w="950" w:type="dxa"/>
            <w:vAlign w:val="center"/>
          </w:tcPr>
          <w:p w14:paraId="2678114D" w14:textId="77777777" w:rsidR="004B6F12" w:rsidRPr="004B6F12" w:rsidRDefault="004B6F12" w:rsidP="00CE7461">
            <w:pPr>
              <w:spacing w:before="0" w:after="0"/>
              <w:jc w:val="center"/>
              <w:rPr>
                <w:rFonts w:eastAsia="Times New Roman"/>
                <w:lang w:eastAsia="de-DE"/>
              </w:rPr>
            </w:pPr>
          </w:p>
        </w:tc>
        <w:tc>
          <w:tcPr>
            <w:tcW w:w="950" w:type="dxa"/>
            <w:shd w:val="clear" w:color="auto" w:fill="auto"/>
            <w:vAlign w:val="center"/>
          </w:tcPr>
          <w:p w14:paraId="673C710A" w14:textId="77777777" w:rsidR="004B6F12" w:rsidRPr="004B6F12" w:rsidRDefault="004B6F12" w:rsidP="00CE7461">
            <w:pPr>
              <w:spacing w:before="0" w:after="0"/>
              <w:jc w:val="center"/>
              <w:rPr>
                <w:rFonts w:eastAsia="Times New Roman"/>
                <w:lang w:eastAsia="de-DE"/>
              </w:rPr>
            </w:pPr>
          </w:p>
        </w:tc>
        <w:tc>
          <w:tcPr>
            <w:tcW w:w="800" w:type="dxa"/>
            <w:vAlign w:val="center"/>
          </w:tcPr>
          <w:p w14:paraId="14C98412" w14:textId="77777777" w:rsidR="004B6F12" w:rsidRPr="004B6F12" w:rsidRDefault="004B6F12" w:rsidP="00CE7461">
            <w:pPr>
              <w:spacing w:before="0" w:after="0"/>
              <w:jc w:val="center"/>
              <w:rPr>
                <w:rFonts w:eastAsia="Times New Roman"/>
                <w:lang w:eastAsia="de-DE"/>
              </w:rPr>
            </w:pPr>
          </w:p>
        </w:tc>
        <w:tc>
          <w:tcPr>
            <w:tcW w:w="965" w:type="dxa"/>
            <w:vAlign w:val="center"/>
          </w:tcPr>
          <w:p w14:paraId="11DC6E8C" w14:textId="77777777" w:rsidR="004B6F12" w:rsidRPr="004B6F12" w:rsidRDefault="004B6F12" w:rsidP="00CE7461">
            <w:pPr>
              <w:spacing w:before="0" w:after="0"/>
              <w:jc w:val="center"/>
              <w:rPr>
                <w:rFonts w:eastAsia="Times New Roman"/>
                <w:lang w:eastAsia="de-DE"/>
              </w:rPr>
            </w:pPr>
          </w:p>
        </w:tc>
        <w:tc>
          <w:tcPr>
            <w:tcW w:w="965" w:type="dxa"/>
            <w:vAlign w:val="center"/>
          </w:tcPr>
          <w:p w14:paraId="5089B9B0" w14:textId="77777777" w:rsidR="004B6F12" w:rsidRPr="004B6F12" w:rsidRDefault="004B6F12" w:rsidP="00CE7461">
            <w:pPr>
              <w:spacing w:before="0" w:after="0"/>
              <w:jc w:val="center"/>
              <w:rPr>
                <w:rFonts w:eastAsia="Times New Roman"/>
                <w:lang w:eastAsia="de-DE"/>
              </w:rPr>
            </w:pPr>
          </w:p>
        </w:tc>
        <w:tc>
          <w:tcPr>
            <w:tcW w:w="935" w:type="dxa"/>
            <w:vAlign w:val="center"/>
          </w:tcPr>
          <w:p w14:paraId="4EA5840E" w14:textId="77777777" w:rsidR="004B6F12" w:rsidRPr="004B6F12" w:rsidRDefault="004B6F12" w:rsidP="00CE7461">
            <w:pPr>
              <w:spacing w:before="40" w:after="0"/>
              <w:jc w:val="center"/>
              <w:rPr>
                <w:rFonts w:eastAsia="Times New Roman"/>
                <w:lang w:val="en-GB" w:eastAsia="de-DE"/>
              </w:rPr>
            </w:pPr>
          </w:p>
        </w:tc>
      </w:tr>
      <w:tr w:rsidR="004B6F12" w:rsidRPr="004B6F12" w14:paraId="12B6AFF6" w14:textId="77777777" w:rsidTr="00CE7461">
        <w:trPr>
          <w:cantSplit/>
          <w:trHeight w:hRule="exact" w:val="302"/>
        </w:trPr>
        <w:tc>
          <w:tcPr>
            <w:tcW w:w="3397" w:type="dxa"/>
            <w:tcBorders>
              <w:left w:val="single" w:sz="4" w:space="0" w:color="auto"/>
            </w:tcBorders>
          </w:tcPr>
          <w:p w14:paraId="1817EB12" w14:textId="77777777" w:rsidR="004B6F12" w:rsidRPr="004B6F12" w:rsidRDefault="004B6F12" w:rsidP="00CE7461">
            <w:pPr>
              <w:spacing w:before="0" w:after="0"/>
              <w:jc w:val="left"/>
              <w:rPr>
                <w:rFonts w:eastAsia="Times New Roman"/>
                <w:b/>
                <w:vertAlign w:val="superscript"/>
                <w:lang w:eastAsia="de-DE"/>
              </w:rPr>
            </w:pPr>
            <w:r w:rsidRPr="004B6F12">
              <w:rPr>
                <w:rFonts w:eastAsia="Times New Roman"/>
                <w:b/>
                <w:lang w:eastAsia="de-DE"/>
              </w:rPr>
              <w:t>PAK</w:t>
            </w:r>
            <w:r w:rsidRPr="004B6F12">
              <w:rPr>
                <w:rFonts w:eastAsia="Times New Roman"/>
                <w:b/>
                <w:vertAlign w:val="subscript"/>
                <w:lang w:val="en-GB" w:eastAsia="de-DE"/>
              </w:rPr>
              <w:t>16</w:t>
            </w:r>
            <w:r w:rsidR="00EE2B72">
              <w:rPr>
                <w:vertAlign w:val="superscript"/>
              </w:rPr>
              <w:t>4</w:t>
            </w:r>
            <w:r w:rsidRPr="004B6F12">
              <w:t xml:space="preserve"> </w:t>
            </w:r>
          </w:p>
        </w:tc>
        <w:tc>
          <w:tcPr>
            <w:tcW w:w="905" w:type="dxa"/>
          </w:tcPr>
          <w:p w14:paraId="68A1D712" w14:textId="77777777" w:rsidR="004B6F12" w:rsidRPr="004B6F12" w:rsidRDefault="004B6F12" w:rsidP="00CE7461">
            <w:pPr>
              <w:spacing w:before="0" w:after="0"/>
              <w:jc w:val="left"/>
              <w:rPr>
                <w:rFonts w:eastAsia="Times New Roman"/>
                <w:lang w:eastAsia="de-DE"/>
              </w:rPr>
            </w:pPr>
            <w:r w:rsidRPr="004B6F12">
              <w:rPr>
                <w:rFonts w:eastAsia="Times New Roman"/>
                <w:lang w:eastAsia="de-DE"/>
              </w:rPr>
              <w:t>mg/kg</w:t>
            </w:r>
          </w:p>
        </w:tc>
        <w:tc>
          <w:tcPr>
            <w:tcW w:w="800" w:type="dxa"/>
            <w:tcBorders>
              <w:right w:val="single" w:sz="4" w:space="0" w:color="auto"/>
            </w:tcBorders>
            <w:vAlign w:val="center"/>
          </w:tcPr>
          <w:p w14:paraId="23C4BCF6" w14:textId="77777777" w:rsidR="004B6F12" w:rsidRPr="004B6F12" w:rsidRDefault="004B6F12" w:rsidP="00CE7461">
            <w:pPr>
              <w:spacing w:before="40" w:after="0"/>
              <w:jc w:val="center"/>
              <w:rPr>
                <w:rFonts w:eastAsia="Times New Roman"/>
                <w:lang w:val="en-GB" w:eastAsia="de-DE"/>
              </w:rPr>
            </w:pPr>
            <w:r w:rsidRPr="004B6F12">
              <w:rPr>
                <w:rFonts w:eastAsia="Times New Roman"/>
                <w:lang w:val="en-GB" w:eastAsia="de-DE"/>
              </w:rPr>
              <w:t>10</w:t>
            </w:r>
          </w:p>
        </w:tc>
        <w:tc>
          <w:tcPr>
            <w:tcW w:w="800" w:type="dxa"/>
            <w:tcBorders>
              <w:right w:val="single" w:sz="4" w:space="0" w:color="auto"/>
            </w:tcBorders>
            <w:vAlign w:val="center"/>
          </w:tcPr>
          <w:p w14:paraId="4D91E0AA" w14:textId="77777777" w:rsidR="004B6F12" w:rsidRPr="004B6F12" w:rsidRDefault="004B6F12" w:rsidP="00CE7461">
            <w:pPr>
              <w:spacing w:before="40" w:after="0"/>
              <w:jc w:val="center"/>
              <w:rPr>
                <w:rFonts w:eastAsia="Times New Roman"/>
                <w:lang w:val="en-GB" w:eastAsia="de-DE"/>
              </w:rPr>
            </w:pPr>
            <w:r w:rsidRPr="004B6F12">
              <w:rPr>
                <w:rFonts w:eastAsia="Times New Roman"/>
                <w:lang w:val="en-GB" w:eastAsia="de-DE"/>
              </w:rPr>
              <w:t>15</w:t>
            </w:r>
          </w:p>
        </w:tc>
        <w:tc>
          <w:tcPr>
            <w:tcW w:w="920" w:type="dxa"/>
            <w:tcBorders>
              <w:right w:val="single" w:sz="4" w:space="0" w:color="auto"/>
            </w:tcBorders>
            <w:vAlign w:val="center"/>
          </w:tcPr>
          <w:p w14:paraId="7064B58B" w14:textId="77777777" w:rsidR="004B6F12" w:rsidRPr="004B6F12" w:rsidRDefault="004B6F12" w:rsidP="00CE7461">
            <w:pPr>
              <w:spacing w:before="40" w:after="0"/>
              <w:ind w:left="-151"/>
              <w:jc w:val="center"/>
              <w:rPr>
                <w:rFonts w:eastAsia="Times New Roman"/>
                <w:lang w:val="en-GB" w:eastAsia="de-DE"/>
              </w:rPr>
            </w:pPr>
            <w:r w:rsidRPr="004B6F12">
              <w:rPr>
                <w:rFonts w:eastAsia="Times New Roman"/>
                <w:lang w:val="en-GB" w:eastAsia="de-DE"/>
              </w:rPr>
              <w:t>20</w:t>
            </w:r>
          </w:p>
        </w:tc>
        <w:tc>
          <w:tcPr>
            <w:tcW w:w="950" w:type="dxa"/>
            <w:vAlign w:val="center"/>
          </w:tcPr>
          <w:p w14:paraId="629582E4" w14:textId="77777777" w:rsidR="004B6F12" w:rsidRPr="004B6F12" w:rsidRDefault="004B6F12" w:rsidP="00CE7461">
            <w:pPr>
              <w:spacing w:before="0" w:after="0"/>
              <w:jc w:val="center"/>
              <w:rPr>
                <w:rFonts w:eastAsia="Times New Roman"/>
                <w:lang w:eastAsia="de-DE"/>
              </w:rPr>
            </w:pPr>
          </w:p>
        </w:tc>
        <w:tc>
          <w:tcPr>
            <w:tcW w:w="950" w:type="dxa"/>
            <w:shd w:val="clear" w:color="auto" w:fill="auto"/>
            <w:vAlign w:val="center"/>
          </w:tcPr>
          <w:p w14:paraId="1CCB462A" w14:textId="77777777" w:rsidR="004B6F12" w:rsidRPr="004B6F12" w:rsidRDefault="004B6F12" w:rsidP="00CE7461">
            <w:pPr>
              <w:spacing w:before="0" w:after="0"/>
              <w:jc w:val="center"/>
              <w:rPr>
                <w:rFonts w:eastAsia="Times New Roman"/>
                <w:lang w:eastAsia="de-DE"/>
              </w:rPr>
            </w:pPr>
          </w:p>
        </w:tc>
        <w:tc>
          <w:tcPr>
            <w:tcW w:w="800" w:type="dxa"/>
            <w:vAlign w:val="center"/>
          </w:tcPr>
          <w:p w14:paraId="3D4F6ADC" w14:textId="77777777" w:rsidR="004B6F12" w:rsidRPr="004B6F12" w:rsidRDefault="004B6F12" w:rsidP="00CE7461">
            <w:pPr>
              <w:spacing w:before="0" w:after="0"/>
              <w:jc w:val="center"/>
              <w:rPr>
                <w:rFonts w:eastAsia="Times New Roman"/>
                <w:lang w:eastAsia="de-DE"/>
              </w:rPr>
            </w:pPr>
          </w:p>
        </w:tc>
        <w:tc>
          <w:tcPr>
            <w:tcW w:w="965" w:type="dxa"/>
            <w:vAlign w:val="center"/>
          </w:tcPr>
          <w:p w14:paraId="2AC35D34" w14:textId="77777777" w:rsidR="004B6F12" w:rsidRPr="004B6F12" w:rsidRDefault="004B6F12" w:rsidP="00CE7461">
            <w:pPr>
              <w:spacing w:before="0" w:after="0"/>
              <w:jc w:val="center"/>
              <w:rPr>
                <w:rFonts w:eastAsia="Times New Roman"/>
                <w:lang w:eastAsia="de-DE"/>
              </w:rPr>
            </w:pPr>
          </w:p>
        </w:tc>
        <w:tc>
          <w:tcPr>
            <w:tcW w:w="965" w:type="dxa"/>
            <w:vAlign w:val="center"/>
          </w:tcPr>
          <w:p w14:paraId="23DB6138" w14:textId="77777777" w:rsidR="004B6F12" w:rsidRPr="004B6F12" w:rsidRDefault="004B6F12" w:rsidP="00CE7461">
            <w:pPr>
              <w:spacing w:before="0" w:after="0"/>
              <w:jc w:val="center"/>
              <w:rPr>
                <w:rFonts w:eastAsia="Times New Roman"/>
                <w:lang w:eastAsia="de-DE"/>
              </w:rPr>
            </w:pPr>
          </w:p>
        </w:tc>
        <w:tc>
          <w:tcPr>
            <w:tcW w:w="935" w:type="dxa"/>
            <w:vAlign w:val="center"/>
          </w:tcPr>
          <w:p w14:paraId="322D6634" w14:textId="77777777" w:rsidR="004B6F12" w:rsidRPr="004B6F12" w:rsidRDefault="004B6F12" w:rsidP="00CE7461">
            <w:pPr>
              <w:spacing w:before="40" w:after="0"/>
              <w:jc w:val="center"/>
              <w:rPr>
                <w:rFonts w:eastAsia="Times New Roman"/>
                <w:lang w:val="en-GB" w:eastAsia="de-DE"/>
              </w:rPr>
            </w:pPr>
          </w:p>
        </w:tc>
      </w:tr>
      <w:tr w:rsidR="004B6F12" w:rsidRPr="004B6F12" w14:paraId="51B2BC27" w14:textId="77777777" w:rsidTr="00CE7461">
        <w:trPr>
          <w:cantSplit/>
          <w:trHeight w:hRule="exact" w:val="342"/>
        </w:trPr>
        <w:tc>
          <w:tcPr>
            <w:tcW w:w="3397" w:type="dxa"/>
            <w:tcBorders>
              <w:left w:val="single" w:sz="4" w:space="0" w:color="auto"/>
            </w:tcBorders>
          </w:tcPr>
          <w:p w14:paraId="05892665" w14:textId="77777777" w:rsidR="004B6F12" w:rsidRPr="004B6F12" w:rsidRDefault="004B6F12" w:rsidP="00CE7461">
            <w:pPr>
              <w:spacing w:before="0" w:after="0"/>
              <w:jc w:val="left"/>
              <w:rPr>
                <w:rFonts w:eastAsia="Times New Roman"/>
                <w:b/>
                <w:lang w:eastAsia="de-DE"/>
              </w:rPr>
            </w:pPr>
            <w:r w:rsidRPr="004B6F12">
              <w:rPr>
                <w:rFonts w:eastAsia="Times New Roman"/>
                <w:b/>
                <w:lang w:eastAsia="de-DE"/>
              </w:rPr>
              <w:t>Antimon</w:t>
            </w:r>
          </w:p>
        </w:tc>
        <w:tc>
          <w:tcPr>
            <w:tcW w:w="905" w:type="dxa"/>
          </w:tcPr>
          <w:p w14:paraId="7992A2BE" w14:textId="77777777" w:rsidR="004B6F12" w:rsidRPr="004B6F12" w:rsidRDefault="004B6F12" w:rsidP="00CE7461">
            <w:pPr>
              <w:spacing w:before="0" w:after="0"/>
              <w:jc w:val="left"/>
              <w:rPr>
                <w:rFonts w:eastAsia="Times New Roman"/>
                <w:lang w:eastAsia="de-DE"/>
              </w:rPr>
            </w:pPr>
            <w:r w:rsidRPr="004B6F12">
              <w:rPr>
                <w:rFonts w:eastAsia="Times New Roman"/>
                <w:lang w:eastAsia="de-DE"/>
              </w:rPr>
              <w:t>µg/l</w:t>
            </w:r>
          </w:p>
        </w:tc>
        <w:tc>
          <w:tcPr>
            <w:tcW w:w="800" w:type="dxa"/>
            <w:tcBorders>
              <w:right w:val="single" w:sz="4" w:space="0" w:color="auto"/>
            </w:tcBorders>
            <w:vAlign w:val="center"/>
          </w:tcPr>
          <w:p w14:paraId="097A39C1" w14:textId="77777777" w:rsidR="004B6F12" w:rsidRPr="004B6F12" w:rsidRDefault="004B6F12" w:rsidP="00CE7461">
            <w:pPr>
              <w:spacing w:before="40" w:after="0"/>
              <w:jc w:val="center"/>
              <w:rPr>
                <w:rFonts w:eastAsia="Times New Roman"/>
                <w:lang w:val="en-GB" w:eastAsia="de-DE"/>
              </w:rPr>
            </w:pPr>
          </w:p>
        </w:tc>
        <w:tc>
          <w:tcPr>
            <w:tcW w:w="800" w:type="dxa"/>
            <w:tcBorders>
              <w:right w:val="single" w:sz="4" w:space="0" w:color="auto"/>
            </w:tcBorders>
            <w:vAlign w:val="center"/>
          </w:tcPr>
          <w:p w14:paraId="310655CA" w14:textId="77777777" w:rsidR="004B6F12" w:rsidRPr="004B6F12" w:rsidRDefault="004B6F12" w:rsidP="00CE7461">
            <w:pPr>
              <w:spacing w:before="40" w:after="0"/>
              <w:jc w:val="center"/>
              <w:rPr>
                <w:rFonts w:eastAsia="Times New Roman"/>
                <w:lang w:val="en-GB" w:eastAsia="de-DE"/>
              </w:rPr>
            </w:pPr>
          </w:p>
        </w:tc>
        <w:tc>
          <w:tcPr>
            <w:tcW w:w="920" w:type="dxa"/>
            <w:tcBorders>
              <w:right w:val="single" w:sz="4" w:space="0" w:color="auto"/>
            </w:tcBorders>
            <w:vAlign w:val="center"/>
          </w:tcPr>
          <w:p w14:paraId="5B15F475" w14:textId="77777777" w:rsidR="004B6F12" w:rsidRPr="004B6F12" w:rsidRDefault="004B6F12" w:rsidP="00CE7461">
            <w:pPr>
              <w:spacing w:before="40" w:after="0"/>
              <w:ind w:left="-151"/>
              <w:jc w:val="center"/>
              <w:rPr>
                <w:rFonts w:eastAsia="Times New Roman"/>
                <w:lang w:val="en-GB" w:eastAsia="de-DE"/>
              </w:rPr>
            </w:pPr>
          </w:p>
        </w:tc>
        <w:tc>
          <w:tcPr>
            <w:tcW w:w="950" w:type="dxa"/>
            <w:vAlign w:val="center"/>
          </w:tcPr>
          <w:p w14:paraId="745010AE" w14:textId="77777777" w:rsidR="004B6F12" w:rsidRPr="004B6F12" w:rsidRDefault="004B6F12" w:rsidP="00CE7461">
            <w:pPr>
              <w:spacing w:before="0" w:after="0"/>
              <w:jc w:val="center"/>
              <w:rPr>
                <w:rFonts w:eastAsia="Times New Roman"/>
                <w:lang w:eastAsia="de-DE"/>
              </w:rPr>
            </w:pPr>
          </w:p>
        </w:tc>
        <w:tc>
          <w:tcPr>
            <w:tcW w:w="950" w:type="dxa"/>
            <w:shd w:val="clear" w:color="auto" w:fill="auto"/>
            <w:vAlign w:val="center"/>
          </w:tcPr>
          <w:p w14:paraId="3E9CDDCB" w14:textId="77777777" w:rsidR="004B6F12" w:rsidRPr="004B6F12" w:rsidRDefault="004B6F12" w:rsidP="00CE7461">
            <w:pPr>
              <w:spacing w:before="0" w:after="0"/>
              <w:jc w:val="center"/>
              <w:rPr>
                <w:rFonts w:eastAsia="Times New Roman"/>
                <w:lang w:eastAsia="de-DE"/>
              </w:rPr>
            </w:pPr>
          </w:p>
        </w:tc>
        <w:tc>
          <w:tcPr>
            <w:tcW w:w="800" w:type="dxa"/>
            <w:vAlign w:val="center"/>
          </w:tcPr>
          <w:p w14:paraId="22F594E2" w14:textId="77777777" w:rsidR="004B6F12" w:rsidRPr="004B6F12" w:rsidRDefault="004B6F12" w:rsidP="00CE7461">
            <w:pPr>
              <w:spacing w:before="0" w:after="0"/>
              <w:jc w:val="center"/>
              <w:rPr>
                <w:rFonts w:eastAsia="Times New Roman"/>
                <w:lang w:eastAsia="de-DE"/>
              </w:rPr>
            </w:pPr>
          </w:p>
        </w:tc>
        <w:tc>
          <w:tcPr>
            <w:tcW w:w="965" w:type="dxa"/>
            <w:vAlign w:val="center"/>
          </w:tcPr>
          <w:p w14:paraId="425D574D" w14:textId="77777777" w:rsidR="004B6F12" w:rsidRPr="004B6F12" w:rsidRDefault="004B6F12" w:rsidP="00CE7461">
            <w:pPr>
              <w:spacing w:before="0" w:after="0"/>
              <w:jc w:val="center"/>
              <w:rPr>
                <w:rFonts w:eastAsia="Times New Roman"/>
                <w:lang w:eastAsia="de-DE"/>
              </w:rPr>
            </w:pPr>
          </w:p>
        </w:tc>
        <w:tc>
          <w:tcPr>
            <w:tcW w:w="965" w:type="dxa"/>
            <w:vAlign w:val="center"/>
          </w:tcPr>
          <w:p w14:paraId="11EAFD77" w14:textId="77777777" w:rsidR="004B6F12" w:rsidRPr="004B6F12" w:rsidRDefault="004B6F12" w:rsidP="00CE7461">
            <w:pPr>
              <w:spacing w:before="0" w:after="0"/>
              <w:jc w:val="center"/>
              <w:rPr>
                <w:rFonts w:eastAsia="Times New Roman"/>
                <w:lang w:eastAsia="de-DE"/>
              </w:rPr>
            </w:pPr>
          </w:p>
        </w:tc>
        <w:tc>
          <w:tcPr>
            <w:tcW w:w="935" w:type="dxa"/>
            <w:vAlign w:val="center"/>
          </w:tcPr>
          <w:p w14:paraId="7F0A858F" w14:textId="77777777" w:rsidR="004B6F12" w:rsidRPr="004B6F12" w:rsidRDefault="004B6F12" w:rsidP="00CE7461">
            <w:pPr>
              <w:spacing w:before="40" w:after="0"/>
              <w:jc w:val="center"/>
              <w:rPr>
                <w:rFonts w:eastAsia="Times New Roman"/>
                <w:lang w:val="en-GB" w:eastAsia="de-DE"/>
              </w:rPr>
            </w:pPr>
          </w:p>
        </w:tc>
      </w:tr>
      <w:tr w:rsidR="004B6F12" w:rsidRPr="004B6F12" w14:paraId="0D7F707D" w14:textId="77777777" w:rsidTr="00CE7461">
        <w:trPr>
          <w:cantSplit/>
          <w:trHeight w:hRule="exact" w:val="261"/>
        </w:trPr>
        <w:tc>
          <w:tcPr>
            <w:tcW w:w="3397" w:type="dxa"/>
            <w:tcBorders>
              <w:left w:val="single" w:sz="4" w:space="0" w:color="auto"/>
            </w:tcBorders>
          </w:tcPr>
          <w:p w14:paraId="50E91216" w14:textId="77777777" w:rsidR="004B6F12" w:rsidRPr="004B6F12" w:rsidRDefault="004B6F12" w:rsidP="00CE7461">
            <w:pPr>
              <w:spacing w:before="0" w:after="0"/>
              <w:jc w:val="left"/>
              <w:rPr>
                <w:rFonts w:eastAsia="Times New Roman"/>
                <w:b/>
                <w:lang w:eastAsia="de-DE"/>
              </w:rPr>
            </w:pPr>
            <w:r w:rsidRPr="004B6F12">
              <w:rPr>
                <w:rFonts w:eastAsia="Times New Roman"/>
                <w:b/>
                <w:lang w:eastAsia="de-DE"/>
              </w:rPr>
              <w:t>Arsen</w:t>
            </w:r>
          </w:p>
        </w:tc>
        <w:tc>
          <w:tcPr>
            <w:tcW w:w="905" w:type="dxa"/>
          </w:tcPr>
          <w:p w14:paraId="1867C1BE" w14:textId="77777777" w:rsidR="004B6F12" w:rsidRPr="004B6F12" w:rsidRDefault="004B6F12" w:rsidP="00CE7461">
            <w:pPr>
              <w:spacing w:before="0" w:after="0"/>
              <w:jc w:val="left"/>
              <w:rPr>
                <w:rFonts w:eastAsia="Times New Roman"/>
                <w:lang w:eastAsia="de-DE"/>
              </w:rPr>
            </w:pPr>
            <w:r w:rsidRPr="004B6F12">
              <w:rPr>
                <w:rFonts w:eastAsia="Times New Roman"/>
                <w:lang w:eastAsia="de-DE"/>
              </w:rPr>
              <w:t>µg/l</w:t>
            </w:r>
          </w:p>
        </w:tc>
        <w:tc>
          <w:tcPr>
            <w:tcW w:w="800" w:type="dxa"/>
            <w:tcBorders>
              <w:right w:val="single" w:sz="4" w:space="0" w:color="auto"/>
            </w:tcBorders>
            <w:vAlign w:val="center"/>
          </w:tcPr>
          <w:p w14:paraId="5F805124" w14:textId="77777777" w:rsidR="004B6F12" w:rsidRPr="004B6F12" w:rsidRDefault="004B6F12" w:rsidP="00CE7461">
            <w:pPr>
              <w:spacing w:before="40" w:after="0"/>
              <w:jc w:val="center"/>
              <w:rPr>
                <w:rFonts w:eastAsia="Times New Roman"/>
                <w:strike/>
                <w:lang w:val="en-GB" w:eastAsia="de-DE"/>
              </w:rPr>
            </w:pPr>
          </w:p>
        </w:tc>
        <w:tc>
          <w:tcPr>
            <w:tcW w:w="800" w:type="dxa"/>
            <w:tcBorders>
              <w:right w:val="single" w:sz="4" w:space="0" w:color="auto"/>
            </w:tcBorders>
            <w:vAlign w:val="center"/>
          </w:tcPr>
          <w:p w14:paraId="58B5B7FB" w14:textId="77777777" w:rsidR="004B6F12" w:rsidRPr="004B6F12" w:rsidRDefault="004B6F12" w:rsidP="00CE7461">
            <w:pPr>
              <w:spacing w:before="40" w:after="0"/>
              <w:jc w:val="center"/>
              <w:rPr>
                <w:rFonts w:eastAsia="Times New Roman"/>
                <w:strike/>
                <w:lang w:val="en-GB" w:eastAsia="de-DE"/>
              </w:rPr>
            </w:pPr>
          </w:p>
        </w:tc>
        <w:tc>
          <w:tcPr>
            <w:tcW w:w="920" w:type="dxa"/>
            <w:tcBorders>
              <w:right w:val="single" w:sz="4" w:space="0" w:color="auto"/>
            </w:tcBorders>
            <w:vAlign w:val="center"/>
          </w:tcPr>
          <w:p w14:paraId="4E5FF339" w14:textId="77777777" w:rsidR="004B6F12" w:rsidRPr="004B6F12" w:rsidRDefault="004B6F12" w:rsidP="00CE7461">
            <w:pPr>
              <w:spacing w:before="40" w:after="0"/>
              <w:ind w:left="-151"/>
              <w:jc w:val="center"/>
              <w:rPr>
                <w:rFonts w:eastAsia="Times New Roman"/>
                <w:strike/>
                <w:lang w:val="en-GB" w:eastAsia="de-DE"/>
              </w:rPr>
            </w:pPr>
          </w:p>
        </w:tc>
        <w:tc>
          <w:tcPr>
            <w:tcW w:w="950" w:type="dxa"/>
            <w:vAlign w:val="center"/>
          </w:tcPr>
          <w:p w14:paraId="52029FC8" w14:textId="77777777" w:rsidR="004B6F12" w:rsidRPr="004B6F12" w:rsidRDefault="004B6F12" w:rsidP="00CE7461">
            <w:pPr>
              <w:spacing w:before="0" w:after="0"/>
              <w:jc w:val="center"/>
              <w:rPr>
                <w:rFonts w:eastAsia="Times New Roman"/>
                <w:lang w:eastAsia="de-DE"/>
              </w:rPr>
            </w:pPr>
          </w:p>
        </w:tc>
        <w:tc>
          <w:tcPr>
            <w:tcW w:w="950" w:type="dxa"/>
            <w:shd w:val="clear" w:color="auto" w:fill="auto"/>
            <w:vAlign w:val="center"/>
          </w:tcPr>
          <w:p w14:paraId="49B89FD6" w14:textId="77777777" w:rsidR="004B6F12" w:rsidRPr="004B6F12" w:rsidRDefault="004B6F12" w:rsidP="00CE7461">
            <w:pPr>
              <w:spacing w:before="0" w:after="0"/>
              <w:jc w:val="center"/>
              <w:rPr>
                <w:rFonts w:eastAsia="Times New Roman"/>
                <w:lang w:eastAsia="de-DE"/>
              </w:rPr>
            </w:pPr>
          </w:p>
        </w:tc>
        <w:tc>
          <w:tcPr>
            <w:tcW w:w="800" w:type="dxa"/>
            <w:vAlign w:val="center"/>
          </w:tcPr>
          <w:p w14:paraId="4AD8A8F6" w14:textId="77777777" w:rsidR="004B6F12" w:rsidRPr="004B6F12" w:rsidRDefault="004B6F12" w:rsidP="00CE7461">
            <w:pPr>
              <w:spacing w:before="0" w:after="0"/>
              <w:jc w:val="center"/>
              <w:rPr>
                <w:rFonts w:eastAsia="Times New Roman"/>
                <w:lang w:eastAsia="de-DE"/>
              </w:rPr>
            </w:pPr>
          </w:p>
        </w:tc>
        <w:tc>
          <w:tcPr>
            <w:tcW w:w="965" w:type="dxa"/>
            <w:vAlign w:val="center"/>
          </w:tcPr>
          <w:p w14:paraId="74D6C57F" w14:textId="77777777" w:rsidR="004B6F12" w:rsidRPr="004B6F12" w:rsidRDefault="004B6F12" w:rsidP="00CE7461">
            <w:pPr>
              <w:spacing w:before="0" w:after="0"/>
              <w:jc w:val="center"/>
              <w:rPr>
                <w:rFonts w:eastAsia="Times New Roman"/>
                <w:lang w:eastAsia="de-DE"/>
              </w:rPr>
            </w:pPr>
          </w:p>
        </w:tc>
        <w:tc>
          <w:tcPr>
            <w:tcW w:w="965" w:type="dxa"/>
            <w:vAlign w:val="center"/>
          </w:tcPr>
          <w:p w14:paraId="6E639B0F" w14:textId="77777777" w:rsidR="004B6F12" w:rsidRPr="004B6F12" w:rsidRDefault="004B6F12" w:rsidP="00CE7461">
            <w:pPr>
              <w:spacing w:before="0" w:after="0"/>
              <w:jc w:val="center"/>
              <w:rPr>
                <w:rFonts w:eastAsia="Times New Roman"/>
                <w:lang w:eastAsia="de-DE"/>
              </w:rPr>
            </w:pPr>
          </w:p>
        </w:tc>
        <w:tc>
          <w:tcPr>
            <w:tcW w:w="935" w:type="dxa"/>
            <w:vAlign w:val="center"/>
          </w:tcPr>
          <w:p w14:paraId="7E408D73" w14:textId="77777777" w:rsidR="004B6F12" w:rsidRPr="004B6F12" w:rsidRDefault="004B6F12" w:rsidP="00CE7461">
            <w:pPr>
              <w:spacing w:before="40" w:after="0"/>
              <w:jc w:val="center"/>
              <w:rPr>
                <w:rFonts w:eastAsia="Times New Roman"/>
                <w:lang w:val="en-GB" w:eastAsia="de-DE"/>
              </w:rPr>
            </w:pPr>
          </w:p>
        </w:tc>
      </w:tr>
      <w:tr w:rsidR="004B6F12" w:rsidRPr="004B6F12" w14:paraId="4D2162C0" w14:textId="77777777" w:rsidTr="00CE7461">
        <w:trPr>
          <w:cantSplit/>
          <w:trHeight w:hRule="exact" w:val="302"/>
        </w:trPr>
        <w:tc>
          <w:tcPr>
            <w:tcW w:w="3397" w:type="dxa"/>
            <w:tcBorders>
              <w:left w:val="single" w:sz="4" w:space="0" w:color="auto"/>
            </w:tcBorders>
          </w:tcPr>
          <w:p w14:paraId="6D0B1AB0" w14:textId="77777777" w:rsidR="004B6F12" w:rsidRPr="004B6F12" w:rsidRDefault="004B6F12" w:rsidP="00CE7461">
            <w:pPr>
              <w:spacing w:before="0" w:after="0"/>
              <w:jc w:val="left"/>
              <w:rPr>
                <w:rFonts w:eastAsia="Times New Roman"/>
                <w:b/>
                <w:lang w:eastAsia="de-DE"/>
              </w:rPr>
            </w:pPr>
            <w:r w:rsidRPr="004B6F12">
              <w:rPr>
                <w:rFonts w:eastAsia="Times New Roman"/>
                <w:b/>
                <w:lang w:eastAsia="de-DE"/>
              </w:rPr>
              <w:t>Blei</w:t>
            </w:r>
          </w:p>
        </w:tc>
        <w:tc>
          <w:tcPr>
            <w:tcW w:w="905" w:type="dxa"/>
          </w:tcPr>
          <w:p w14:paraId="5E0BC361" w14:textId="77777777" w:rsidR="004B6F12" w:rsidRPr="004B6F12" w:rsidRDefault="004B6F12" w:rsidP="00CE7461">
            <w:pPr>
              <w:spacing w:before="0" w:after="0"/>
              <w:jc w:val="left"/>
              <w:rPr>
                <w:rFonts w:eastAsia="Times New Roman"/>
                <w:lang w:eastAsia="de-DE"/>
              </w:rPr>
            </w:pPr>
            <w:r w:rsidRPr="004B6F12">
              <w:rPr>
                <w:rFonts w:eastAsia="Times New Roman"/>
                <w:lang w:eastAsia="de-DE"/>
              </w:rPr>
              <w:t>µg/l</w:t>
            </w:r>
          </w:p>
        </w:tc>
        <w:tc>
          <w:tcPr>
            <w:tcW w:w="800" w:type="dxa"/>
            <w:tcBorders>
              <w:right w:val="single" w:sz="4" w:space="0" w:color="auto"/>
            </w:tcBorders>
            <w:vAlign w:val="center"/>
          </w:tcPr>
          <w:p w14:paraId="04533A62" w14:textId="77777777" w:rsidR="004B6F12" w:rsidRPr="004B6F12" w:rsidRDefault="004B6F12" w:rsidP="00CE7461">
            <w:pPr>
              <w:spacing w:before="40" w:after="0"/>
              <w:jc w:val="center"/>
              <w:rPr>
                <w:rFonts w:eastAsia="Times New Roman"/>
                <w:strike/>
                <w:lang w:val="en-GB" w:eastAsia="de-DE"/>
              </w:rPr>
            </w:pPr>
          </w:p>
        </w:tc>
        <w:tc>
          <w:tcPr>
            <w:tcW w:w="800" w:type="dxa"/>
            <w:tcBorders>
              <w:right w:val="single" w:sz="4" w:space="0" w:color="auto"/>
            </w:tcBorders>
            <w:vAlign w:val="center"/>
          </w:tcPr>
          <w:p w14:paraId="07F3626D" w14:textId="77777777" w:rsidR="004B6F12" w:rsidRPr="004B6F12" w:rsidRDefault="004B6F12" w:rsidP="00CE7461">
            <w:pPr>
              <w:spacing w:before="40" w:after="0"/>
              <w:jc w:val="center"/>
              <w:rPr>
                <w:rFonts w:eastAsia="Times New Roman"/>
                <w:strike/>
                <w:lang w:val="en-GB" w:eastAsia="de-DE"/>
              </w:rPr>
            </w:pPr>
          </w:p>
        </w:tc>
        <w:tc>
          <w:tcPr>
            <w:tcW w:w="920" w:type="dxa"/>
            <w:tcBorders>
              <w:right w:val="single" w:sz="4" w:space="0" w:color="auto"/>
            </w:tcBorders>
            <w:vAlign w:val="center"/>
          </w:tcPr>
          <w:p w14:paraId="1F139224" w14:textId="77777777" w:rsidR="004B6F12" w:rsidRPr="004B6F12" w:rsidRDefault="004B6F12" w:rsidP="00CE7461">
            <w:pPr>
              <w:spacing w:before="40" w:after="0"/>
              <w:ind w:left="-151"/>
              <w:jc w:val="center"/>
              <w:rPr>
                <w:rFonts w:eastAsia="Times New Roman"/>
                <w:strike/>
                <w:lang w:val="en-GB" w:eastAsia="de-DE"/>
              </w:rPr>
            </w:pPr>
          </w:p>
        </w:tc>
        <w:tc>
          <w:tcPr>
            <w:tcW w:w="950" w:type="dxa"/>
            <w:vAlign w:val="center"/>
          </w:tcPr>
          <w:p w14:paraId="4CDA3ECD" w14:textId="77777777" w:rsidR="004B6F12" w:rsidRPr="004B6F12" w:rsidRDefault="004B6F12" w:rsidP="00CE7461">
            <w:pPr>
              <w:spacing w:before="0" w:after="0"/>
              <w:jc w:val="center"/>
              <w:rPr>
                <w:rFonts w:eastAsia="Times New Roman"/>
                <w:lang w:eastAsia="de-DE"/>
              </w:rPr>
            </w:pPr>
          </w:p>
        </w:tc>
        <w:tc>
          <w:tcPr>
            <w:tcW w:w="950" w:type="dxa"/>
            <w:shd w:val="clear" w:color="auto" w:fill="auto"/>
            <w:vAlign w:val="center"/>
          </w:tcPr>
          <w:p w14:paraId="6BA82280" w14:textId="77777777" w:rsidR="004B6F12" w:rsidRPr="004B6F12" w:rsidRDefault="004B6F12" w:rsidP="00CE7461">
            <w:pPr>
              <w:spacing w:before="0" w:after="0"/>
              <w:jc w:val="center"/>
              <w:rPr>
                <w:rFonts w:eastAsia="Times New Roman"/>
                <w:lang w:eastAsia="de-DE"/>
              </w:rPr>
            </w:pPr>
          </w:p>
        </w:tc>
        <w:tc>
          <w:tcPr>
            <w:tcW w:w="800" w:type="dxa"/>
            <w:vAlign w:val="center"/>
          </w:tcPr>
          <w:p w14:paraId="2C407526" w14:textId="77777777" w:rsidR="004B6F12" w:rsidRPr="004B6F12" w:rsidRDefault="004B6F12" w:rsidP="00CE7461">
            <w:pPr>
              <w:spacing w:before="0" w:after="0"/>
              <w:jc w:val="center"/>
              <w:rPr>
                <w:rFonts w:eastAsia="Times New Roman"/>
                <w:lang w:eastAsia="de-DE"/>
              </w:rPr>
            </w:pPr>
          </w:p>
        </w:tc>
        <w:tc>
          <w:tcPr>
            <w:tcW w:w="965" w:type="dxa"/>
            <w:vAlign w:val="center"/>
          </w:tcPr>
          <w:p w14:paraId="3FDAF4F7" w14:textId="77777777" w:rsidR="004B6F12" w:rsidRPr="004B6F12" w:rsidRDefault="004B6F12" w:rsidP="00CE7461">
            <w:pPr>
              <w:spacing w:before="0" w:after="0"/>
              <w:jc w:val="center"/>
              <w:rPr>
                <w:rFonts w:eastAsia="Times New Roman"/>
                <w:lang w:eastAsia="de-DE"/>
              </w:rPr>
            </w:pPr>
          </w:p>
        </w:tc>
        <w:tc>
          <w:tcPr>
            <w:tcW w:w="965" w:type="dxa"/>
            <w:vAlign w:val="center"/>
          </w:tcPr>
          <w:p w14:paraId="4DF4907B" w14:textId="77777777" w:rsidR="004B6F12" w:rsidRPr="004B6F12" w:rsidRDefault="004B6F12" w:rsidP="00CE7461">
            <w:pPr>
              <w:spacing w:before="0" w:after="0"/>
              <w:jc w:val="center"/>
              <w:rPr>
                <w:rFonts w:eastAsia="Times New Roman"/>
                <w:lang w:eastAsia="de-DE"/>
              </w:rPr>
            </w:pPr>
          </w:p>
        </w:tc>
        <w:tc>
          <w:tcPr>
            <w:tcW w:w="935" w:type="dxa"/>
            <w:vAlign w:val="center"/>
          </w:tcPr>
          <w:p w14:paraId="3A5795FA" w14:textId="77777777" w:rsidR="004B6F12" w:rsidRPr="004B6F12" w:rsidRDefault="004B6F12" w:rsidP="00CE7461">
            <w:pPr>
              <w:spacing w:before="40" w:after="0"/>
              <w:jc w:val="center"/>
              <w:rPr>
                <w:rFonts w:eastAsia="Times New Roman"/>
                <w:lang w:val="en-GB" w:eastAsia="de-DE"/>
              </w:rPr>
            </w:pPr>
            <w:r w:rsidRPr="004B6F12">
              <w:rPr>
                <w:rFonts w:eastAsia="Times New Roman"/>
                <w:lang w:val="en-GB" w:eastAsia="de-DE"/>
              </w:rPr>
              <w:t>90</w:t>
            </w:r>
          </w:p>
        </w:tc>
      </w:tr>
      <w:tr w:rsidR="004B6F12" w:rsidRPr="004B6F12" w14:paraId="1B61380F" w14:textId="77777777" w:rsidTr="00CE7461">
        <w:trPr>
          <w:cantSplit/>
          <w:trHeight w:hRule="exact" w:val="302"/>
        </w:trPr>
        <w:tc>
          <w:tcPr>
            <w:tcW w:w="3397" w:type="dxa"/>
            <w:tcBorders>
              <w:left w:val="single" w:sz="4" w:space="0" w:color="auto"/>
            </w:tcBorders>
          </w:tcPr>
          <w:p w14:paraId="14D62BCE" w14:textId="77777777" w:rsidR="004B6F12" w:rsidRPr="004B6F12" w:rsidRDefault="004B6F12" w:rsidP="00CE7461">
            <w:pPr>
              <w:spacing w:before="0" w:after="0"/>
              <w:jc w:val="left"/>
              <w:rPr>
                <w:rFonts w:eastAsia="Times New Roman"/>
                <w:b/>
                <w:lang w:eastAsia="de-DE"/>
              </w:rPr>
            </w:pPr>
            <w:r w:rsidRPr="004B6F12">
              <w:rPr>
                <w:rFonts w:eastAsia="Times New Roman"/>
                <w:b/>
                <w:lang w:eastAsia="de-DE"/>
              </w:rPr>
              <w:t>Cadmium</w:t>
            </w:r>
          </w:p>
        </w:tc>
        <w:tc>
          <w:tcPr>
            <w:tcW w:w="905" w:type="dxa"/>
          </w:tcPr>
          <w:p w14:paraId="775B3F52" w14:textId="77777777" w:rsidR="004B6F12" w:rsidRPr="004B6F12" w:rsidRDefault="004B6F12" w:rsidP="00CE7461">
            <w:pPr>
              <w:spacing w:before="0" w:after="0"/>
              <w:jc w:val="left"/>
              <w:rPr>
                <w:rFonts w:eastAsia="Times New Roman"/>
                <w:lang w:eastAsia="de-DE"/>
              </w:rPr>
            </w:pPr>
            <w:r w:rsidRPr="004B6F12">
              <w:rPr>
                <w:rFonts w:eastAsia="Times New Roman"/>
                <w:lang w:eastAsia="de-DE"/>
              </w:rPr>
              <w:t>µg/l</w:t>
            </w:r>
          </w:p>
        </w:tc>
        <w:tc>
          <w:tcPr>
            <w:tcW w:w="800" w:type="dxa"/>
            <w:tcBorders>
              <w:right w:val="single" w:sz="4" w:space="0" w:color="auto"/>
            </w:tcBorders>
            <w:vAlign w:val="center"/>
          </w:tcPr>
          <w:p w14:paraId="0299238E" w14:textId="77777777" w:rsidR="004B6F12" w:rsidRPr="004B6F12" w:rsidRDefault="004B6F12" w:rsidP="00CE7461">
            <w:pPr>
              <w:spacing w:before="40" w:after="0"/>
              <w:jc w:val="center"/>
              <w:rPr>
                <w:rFonts w:eastAsia="Times New Roman"/>
                <w:strike/>
                <w:lang w:val="en-GB" w:eastAsia="de-DE"/>
              </w:rPr>
            </w:pPr>
          </w:p>
        </w:tc>
        <w:tc>
          <w:tcPr>
            <w:tcW w:w="800" w:type="dxa"/>
            <w:tcBorders>
              <w:right w:val="single" w:sz="4" w:space="0" w:color="auto"/>
            </w:tcBorders>
            <w:vAlign w:val="center"/>
          </w:tcPr>
          <w:p w14:paraId="47F5AE51" w14:textId="77777777" w:rsidR="004B6F12" w:rsidRPr="004B6F12" w:rsidRDefault="004B6F12" w:rsidP="00CE7461">
            <w:pPr>
              <w:spacing w:before="40" w:after="0"/>
              <w:jc w:val="center"/>
              <w:rPr>
                <w:rFonts w:eastAsia="Times New Roman"/>
                <w:strike/>
                <w:lang w:val="en-GB" w:eastAsia="de-DE"/>
              </w:rPr>
            </w:pPr>
          </w:p>
        </w:tc>
        <w:tc>
          <w:tcPr>
            <w:tcW w:w="920" w:type="dxa"/>
            <w:tcBorders>
              <w:right w:val="single" w:sz="4" w:space="0" w:color="auto"/>
            </w:tcBorders>
            <w:vAlign w:val="center"/>
          </w:tcPr>
          <w:p w14:paraId="372D27F4" w14:textId="77777777" w:rsidR="004B6F12" w:rsidRPr="004B6F12" w:rsidRDefault="004B6F12" w:rsidP="00CE7461">
            <w:pPr>
              <w:spacing w:before="40" w:after="0"/>
              <w:ind w:left="-151"/>
              <w:jc w:val="center"/>
              <w:rPr>
                <w:rFonts w:eastAsia="Times New Roman"/>
                <w:strike/>
                <w:lang w:val="en-GB" w:eastAsia="de-DE"/>
              </w:rPr>
            </w:pPr>
          </w:p>
        </w:tc>
        <w:tc>
          <w:tcPr>
            <w:tcW w:w="950" w:type="dxa"/>
            <w:vAlign w:val="center"/>
          </w:tcPr>
          <w:p w14:paraId="5A6293E8" w14:textId="77777777" w:rsidR="004B6F12" w:rsidRPr="004B6F12" w:rsidRDefault="004B6F12" w:rsidP="00CE7461">
            <w:pPr>
              <w:spacing w:before="0" w:after="0"/>
              <w:jc w:val="center"/>
              <w:rPr>
                <w:rFonts w:eastAsia="Times New Roman"/>
                <w:lang w:eastAsia="de-DE"/>
              </w:rPr>
            </w:pPr>
          </w:p>
        </w:tc>
        <w:tc>
          <w:tcPr>
            <w:tcW w:w="950" w:type="dxa"/>
            <w:shd w:val="clear" w:color="auto" w:fill="auto"/>
            <w:vAlign w:val="center"/>
          </w:tcPr>
          <w:p w14:paraId="12D10413" w14:textId="77777777" w:rsidR="004B6F12" w:rsidRPr="004B6F12" w:rsidRDefault="004B6F12" w:rsidP="00CE7461">
            <w:pPr>
              <w:spacing w:before="0" w:after="0"/>
              <w:jc w:val="center"/>
              <w:rPr>
                <w:rFonts w:eastAsia="Times New Roman"/>
                <w:lang w:eastAsia="de-DE"/>
              </w:rPr>
            </w:pPr>
          </w:p>
        </w:tc>
        <w:tc>
          <w:tcPr>
            <w:tcW w:w="800" w:type="dxa"/>
            <w:vAlign w:val="center"/>
          </w:tcPr>
          <w:p w14:paraId="779609BE" w14:textId="77777777" w:rsidR="004B6F12" w:rsidRPr="004B6F12" w:rsidRDefault="004B6F12" w:rsidP="00CE7461">
            <w:pPr>
              <w:spacing w:before="0" w:after="0"/>
              <w:jc w:val="center"/>
              <w:rPr>
                <w:rFonts w:eastAsia="Times New Roman"/>
                <w:lang w:eastAsia="de-DE"/>
              </w:rPr>
            </w:pPr>
          </w:p>
        </w:tc>
        <w:tc>
          <w:tcPr>
            <w:tcW w:w="965" w:type="dxa"/>
            <w:vAlign w:val="center"/>
          </w:tcPr>
          <w:p w14:paraId="5200AABE" w14:textId="77777777" w:rsidR="004B6F12" w:rsidRPr="004B6F12" w:rsidRDefault="004B6F12" w:rsidP="00CE7461">
            <w:pPr>
              <w:spacing w:before="0" w:after="0"/>
              <w:jc w:val="center"/>
              <w:rPr>
                <w:rFonts w:eastAsia="Times New Roman"/>
                <w:lang w:eastAsia="de-DE"/>
              </w:rPr>
            </w:pPr>
          </w:p>
        </w:tc>
        <w:tc>
          <w:tcPr>
            <w:tcW w:w="965" w:type="dxa"/>
            <w:vAlign w:val="center"/>
          </w:tcPr>
          <w:p w14:paraId="7EA32A70" w14:textId="77777777" w:rsidR="004B6F12" w:rsidRPr="004B6F12" w:rsidRDefault="004B6F12" w:rsidP="00CE7461">
            <w:pPr>
              <w:spacing w:before="0" w:after="0"/>
              <w:jc w:val="center"/>
              <w:rPr>
                <w:rFonts w:eastAsia="Times New Roman"/>
                <w:lang w:eastAsia="de-DE"/>
              </w:rPr>
            </w:pPr>
          </w:p>
        </w:tc>
        <w:tc>
          <w:tcPr>
            <w:tcW w:w="935" w:type="dxa"/>
            <w:vAlign w:val="center"/>
          </w:tcPr>
          <w:p w14:paraId="54A00EB6" w14:textId="77777777" w:rsidR="004B6F12" w:rsidRPr="004B6F12" w:rsidRDefault="004B6F12" w:rsidP="00CE7461">
            <w:pPr>
              <w:spacing w:before="40" w:after="0"/>
              <w:jc w:val="center"/>
              <w:rPr>
                <w:rFonts w:eastAsia="Times New Roman"/>
                <w:lang w:val="en-GB" w:eastAsia="de-DE"/>
              </w:rPr>
            </w:pPr>
          </w:p>
        </w:tc>
      </w:tr>
      <w:tr w:rsidR="004B6F12" w:rsidRPr="004B6F12" w14:paraId="59DC91BC" w14:textId="77777777" w:rsidTr="00CE7461">
        <w:trPr>
          <w:cantSplit/>
          <w:trHeight w:hRule="exact" w:val="284"/>
        </w:trPr>
        <w:tc>
          <w:tcPr>
            <w:tcW w:w="3397" w:type="dxa"/>
            <w:tcBorders>
              <w:left w:val="single" w:sz="4" w:space="0" w:color="auto"/>
            </w:tcBorders>
          </w:tcPr>
          <w:p w14:paraId="7BB0460D" w14:textId="77777777" w:rsidR="004B6F12" w:rsidRPr="004B6F12" w:rsidRDefault="004B6F12" w:rsidP="00CE7461">
            <w:pPr>
              <w:spacing w:before="0" w:after="0"/>
              <w:jc w:val="left"/>
              <w:rPr>
                <w:rFonts w:eastAsia="Times New Roman"/>
                <w:b/>
                <w:lang w:eastAsia="de-DE"/>
              </w:rPr>
            </w:pPr>
            <w:r w:rsidRPr="004B6F12">
              <w:rPr>
                <w:rFonts w:eastAsia="Times New Roman"/>
                <w:b/>
                <w:lang w:eastAsia="de-DE"/>
              </w:rPr>
              <w:t>Chrom, ges.</w:t>
            </w:r>
          </w:p>
        </w:tc>
        <w:tc>
          <w:tcPr>
            <w:tcW w:w="905" w:type="dxa"/>
          </w:tcPr>
          <w:p w14:paraId="347C602D" w14:textId="77777777" w:rsidR="004B6F12" w:rsidRPr="004B6F12" w:rsidRDefault="004B6F12" w:rsidP="00CE7461">
            <w:pPr>
              <w:spacing w:before="0" w:after="0"/>
              <w:jc w:val="left"/>
              <w:rPr>
                <w:rFonts w:eastAsia="Times New Roman"/>
                <w:lang w:eastAsia="de-DE"/>
              </w:rPr>
            </w:pPr>
            <w:r w:rsidRPr="004B6F12">
              <w:rPr>
                <w:rFonts w:eastAsia="Times New Roman"/>
                <w:lang w:eastAsia="de-DE"/>
              </w:rPr>
              <w:t>µg/l</w:t>
            </w:r>
          </w:p>
        </w:tc>
        <w:tc>
          <w:tcPr>
            <w:tcW w:w="800" w:type="dxa"/>
            <w:tcBorders>
              <w:right w:val="single" w:sz="4" w:space="0" w:color="auto"/>
            </w:tcBorders>
            <w:vAlign w:val="center"/>
          </w:tcPr>
          <w:p w14:paraId="22827724" w14:textId="77777777" w:rsidR="004B6F12" w:rsidRPr="004B6F12" w:rsidRDefault="004B6F12" w:rsidP="00CE7461">
            <w:pPr>
              <w:spacing w:before="40" w:after="0"/>
              <w:jc w:val="center"/>
              <w:rPr>
                <w:rFonts w:eastAsia="Times New Roman"/>
                <w:strike/>
                <w:lang w:eastAsia="de-DE"/>
              </w:rPr>
            </w:pPr>
            <w:r w:rsidRPr="004B6F12">
              <w:rPr>
                <w:rFonts w:eastAsia="Times New Roman"/>
                <w:lang w:eastAsia="de-DE"/>
              </w:rPr>
              <w:t>150</w:t>
            </w:r>
          </w:p>
        </w:tc>
        <w:tc>
          <w:tcPr>
            <w:tcW w:w="800" w:type="dxa"/>
            <w:tcBorders>
              <w:right w:val="single" w:sz="4" w:space="0" w:color="auto"/>
            </w:tcBorders>
            <w:vAlign w:val="center"/>
          </w:tcPr>
          <w:p w14:paraId="02215CED" w14:textId="77777777" w:rsidR="004B6F12" w:rsidRPr="004B6F12" w:rsidRDefault="004B6F12" w:rsidP="00CE7461">
            <w:pPr>
              <w:spacing w:before="40" w:after="0"/>
              <w:jc w:val="center"/>
              <w:rPr>
                <w:rFonts w:eastAsia="Times New Roman"/>
                <w:strike/>
                <w:lang w:eastAsia="de-DE"/>
              </w:rPr>
            </w:pPr>
            <w:r w:rsidRPr="004B6F12">
              <w:rPr>
                <w:rFonts w:eastAsia="Times New Roman"/>
                <w:lang w:eastAsia="de-DE"/>
              </w:rPr>
              <w:t>440</w:t>
            </w:r>
          </w:p>
        </w:tc>
        <w:tc>
          <w:tcPr>
            <w:tcW w:w="920" w:type="dxa"/>
            <w:tcBorders>
              <w:right w:val="single" w:sz="4" w:space="0" w:color="auto"/>
            </w:tcBorders>
            <w:vAlign w:val="center"/>
          </w:tcPr>
          <w:p w14:paraId="54F69017" w14:textId="77777777" w:rsidR="004B6F12" w:rsidRPr="004B6F12" w:rsidRDefault="004B6F12" w:rsidP="00CE7461">
            <w:pPr>
              <w:spacing w:before="40" w:after="0"/>
              <w:ind w:left="-151"/>
              <w:jc w:val="center"/>
              <w:rPr>
                <w:rFonts w:eastAsia="Times New Roman"/>
                <w:strike/>
                <w:lang w:eastAsia="de-DE"/>
              </w:rPr>
            </w:pPr>
            <w:r w:rsidRPr="004B6F12">
              <w:rPr>
                <w:rFonts w:eastAsia="Times New Roman"/>
                <w:lang w:eastAsia="de-DE"/>
              </w:rPr>
              <w:t>900</w:t>
            </w:r>
          </w:p>
        </w:tc>
        <w:tc>
          <w:tcPr>
            <w:tcW w:w="950" w:type="dxa"/>
            <w:vAlign w:val="center"/>
          </w:tcPr>
          <w:p w14:paraId="1202B1B4" w14:textId="77777777" w:rsidR="004B6F12" w:rsidRPr="004B6F12" w:rsidRDefault="004B6F12" w:rsidP="00CE7461">
            <w:pPr>
              <w:spacing w:before="0" w:after="0"/>
              <w:jc w:val="center"/>
              <w:rPr>
                <w:rFonts w:eastAsia="Times New Roman"/>
                <w:lang w:eastAsia="de-DE"/>
              </w:rPr>
            </w:pPr>
          </w:p>
        </w:tc>
        <w:tc>
          <w:tcPr>
            <w:tcW w:w="950" w:type="dxa"/>
            <w:shd w:val="clear" w:color="auto" w:fill="auto"/>
            <w:vAlign w:val="center"/>
          </w:tcPr>
          <w:p w14:paraId="0C680DBA" w14:textId="77777777" w:rsidR="004B6F12" w:rsidRPr="004B6F12" w:rsidRDefault="004B6F12" w:rsidP="00CE7461">
            <w:pPr>
              <w:spacing w:before="0" w:after="0"/>
              <w:jc w:val="center"/>
              <w:rPr>
                <w:rFonts w:eastAsia="Times New Roman"/>
                <w:lang w:eastAsia="de-DE"/>
              </w:rPr>
            </w:pPr>
          </w:p>
        </w:tc>
        <w:tc>
          <w:tcPr>
            <w:tcW w:w="800" w:type="dxa"/>
            <w:vAlign w:val="center"/>
          </w:tcPr>
          <w:p w14:paraId="0EE3490D" w14:textId="77777777" w:rsidR="004B6F12" w:rsidRPr="004B6F12" w:rsidRDefault="004B6F12" w:rsidP="00CE7461">
            <w:pPr>
              <w:spacing w:before="0" w:after="0"/>
              <w:jc w:val="center"/>
              <w:rPr>
                <w:rFonts w:eastAsia="Times New Roman"/>
                <w:lang w:eastAsia="de-DE"/>
              </w:rPr>
            </w:pPr>
          </w:p>
        </w:tc>
        <w:tc>
          <w:tcPr>
            <w:tcW w:w="965" w:type="dxa"/>
            <w:vAlign w:val="center"/>
          </w:tcPr>
          <w:p w14:paraId="40763F34"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110</w:t>
            </w:r>
          </w:p>
        </w:tc>
        <w:tc>
          <w:tcPr>
            <w:tcW w:w="965" w:type="dxa"/>
            <w:vAlign w:val="center"/>
          </w:tcPr>
          <w:p w14:paraId="136392AC"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190</w:t>
            </w:r>
          </w:p>
        </w:tc>
        <w:tc>
          <w:tcPr>
            <w:tcW w:w="935" w:type="dxa"/>
            <w:vAlign w:val="center"/>
          </w:tcPr>
          <w:p w14:paraId="6DFE8FB9" w14:textId="77777777" w:rsidR="004B6F12" w:rsidRPr="004B6F12" w:rsidRDefault="004B6F12" w:rsidP="00CE7461">
            <w:pPr>
              <w:spacing w:before="40" w:after="0"/>
              <w:jc w:val="center"/>
              <w:rPr>
                <w:rFonts w:eastAsia="Times New Roman"/>
                <w:lang w:eastAsia="de-DE"/>
              </w:rPr>
            </w:pPr>
            <w:r w:rsidRPr="004B6F12">
              <w:rPr>
                <w:rFonts w:eastAsia="Times New Roman"/>
                <w:lang w:eastAsia="de-DE"/>
              </w:rPr>
              <w:t>150</w:t>
            </w:r>
          </w:p>
        </w:tc>
      </w:tr>
      <w:tr w:rsidR="004B6F12" w:rsidRPr="004B6F12" w14:paraId="23A3AE13" w14:textId="77777777" w:rsidTr="00CE7461">
        <w:trPr>
          <w:cantSplit/>
          <w:trHeight w:hRule="exact" w:val="361"/>
        </w:trPr>
        <w:tc>
          <w:tcPr>
            <w:tcW w:w="3397" w:type="dxa"/>
            <w:tcBorders>
              <w:left w:val="single" w:sz="4" w:space="0" w:color="auto"/>
            </w:tcBorders>
          </w:tcPr>
          <w:p w14:paraId="7DCFB7EE" w14:textId="77777777" w:rsidR="004B6F12" w:rsidRPr="004B6F12" w:rsidRDefault="004B6F12" w:rsidP="00CE7461">
            <w:pPr>
              <w:spacing w:before="0" w:after="0"/>
              <w:jc w:val="left"/>
              <w:rPr>
                <w:rFonts w:eastAsia="Times New Roman"/>
                <w:b/>
                <w:lang w:eastAsia="de-DE"/>
              </w:rPr>
            </w:pPr>
            <w:r w:rsidRPr="004B6F12">
              <w:rPr>
                <w:rFonts w:eastAsia="Times New Roman"/>
                <w:b/>
                <w:lang w:eastAsia="de-DE"/>
              </w:rPr>
              <w:t>Kupfer</w:t>
            </w:r>
          </w:p>
        </w:tc>
        <w:tc>
          <w:tcPr>
            <w:tcW w:w="905" w:type="dxa"/>
          </w:tcPr>
          <w:p w14:paraId="24D00F1D" w14:textId="77777777" w:rsidR="004B6F12" w:rsidRPr="004B6F12" w:rsidRDefault="004B6F12" w:rsidP="00CE7461">
            <w:pPr>
              <w:spacing w:before="0" w:after="0"/>
              <w:jc w:val="left"/>
              <w:rPr>
                <w:rFonts w:eastAsia="Times New Roman"/>
                <w:lang w:eastAsia="de-DE"/>
              </w:rPr>
            </w:pPr>
            <w:r w:rsidRPr="004B6F12">
              <w:rPr>
                <w:rFonts w:eastAsia="Times New Roman"/>
                <w:lang w:eastAsia="de-DE"/>
              </w:rPr>
              <w:t>µg/l</w:t>
            </w:r>
          </w:p>
        </w:tc>
        <w:tc>
          <w:tcPr>
            <w:tcW w:w="800" w:type="dxa"/>
            <w:tcBorders>
              <w:right w:val="single" w:sz="4" w:space="0" w:color="auto"/>
            </w:tcBorders>
            <w:vAlign w:val="center"/>
          </w:tcPr>
          <w:p w14:paraId="5CE08381" w14:textId="77777777" w:rsidR="004B6F12" w:rsidRPr="004B6F12" w:rsidRDefault="004B6F12" w:rsidP="00CE7461">
            <w:pPr>
              <w:spacing w:before="40" w:after="0"/>
              <w:jc w:val="center"/>
              <w:rPr>
                <w:rFonts w:eastAsia="Times New Roman"/>
                <w:lang w:eastAsia="de-DE"/>
              </w:rPr>
            </w:pPr>
            <w:r w:rsidRPr="004B6F12">
              <w:rPr>
                <w:rFonts w:eastAsia="Times New Roman"/>
                <w:lang w:eastAsia="de-DE"/>
              </w:rPr>
              <w:t>110</w:t>
            </w:r>
          </w:p>
        </w:tc>
        <w:tc>
          <w:tcPr>
            <w:tcW w:w="800" w:type="dxa"/>
            <w:tcBorders>
              <w:right w:val="single" w:sz="4" w:space="0" w:color="auto"/>
            </w:tcBorders>
            <w:vAlign w:val="center"/>
          </w:tcPr>
          <w:p w14:paraId="2C21E001" w14:textId="77777777" w:rsidR="004B6F12" w:rsidRPr="004B6F12" w:rsidRDefault="004B6F12" w:rsidP="00CE7461">
            <w:pPr>
              <w:spacing w:before="40" w:after="0"/>
              <w:jc w:val="center"/>
              <w:rPr>
                <w:rFonts w:eastAsia="Times New Roman"/>
                <w:strike/>
                <w:lang w:eastAsia="de-DE"/>
              </w:rPr>
            </w:pPr>
            <w:r w:rsidRPr="004B6F12">
              <w:rPr>
                <w:rFonts w:eastAsia="Times New Roman"/>
                <w:lang w:eastAsia="de-DE"/>
              </w:rPr>
              <w:t>250</w:t>
            </w:r>
          </w:p>
        </w:tc>
        <w:tc>
          <w:tcPr>
            <w:tcW w:w="920" w:type="dxa"/>
            <w:tcBorders>
              <w:right w:val="single" w:sz="4" w:space="0" w:color="auto"/>
            </w:tcBorders>
            <w:vAlign w:val="center"/>
          </w:tcPr>
          <w:p w14:paraId="2A9B4EAC" w14:textId="77777777" w:rsidR="004B6F12" w:rsidRPr="004B6F12" w:rsidRDefault="004B6F12" w:rsidP="00CE7461">
            <w:pPr>
              <w:spacing w:before="40" w:after="0"/>
              <w:ind w:left="-151"/>
              <w:jc w:val="center"/>
              <w:rPr>
                <w:rFonts w:eastAsia="Times New Roman"/>
                <w:strike/>
                <w:lang w:eastAsia="de-DE"/>
              </w:rPr>
            </w:pPr>
            <w:r w:rsidRPr="004B6F12">
              <w:rPr>
                <w:rFonts w:eastAsia="Times New Roman"/>
                <w:lang w:eastAsia="de-DE"/>
              </w:rPr>
              <w:t>500</w:t>
            </w:r>
          </w:p>
        </w:tc>
        <w:tc>
          <w:tcPr>
            <w:tcW w:w="950" w:type="dxa"/>
            <w:vAlign w:val="center"/>
          </w:tcPr>
          <w:p w14:paraId="2325DAD4" w14:textId="77777777" w:rsidR="004B6F12" w:rsidRPr="004B6F12" w:rsidRDefault="004B6F12" w:rsidP="00CE7461">
            <w:pPr>
              <w:spacing w:before="0" w:after="0"/>
              <w:jc w:val="center"/>
              <w:rPr>
                <w:rFonts w:eastAsia="Times New Roman"/>
                <w:lang w:eastAsia="de-DE"/>
              </w:rPr>
            </w:pPr>
          </w:p>
        </w:tc>
        <w:tc>
          <w:tcPr>
            <w:tcW w:w="950" w:type="dxa"/>
            <w:shd w:val="clear" w:color="auto" w:fill="auto"/>
            <w:vAlign w:val="center"/>
          </w:tcPr>
          <w:p w14:paraId="7E48AF49" w14:textId="77777777" w:rsidR="004B6F12" w:rsidRPr="004B6F12" w:rsidRDefault="004B6F12" w:rsidP="00CE7461">
            <w:pPr>
              <w:spacing w:before="0" w:after="0"/>
              <w:jc w:val="center"/>
              <w:rPr>
                <w:rFonts w:eastAsia="Times New Roman"/>
                <w:lang w:eastAsia="de-DE"/>
              </w:rPr>
            </w:pPr>
          </w:p>
        </w:tc>
        <w:tc>
          <w:tcPr>
            <w:tcW w:w="800" w:type="dxa"/>
            <w:vAlign w:val="center"/>
          </w:tcPr>
          <w:p w14:paraId="45796D2B" w14:textId="77777777" w:rsidR="004B6F12" w:rsidRPr="004B6F12" w:rsidRDefault="004B6F12" w:rsidP="00CE7461">
            <w:pPr>
              <w:spacing w:before="0" w:after="0"/>
              <w:jc w:val="center"/>
              <w:rPr>
                <w:rFonts w:eastAsia="Times New Roman"/>
                <w:lang w:eastAsia="de-DE"/>
              </w:rPr>
            </w:pPr>
          </w:p>
        </w:tc>
        <w:tc>
          <w:tcPr>
            <w:tcW w:w="965" w:type="dxa"/>
            <w:vAlign w:val="center"/>
          </w:tcPr>
          <w:p w14:paraId="5E5DE8F4" w14:textId="77777777" w:rsidR="004B6F12" w:rsidRPr="004B6F12" w:rsidRDefault="004B6F12" w:rsidP="00CE7461">
            <w:pPr>
              <w:spacing w:before="0" w:after="0"/>
              <w:jc w:val="center"/>
              <w:rPr>
                <w:rFonts w:eastAsia="Times New Roman"/>
                <w:lang w:eastAsia="de-DE"/>
              </w:rPr>
            </w:pPr>
          </w:p>
        </w:tc>
        <w:tc>
          <w:tcPr>
            <w:tcW w:w="965" w:type="dxa"/>
            <w:vAlign w:val="center"/>
          </w:tcPr>
          <w:p w14:paraId="53BECCC7" w14:textId="77777777" w:rsidR="004B6F12" w:rsidRPr="004B6F12" w:rsidRDefault="004B6F12" w:rsidP="00CE7461">
            <w:pPr>
              <w:spacing w:before="0" w:after="0"/>
              <w:jc w:val="center"/>
              <w:rPr>
                <w:rFonts w:eastAsia="Times New Roman"/>
                <w:lang w:eastAsia="de-DE"/>
              </w:rPr>
            </w:pPr>
          </w:p>
        </w:tc>
        <w:tc>
          <w:tcPr>
            <w:tcW w:w="935" w:type="dxa"/>
            <w:vAlign w:val="center"/>
          </w:tcPr>
          <w:p w14:paraId="59C2DCF6" w14:textId="77777777" w:rsidR="004B6F12" w:rsidRPr="004B6F12" w:rsidRDefault="004B6F12" w:rsidP="00CE7461">
            <w:pPr>
              <w:spacing w:before="40" w:after="0"/>
              <w:jc w:val="center"/>
              <w:rPr>
                <w:rFonts w:eastAsia="Times New Roman"/>
                <w:lang w:eastAsia="de-DE"/>
              </w:rPr>
            </w:pPr>
          </w:p>
        </w:tc>
      </w:tr>
      <w:tr w:rsidR="004B6F12" w:rsidRPr="004B6F12" w14:paraId="0C5DE87E" w14:textId="77777777" w:rsidTr="00CE7461">
        <w:trPr>
          <w:cantSplit/>
          <w:trHeight w:hRule="exact" w:val="348"/>
        </w:trPr>
        <w:tc>
          <w:tcPr>
            <w:tcW w:w="3397" w:type="dxa"/>
            <w:tcBorders>
              <w:left w:val="single" w:sz="4" w:space="0" w:color="auto"/>
            </w:tcBorders>
          </w:tcPr>
          <w:p w14:paraId="5959C72C" w14:textId="77777777" w:rsidR="004B6F12" w:rsidRPr="004B6F12" w:rsidRDefault="004B6F12" w:rsidP="00CE7461">
            <w:pPr>
              <w:spacing w:before="0" w:after="0"/>
              <w:jc w:val="left"/>
              <w:rPr>
                <w:rFonts w:eastAsia="Times New Roman"/>
                <w:b/>
                <w:lang w:eastAsia="de-DE"/>
              </w:rPr>
            </w:pPr>
            <w:r w:rsidRPr="004B6F12">
              <w:rPr>
                <w:rFonts w:eastAsia="Times New Roman"/>
                <w:b/>
                <w:lang w:eastAsia="de-DE"/>
              </w:rPr>
              <w:t>Molybdän</w:t>
            </w:r>
          </w:p>
        </w:tc>
        <w:tc>
          <w:tcPr>
            <w:tcW w:w="905" w:type="dxa"/>
          </w:tcPr>
          <w:p w14:paraId="643ACCA2" w14:textId="77777777" w:rsidR="004B6F12" w:rsidRPr="004B6F12" w:rsidRDefault="004B6F12" w:rsidP="00CE7461">
            <w:pPr>
              <w:spacing w:before="0" w:after="0"/>
              <w:jc w:val="left"/>
              <w:rPr>
                <w:rFonts w:eastAsia="Times New Roman"/>
                <w:lang w:eastAsia="de-DE"/>
              </w:rPr>
            </w:pPr>
            <w:r w:rsidRPr="004B6F12">
              <w:rPr>
                <w:rFonts w:eastAsia="Times New Roman"/>
                <w:lang w:eastAsia="de-DE"/>
              </w:rPr>
              <w:t>µg/l</w:t>
            </w:r>
          </w:p>
        </w:tc>
        <w:tc>
          <w:tcPr>
            <w:tcW w:w="800" w:type="dxa"/>
            <w:tcBorders>
              <w:right w:val="single" w:sz="4" w:space="0" w:color="auto"/>
            </w:tcBorders>
            <w:vAlign w:val="center"/>
          </w:tcPr>
          <w:p w14:paraId="3EC94109" w14:textId="77777777" w:rsidR="004B6F12" w:rsidRPr="004B6F12" w:rsidRDefault="004B6F12" w:rsidP="00CE7461">
            <w:pPr>
              <w:spacing w:before="40" w:after="0"/>
              <w:jc w:val="center"/>
              <w:rPr>
                <w:rFonts w:eastAsia="Times New Roman"/>
                <w:lang w:eastAsia="de-DE"/>
              </w:rPr>
            </w:pPr>
          </w:p>
        </w:tc>
        <w:tc>
          <w:tcPr>
            <w:tcW w:w="800" w:type="dxa"/>
            <w:tcBorders>
              <w:right w:val="single" w:sz="4" w:space="0" w:color="auto"/>
            </w:tcBorders>
            <w:vAlign w:val="center"/>
          </w:tcPr>
          <w:p w14:paraId="49D0DC79" w14:textId="77777777" w:rsidR="004B6F12" w:rsidRPr="004B6F12" w:rsidRDefault="004B6F12" w:rsidP="00CE7461">
            <w:pPr>
              <w:spacing w:before="40" w:after="0"/>
              <w:jc w:val="center"/>
              <w:rPr>
                <w:rFonts w:eastAsia="Times New Roman"/>
                <w:lang w:eastAsia="de-DE"/>
              </w:rPr>
            </w:pPr>
          </w:p>
        </w:tc>
        <w:tc>
          <w:tcPr>
            <w:tcW w:w="920" w:type="dxa"/>
            <w:tcBorders>
              <w:right w:val="single" w:sz="4" w:space="0" w:color="auto"/>
            </w:tcBorders>
            <w:vAlign w:val="center"/>
          </w:tcPr>
          <w:p w14:paraId="6CA6DE81" w14:textId="77777777" w:rsidR="004B6F12" w:rsidRPr="004B6F12" w:rsidRDefault="004B6F12" w:rsidP="00CE7461">
            <w:pPr>
              <w:spacing w:before="40" w:after="0"/>
              <w:ind w:left="-151"/>
              <w:jc w:val="center"/>
              <w:rPr>
                <w:rFonts w:eastAsia="Times New Roman"/>
                <w:lang w:eastAsia="de-DE"/>
              </w:rPr>
            </w:pPr>
          </w:p>
        </w:tc>
        <w:tc>
          <w:tcPr>
            <w:tcW w:w="950" w:type="dxa"/>
            <w:vAlign w:val="center"/>
          </w:tcPr>
          <w:p w14:paraId="58B2DED1" w14:textId="77777777" w:rsidR="004B6F12" w:rsidRPr="004B6F12" w:rsidRDefault="004B6F12" w:rsidP="00CE7461">
            <w:pPr>
              <w:spacing w:before="0" w:after="0"/>
              <w:jc w:val="center"/>
              <w:rPr>
                <w:rFonts w:eastAsia="Times New Roman"/>
                <w:lang w:eastAsia="de-DE"/>
              </w:rPr>
            </w:pPr>
          </w:p>
        </w:tc>
        <w:tc>
          <w:tcPr>
            <w:tcW w:w="950" w:type="dxa"/>
            <w:shd w:val="clear" w:color="auto" w:fill="auto"/>
            <w:vAlign w:val="center"/>
          </w:tcPr>
          <w:p w14:paraId="611ADDC0" w14:textId="77777777" w:rsidR="004B6F12" w:rsidRPr="004B6F12" w:rsidRDefault="004B6F12" w:rsidP="00CE7461">
            <w:pPr>
              <w:spacing w:before="0" w:after="0"/>
              <w:jc w:val="center"/>
              <w:rPr>
                <w:rFonts w:eastAsia="Times New Roman"/>
                <w:lang w:eastAsia="de-DE"/>
              </w:rPr>
            </w:pPr>
          </w:p>
        </w:tc>
        <w:tc>
          <w:tcPr>
            <w:tcW w:w="800" w:type="dxa"/>
            <w:vAlign w:val="center"/>
          </w:tcPr>
          <w:p w14:paraId="5EBA092E" w14:textId="77777777" w:rsidR="004B6F12" w:rsidRPr="004B6F12" w:rsidRDefault="004B6F12" w:rsidP="00CE7461">
            <w:pPr>
              <w:spacing w:before="0" w:after="0"/>
              <w:jc w:val="center"/>
              <w:rPr>
                <w:rFonts w:eastAsia="Times New Roman"/>
                <w:lang w:eastAsia="de-DE"/>
              </w:rPr>
            </w:pPr>
          </w:p>
        </w:tc>
        <w:tc>
          <w:tcPr>
            <w:tcW w:w="965" w:type="dxa"/>
            <w:vAlign w:val="center"/>
          </w:tcPr>
          <w:p w14:paraId="21FF2246"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55</w:t>
            </w:r>
          </w:p>
        </w:tc>
        <w:tc>
          <w:tcPr>
            <w:tcW w:w="965" w:type="dxa"/>
            <w:vAlign w:val="center"/>
          </w:tcPr>
          <w:p w14:paraId="53D294DF"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400</w:t>
            </w:r>
          </w:p>
        </w:tc>
        <w:tc>
          <w:tcPr>
            <w:tcW w:w="935" w:type="dxa"/>
            <w:vAlign w:val="center"/>
          </w:tcPr>
          <w:p w14:paraId="50A606C1" w14:textId="77777777" w:rsidR="004B6F12" w:rsidRPr="004B6F12" w:rsidRDefault="004B6F12" w:rsidP="00CE7461">
            <w:pPr>
              <w:spacing w:before="40" w:after="0"/>
              <w:jc w:val="center"/>
              <w:rPr>
                <w:rFonts w:eastAsia="Times New Roman"/>
                <w:lang w:eastAsia="de-DE"/>
              </w:rPr>
            </w:pPr>
          </w:p>
        </w:tc>
      </w:tr>
      <w:tr w:rsidR="004B6F12" w:rsidRPr="004B6F12" w14:paraId="08D36B0B" w14:textId="77777777" w:rsidTr="00CE7461">
        <w:trPr>
          <w:cantSplit/>
          <w:trHeight w:hRule="exact" w:val="302"/>
        </w:trPr>
        <w:tc>
          <w:tcPr>
            <w:tcW w:w="3397" w:type="dxa"/>
            <w:tcBorders>
              <w:left w:val="single" w:sz="4" w:space="0" w:color="auto"/>
            </w:tcBorders>
          </w:tcPr>
          <w:p w14:paraId="09ACDD1A" w14:textId="77777777" w:rsidR="004B6F12" w:rsidRPr="004B6F12" w:rsidRDefault="004B6F12" w:rsidP="00CE7461">
            <w:pPr>
              <w:spacing w:before="0" w:after="0"/>
              <w:jc w:val="left"/>
              <w:rPr>
                <w:rFonts w:eastAsia="Times New Roman"/>
                <w:b/>
                <w:lang w:eastAsia="de-DE"/>
              </w:rPr>
            </w:pPr>
            <w:r w:rsidRPr="004B6F12">
              <w:rPr>
                <w:rFonts w:eastAsia="Times New Roman"/>
                <w:b/>
                <w:lang w:eastAsia="de-DE"/>
              </w:rPr>
              <w:t>Nickel</w:t>
            </w:r>
          </w:p>
        </w:tc>
        <w:tc>
          <w:tcPr>
            <w:tcW w:w="905" w:type="dxa"/>
          </w:tcPr>
          <w:p w14:paraId="47AAF22E" w14:textId="77777777" w:rsidR="004B6F12" w:rsidRPr="004B6F12" w:rsidRDefault="004B6F12" w:rsidP="00CE7461">
            <w:pPr>
              <w:spacing w:before="0" w:after="0"/>
              <w:jc w:val="left"/>
              <w:rPr>
                <w:rFonts w:eastAsia="Times New Roman"/>
                <w:lang w:eastAsia="de-DE"/>
              </w:rPr>
            </w:pPr>
            <w:r w:rsidRPr="004B6F12">
              <w:rPr>
                <w:rFonts w:eastAsia="Times New Roman"/>
                <w:lang w:eastAsia="de-DE"/>
              </w:rPr>
              <w:t>µg/l</w:t>
            </w:r>
          </w:p>
        </w:tc>
        <w:tc>
          <w:tcPr>
            <w:tcW w:w="800" w:type="dxa"/>
            <w:tcBorders>
              <w:right w:val="single" w:sz="4" w:space="0" w:color="auto"/>
            </w:tcBorders>
            <w:vAlign w:val="center"/>
          </w:tcPr>
          <w:p w14:paraId="0419B059" w14:textId="77777777" w:rsidR="004B6F12" w:rsidRPr="004B6F12" w:rsidRDefault="004B6F12" w:rsidP="00CE7461">
            <w:pPr>
              <w:spacing w:before="40" w:after="0"/>
              <w:jc w:val="center"/>
              <w:rPr>
                <w:rFonts w:eastAsia="Times New Roman"/>
                <w:lang w:eastAsia="de-DE"/>
              </w:rPr>
            </w:pPr>
          </w:p>
        </w:tc>
        <w:tc>
          <w:tcPr>
            <w:tcW w:w="800" w:type="dxa"/>
            <w:tcBorders>
              <w:right w:val="single" w:sz="4" w:space="0" w:color="auto"/>
            </w:tcBorders>
            <w:vAlign w:val="center"/>
          </w:tcPr>
          <w:p w14:paraId="688EED71" w14:textId="77777777" w:rsidR="004B6F12" w:rsidRPr="004B6F12" w:rsidRDefault="004B6F12" w:rsidP="00CE7461">
            <w:pPr>
              <w:spacing w:before="40" w:after="0"/>
              <w:jc w:val="center"/>
              <w:rPr>
                <w:rFonts w:eastAsia="Times New Roman"/>
                <w:lang w:eastAsia="de-DE"/>
              </w:rPr>
            </w:pPr>
          </w:p>
        </w:tc>
        <w:tc>
          <w:tcPr>
            <w:tcW w:w="920" w:type="dxa"/>
            <w:tcBorders>
              <w:right w:val="single" w:sz="4" w:space="0" w:color="auto"/>
            </w:tcBorders>
            <w:vAlign w:val="center"/>
          </w:tcPr>
          <w:p w14:paraId="4E380136" w14:textId="77777777" w:rsidR="004B6F12" w:rsidRPr="004B6F12" w:rsidRDefault="004B6F12" w:rsidP="00CE7461">
            <w:pPr>
              <w:spacing w:before="40" w:after="0"/>
              <w:ind w:left="-151"/>
              <w:jc w:val="center"/>
              <w:rPr>
                <w:rFonts w:eastAsia="Times New Roman"/>
                <w:lang w:eastAsia="de-DE"/>
              </w:rPr>
            </w:pPr>
          </w:p>
        </w:tc>
        <w:tc>
          <w:tcPr>
            <w:tcW w:w="950" w:type="dxa"/>
            <w:vAlign w:val="center"/>
          </w:tcPr>
          <w:p w14:paraId="55934371" w14:textId="77777777" w:rsidR="004B6F12" w:rsidRPr="004B6F12" w:rsidRDefault="004B6F12" w:rsidP="00CE7461">
            <w:pPr>
              <w:spacing w:before="0" w:after="0"/>
              <w:jc w:val="center"/>
              <w:rPr>
                <w:rFonts w:eastAsia="Times New Roman"/>
                <w:lang w:eastAsia="de-DE"/>
              </w:rPr>
            </w:pPr>
          </w:p>
        </w:tc>
        <w:tc>
          <w:tcPr>
            <w:tcW w:w="950" w:type="dxa"/>
            <w:shd w:val="clear" w:color="auto" w:fill="auto"/>
            <w:vAlign w:val="center"/>
          </w:tcPr>
          <w:p w14:paraId="0D8F2331" w14:textId="77777777" w:rsidR="004B6F12" w:rsidRPr="004B6F12" w:rsidRDefault="004B6F12" w:rsidP="00CE7461">
            <w:pPr>
              <w:spacing w:before="0" w:after="0"/>
              <w:jc w:val="center"/>
              <w:rPr>
                <w:rFonts w:eastAsia="Times New Roman"/>
                <w:lang w:eastAsia="de-DE"/>
              </w:rPr>
            </w:pPr>
          </w:p>
        </w:tc>
        <w:tc>
          <w:tcPr>
            <w:tcW w:w="800" w:type="dxa"/>
            <w:vAlign w:val="center"/>
          </w:tcPr>
          <w:p w14:paraId="4745B9CF" w14:textId="77777777" w:rsidR="004B6F12" w:rsidRPr="004B6F12" w:rsidRDefault="004B6F12" w:rsidP="00CE7461">
            <w:pPr>
              <w:spacing w:before="0" w:after="0"/>
              <w:jc w:val="center"/>
              <w:rPr>
                <w:rFonts w:eastAsia="Times New Roman"/>
                <w:lang w:eastAsia="de-DE"/>
              </w:rPr>
            </w:pPr>
          </w:p>
        </w:tc>
        <w:tc>
          <w:tcPr>
            <w:tcW w:w="965" w:type="dxa"/>
            <w:vAlign w:val="center"/>
          </w:tcPr>
          <w:p w14:paraId="58F61E14" w14:textId="77777777" w:rsidR="004B6F12" w:rsidRPr="004B6F12" w:rsidRDefault="004B6F12" w:rsidP="00CE7461">
            <w:pPr>
              <w:spacing w:before="0" w:after="0"/>
              <w:jc w:val="center"/>
              <w:rPr>
                <w:rFonts w:eastAsia="Times New Roman"/>
                <w:lang w:eastAsia="de-DE"/>
              </w:rPr>
            </w:pPr>
          </w:p>
        </w:tc>
        <w:tc>
          <w:tcPr>
            <w:tcW w:w="965" w:type="dxa"/>
            <w:vAlign w:val="center"/>
          </w:tcPr>
          <w:p w14:paraId="74ECC3F9" w14:textId="77777777" w:rsidR="004B6F12" w:rsidRPr="004B6F12" w:rsidRDefault="004B6F12" w:rsidP="00CE7461">
            <w:pPr>
              <w:spacing w:before="0" w:after="0"/>
              <w:jc w:val="center"/>
              <w:rPr>
                <w:rFonts w:eastAsia="Times New Roman"/>
                <w:lang w:eastAsia="de-DE"/>
              </w:rPr>
            </w:pPr>
          </w:p>
        </w:tc>
        <w:tc>
          <w:tcPr>
            <w:tcW w:w="935" w:type="dxa"/>
            <w:vAlign w:val="center"/>
          </w:tcPr>
          <w:p w14:paraId="3A271813" w14:textId="77777777" w:rsidR="004B6F12" w:rsidRPr="004B6F12" w:rsidRDefault="004B6F12" w:rsidP="00CE7461">
            <w:pPr>
              <w:spacing w:before="40" w:after="0"/>
              <w:jc w:val="center"/>
              <w:rPr>
                <w:rFonts w:eastAsia="Times New Roman"/>
                <w:lang w:eastAsia="de-DE"/>
              </w:rPr>
            </w:pPr>
            <w:r w:rsidRPr="004B6F12">
              <w:rPr>
                <w:rFonts w:eastAsia="Times New Roman"/>
                <w:lang w:eastAsia="de-DE"/>
              </w:rPr>
              <w:t>30</w:t>
            </w:r>
          </w:p>
        </w:tc>
      </w:tr>
      <w:tr w:rsidR="004B6F12" w:rsidRPr="004B6F12" w14:paraId="4C64B248" w14:textId="77777777" w:rsidTr="00CE7461">
        <w:trPr>
          <w:cantSplit/>
          <w:trHeight w:hRule="exact" w:val="411"/>
        </w:trPr>
        <w:tc>
          <w:tcPr>
            <w:tcW w:w="3397" w:type="dxa"/>
            <w:tcBorders>
              <w:left w:val="single" w:sz="4" w:space="0" w:color="auto"/>
              <w:bottom w:val="single" w:sz="4" w:space="0" w:color="auto"/>
            </w:tcBorders>
          </w:tcPr>
          <w:p w14:paraId="31BE4C2E" w14:textId="77777777" w:rsidR="004B6F12" w:rsidRPr="004B6F12" w:rsidRDefault="004B6F12" w:rsidP="00CE7461">
            <w:pPr>
              <w:spacing w:before="0" w:after="0"/>
              <w:jc w:val="left"/>
              <w:rPr>
                <w:rFonts w:eastAsia="Times New Roman"/>
                <w:b/>
                <w:lang w:eastAsia="de-DE"/>
              </w:rPr>
            </w:pPr>
            <w:r w:rsidRPr="004B6F12">
              <w:rPr>
                <w:rFonts w:eastAsia="Times New Roman"/>
                <w:b/>
                <w:lang w:eastAsia="de-DE"/>
              </w:rPr>
              <w:t>Vanadium</w:t>
            </w:r>
          </w:p>
        </w:tc>
        <w:tc>
          <w:tcPr>
            <w:tcW w:w="905" w:type="dxa"/>
            <w:tcBorders>
              <w:bottom w:val="single" w:sz="4" w:space="0" w:color="auto"/>
            </w:tcBorders>
          </w:tcPr>
          <w:p w14:paraId="6C7D499D" w14:textId="77777777" w:rsidR="004B6F12" w:rsidRPr="004B6F12" w:rsidRDefault="004B6F12" w:rsidP="00CE7461">
            <w:pPr>
              <w:spacing w:before="0" w:after="0"/>
              <w:jc w:val="left"/>
              <w:rPr>
                <w:rFonts w:eastAsia="Times New Roman"/>
                <w:lang w:eastAsia="de-DE"/>
              </w:rPr>
            </w:pPr>
            <w:r w:rsidRPr="004B6F12">
              <w:rPr>
                <w:rFonts w:eastAsia="Times New Roman"/>
                <w:lang w:eastAsia="de-DE"/>
              </w:rPr>
              <w:t>µg/l</w:t>
            </w:r>
          </w:p>
        </w:tc>
        <w:tc>
          <w:tcPr>
            <w:tcW w:w="800" w:type="dxa"/>
            <w:tcBorders>
              <w:bottom w:val="single" w:sz="4" w:space="0" w:color="auto"/>
              <w:right w:val="single" w:sz="4" w:space="0" w:color="auto"/>
            </w:tcBorders>
            <w:vAlign w:val="center"/>
          </w:tcPr>
          <w:p w14:paraId="1D7E0220" w14:textId="77777777" w:rsidR="004B6F12" w:rsidRPr="004B6F12" w:rsidRDefault="004B6F12" w:rsidP="00CE7461">
            <w:pPr>
              <w:spacing w:before="40" w:after="0"/>
              <w:jc w:val="center"/>
              <w:rPr>
                <w:rFonts w:eastAsia="Times New Roman"/>
                <w:strike/>
                <w:lang w:eastAsia="de-DE"/>
              </w:rPr>
            </w:pPr>
            <w:r w:rsidRPr="004B6F12">
              <w:rPr>
                <w:rFonts w:eastAsia="Times New Roman"/>
                <w:lang w:eastAsia="de-DE"/>
              </w:rPr>
              <w:t>120</w:t>
            </w:r>
          </w:p>
        </w:tc>
        <w:tc>
          <w:tcPr>
            <w:tcW w:w="800" w:type="dxa"/>
            <w:tcBorders>
              <w:bottom w:val="single" w:sz="4" w:space="0" w:color="auto"/>
              <w:right w:val="single" w:sz="4" w:space="0" w:color="auto"/>
            </w:tcBorders>
            <w:vAlign w:val="center"/>
          </w:tcPr>
          <w:p w14:paraId="0624434B" w14:textId="77777777" w:rsidR="004B6F12" w:rsidRPr="004B6F12" w:rsidRDefault="004B6F12" w:rsidP="00CE7461">
            <w:pPr>
              <w:spacing w:before="40" w:after="0"/>
              <w:jc w:val="center"/>
              <w:rPr>
                <w:rFonts w:eastAsia="Times New Roman"/>
                <w:strike/>
                <w:lang w:eastAsia="de-DE"/>
              </w:rPr>
            </w:pPr>
            <w:r w:rsidRPr="004B6F12">
              <w:rPr>
                <w:rFonts w:eastAsia="Times New Roman"/>
                <w:lang w:eastAsia="de-DE"/>
              </w:rPr>
              <w:t>700</w:t>
            </w:r>
          </w:p>
        </w:tc>
        <w:tc>
          <w:tcPr>
            <w:tcW w:w="920" w:type="dxa"/>
            <w:tcBorders>
              <w:bottom w:val="single" w:sz="4" w:space="0" w:color="auto"/>
              <w:right w:val="single" w:sz="4" w:space="0" w:color="auto"/>
            </w:tcBorders>
            <w:vAlign w:val="center"/>
          </w:tcPr>
          <w:p w14:paraId="38365A88" w14:textId="77777777" w:rsidR="004B6F12" w:rsidRPr="004B6F12" w:rsidRDefault="004B6F12" w:rsidP="00CE7461">
            <w:pPr>
              <w:spacing w:before="40" w:after="0"/>
              <w:ind w:left="-151"/>
              <w:jc w:val="center"/>
              <w:rPr>
                <w:rFonts w:eastAsia="Times New Roman"/>
                <w:strike/>
                <w:lang w:eastAsia="de-DE"/>
              </w:rPr>
            </w:pPr>
            <w:r w:rsidRPr="004B6F12">
              <w:rPr>
                <w:rFonts w:eastAsia="Times New Roman"/>
                <w:lang w:eastAsia="de-DE"/>
              </w:rPr>
              <w:t>1 350</w:t>
            </w:r>
          </w:p>
        </w:tc>
        <w:tc>
          <w:tcPr>
            <w:tcW w:w="950" w:type="dxa"/>
            <w:tcBorders>
              <w:bottom w:val="single" w:sz="4" w:space="0" w:color="auto"/>
            </w:tcBorders>
            <w:vAlign w:val="center"/>
          </w:tcPr>
          <w:p w14:paraId="183BD56C" w14:textId="77777777" w:rsidR="004B6F12" w:rsidRPr="004B6F12" w:rsidRDefault="004B6F12" w:rsidP="00CE7461">
            <w:pPr>
              <w:spacing w:before="0" w:after="0"/>
              <w:jc w:val="center"/>
              <w:rPr>
                <w:rFonts w:eastAsia="Times New Roman"/>
                <w:lang w:eastAsia="de-DE"/>
              </w:rPr>
            </w:pPr>
          </w:p>
        </w:tc>
        <w:tc>
          <w:tcPr>
            <w:tcW w:w="950" w:type="dxa"/>
            <w:tcBorders>
              <w:bottom w:val="single" w:sz="4" w:space="0" w:color="auto"/>
            </w:tcBorders>
            <w:shd w:val="clear" w:color="auto" w:fill="auto"/>
            <w:vAlign w:val="center"/>
          </w:tcPr>
          <w:p w14:paraId="4A7744AF" w14:textId="77777777" w:rsidR="004B6F12" w:rsidRPr="004B6F12" w:rsidRDefault="004B6F12" w:rsidP="00CE7461">
            <w:pPr>
              <w:spacing w:before="0" w:after="0"/>
              <w:jc w:val="center"/>
              <w:rPr>
                <w:rFonts w:eastAsia="Times New Roman"/>
                <w:lang w:eastAsia="de-DE"/>
              </w:rPr>
            </w:pPr>
          </w:p>
        </w:tc>
        <w:tc>
          <w:tcPr>
            <w:tcW w:w="800" w:type="dxa"/>
            <w:tcBorders>
              <w:bottom w:val="single" w:sz="4" w:space="0" w:color="auto"/>
            </w:tcBorders>
            <w:vAlign w:val="center"/>
          </w:tcPr>
          <w:p w14:paraId="5C92CD1B"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55</w:t>
            </w:r>
          </w:p>
        </w:tc>
        <w:tc>
          <w:tcPr>
            <w:tcW w:w="965" w:type="dxa"/>
            <w:tcBorders>
              <w:bottom w:val="single" w:sz="4" w:space="0" w:color="auto"/>
            </w:tcBorders>
            <w:vAlign w:val="center"/>
          </w:tcPr>
          <w:p w14:paraId="06D3755B"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180</w:t>
            </w:r>
          </w:p>
        </w:tc>
        <w:tc>
          <w:tcPr>
            <w:tcW w:w="965" w:type="dxa"/>
            <w:tcBorders>
              <w:bottom w:val="single" w:sz="4" w:space="0" w:color="auto"/>
            </w:tcBorders>
            <w:vAlign w:val="center"/>
          </w:tcPr>
          <w:p w14:paraId="7949D0CA" w14:textId="77777777" w:rsidR="004B6F12" w:rsidRPr="004B6F12" w:rsidRDefault="004B6F12" w:rsidP="00CE7461">
            <w:pPr>
              <w:spacing w:before="0" w:after="0"/>
              <w:jc w:val="center"/>
              <w:rPr>
                <w:rFonts w:eastAsia="Times New Roman"/>
                <w:lang w:eastAsia="de-DE"/>
              </w:rPr>
            </w:pPr>
            <w:r w:rsidRPr="004B6F12">
              <w:rPr>
                <w:rFonts w:eastAsia="Times New Roman"/>
                <w:lang w:eastAsia="de-DE"/>
              </w:rPr>
              <w:t>450</w:t>
            </w:r>
          </w:p>
        </w:tc>
        <w:tc>
          <w:tcPr>
            <w:tcW w:w="935" w:type="dxa"/>
            <w:tcBorders>
              <w:bottom w:val="single" w:sz="4" w:space="0" w:color="auto"/>
            </w:tcBorders>
            <w:vAlign w:val="center"/>
          </w:tcPr>
          <w:p w14:paraId="1FDBC015" w14:textId="77777777" w:rsidR="004B6F12" w:rsidRPr="004B6F12" w:rsidRDefault="004B6F12" w:rsidP="00CE7461">
            <w:pPr>
              <w:spacing w:before="40" w:after="0"/>
              <w:jc w:val="center"/>
              <w:rPr>
                <w:rFonts w:eastAsia="Times New Roman"/>
                <w:lang w:eastAsia="de-DE"/>
              </w:rPr>
            </w:pPr>
            <w:r w:rsidRPr="004B6F12">
              <w:rPr>
                <w:rFonts w:eastAsia="Times New Roman"/>
                <w:lang w:eastAsia="de-DE"/>
              </w:rPr>
              <w:t>55</w:t>
            </w:r>
          </w:p>
        </w:tc>
      </w:tr>
      <w:tr w:rsidR="004B6F12" w:rsidRPr="004B6F12" w14:paraId="2AB84BB4" w14:textId="77777777" w:rsidTr="00CE7461">
        <w:trPr>
          <w:cantSplit/>
          <w:trHeight w:hRule="exact" w:val="416"/>
        </w:trPr>
        <w:tc>
          <w:tcPr>
            <w:tcW w:w="3397" w:type="dxa"/>
            <w:tcBorders>
              <w:top w:val="single" w:sz="4" w:space="0" w:color="auto"/>
              <w:left w:val="single" w:sz="4" w:space="0" w:color="auto"/>
              <w:bottom w:val="single" w:sz="4" w:space="0" w:color="auto"/>
            </w:tcBorders>
          </w:tcPr>
          <w:p w14:paraId="4E184707" w14:textId="77777777" w:rsidR="004B6F12" w:rsidRPr="004B6F12" w:rsidRDefault="004B6F12" w:rsidP="00CE7461">
            <w:pPr>
              <w:spacing w:before="0" w:after="0"/>
              <w:jc w:val="left"/>
              <w:rPr>
                <w:rFonts w:eastAsia="Times New Roman"/>
                <w:b/>
                <w:lang w:eastAsia="de-DE"/>
              </w:rPr>
            </w:pPr>
            <w:r w:rsidRPr="004B6F12">
              <w:rPr>
                <w:rFonts w:eastAsia="Times New Roman"/>
                <w:b/>
                <w:lang w:eastAsia="de-DE"/>
              </w:rPr>
              <w:t>Zink</w:t>
            </w:r>
          </w:p>
        </w:tc>
        <w:tc>
          <w:tcPr>
            <w:tcW w:w="905" w:type="dxa"/>
            <w:tcBorders>
              <w:top w:val="single" w:sz="4" w:space="0" w:color="auto"/>
              <w:bottom w:val="single" w:sz="4" w:space="0" w:color="auto"/>
            </w:tcBorders>
          </w:tcPr>
          <w:p w14:paraId="1469AD57" w14:textId="77777777" w:rsidR="004B6F12" w:rsidRPr="004B6F12" w:rsidRDefault="004B6F12" w:rsidP="00CE7461">
            <w:pPr>
              <w:spacing w:before="0" w:after="0"/>
              <w:jc w:val="left"/>
              <w:rPr>
                <w:rFonts w:eastAsia="Times New Roman"/>
                <w:lang w:eastAsia="de-DE"/>
              </w:rPr>
            </w:pPr>
            <w:r w:rsidRPr="004B6F12">
              <w:rPr>
                <w:rFonts w:eastAsia="Times New Roman"/>
                <w:lang w:eastAsia="de-DE"/>
              </w:rPr>
              <w:t>µg/l</w:t>
            </w:r>
          </w:p>
        </w:tc>
        <w:tc>
          <w:tcPr>
            <w:tcW w:w="800" w:type="dxa"/>
            <w:tcBorders>
              <w:top w:val="single" w:sz="4" w:space="0" w:color="auto"/>
              <w:bottom w:val="single" w:sz="4" w:space="0" w:color="auto"/>
              <w:right w:val="single" w:sz="4" w:space="0" w:color="auto"/>
            </w:tcBorders>
            <w:vAlign w:val="center"/>
          </w:tcPr>
          <w:p w14:paraId="352B9542" w14:textId="77777777" w:rsidR="004B6F12" w:rsidRPr="004B6F12" w:rsidRDefault="004B6F12" w:rsidP="00CE7461">
            <w:pPr>
              <w:spacing w:before="40" w:after="0"/>
              <w:jc w:val="center"/>
              <w:rPr>
                <w:rFonts w:eastAsia="Times New Roman"/>
                <w:lang w:eastAsia="de-DE"/>
              </w:rPr>
            </w:pPr>
          </w:p>
        </w:tc>
        <w:tc>
          <w:tcPr>
            <w:tcW w:w="800" w:type="dxa"/>
            <w:tcBorders>
              <w:top w:val="single" w:sz="4" w:space="0" w:color="auto"/>
              <w:bottom w:val="single" w:sz="4" w:space="0" w:color="auto"/>
              <w:right w:val="single" w:sz="4" w:space="0" w:color="auto"/>
            </w:tcBorders>
            <w:vAlign w:val="center"/>
          </w:tcPr>
          <w:p w14:paraId="6409D6B9" w14:textId="77777777" w:rsidR="004B6F12" w:rsidRPr="004B6F12" w:rsidRDefault="004B6F12" w:rsidP="00CE7461">
            <w:pPr>
              <w:spacing w:before="40" w:after="0"/>
              <w:jc w:val="center"/>
              <w:rPr>
                <w:rFonts w:eastAsia="Times New Roman"/>
                <w:lang w:eastAsia="de-DE"/>
              </w:rPr>
            </w:pPr>
          </w:p>
        </w:tc>
        <w:tc>
          <w:tcPr>
            <w:tcW w:w="920" w:type="dxa"/>
            <w:tcBorders>
              <w:top w:val="single" w:sz="4" w:space="0" w:color="auto"/>
              <w:bottom w:val="single" w:sz="4" w:space="0" w:color="auto"/>
              <w:right w:val="single" w:sz="4" w:space="0" w:color="auto"/>
            </w:tcBorders>
            <w:vAlign w:val="center"/>
          </w:tcPr>
          <w:p w14:paraId="687F5790" w14:textId="77777777" w:rsidR="004B6F12" w:rsidRPr="004B6F12" w:rsidRDefault="004B6F12" w:rsidP="00CE7461">
            <w:pPr>
              <w:spacing w:before="40" w:after="0"/>
              <w:ind w:left="-151"/>
              <w:jc w:val="center"/>
              <w:rPr>
                <w:rFonts w:eastAsia="Times New Roman"/>
                <w:lang w:eastAsia="de-DE"/>
              </w:rPr>
            </w:pPr>
          </w:p>
        </w:tc>
        <w:tc>
          <w:tcPr>
            <w:tcW w:w="950" w:type="dxa"/>
            <w:tcBorders>
              <w:top w:val="single" w:sz="4" w:space="0" w:color="auto"/>
              <w:bottom w:val="single" w:sz="4" w:space="0" w:color="auto"/>
            </w:tcBorders>
            <w:vAlign w:val="center"/>
          </w:tcPr>
          <w:p w14:paraId="784F1FC7" w14:textId="77777777" w:rsidR="004B6F12" w:rsidRPr="004B6F12" w:rsidRDefault="004B6F12" w:rsidP="00CE7461">
            <w:pPr>
              <w:spacing w:before="0" w:after="0"/>
              <w:jc w:val="center"/>
              <w:rPr>
                <w:rFonts w:eastAsia="Times New Roman"/>
                <w:lang w:eastAsia="de-DE"/>
              </w:rPr>
            </w:pPr>
          </w:p>
        </w:tc>
        <w:tc>
          <w:tcPr>
            <w:tcW w:w="950" w:type="dxa"/>
            <w:tcBorders>
              <w:top w:val="single" w:sz="4" w:space="0" w:color="auto"/>
              <w:bottom w:val="single" w:sz="4" w:space="0" w:color="auto"/>
            </w:tcBorders>
            <w:shd w:val="clear" w:color="auto" w:fill="auto"/>
            <w:vAlign w:val="center"/>
          </w:tcPr>
          <w:p w14:paraId="0E8307C9" w14:textId="77777777" w:rsidR="004B6F12" w:rsidRPr="004B6F12" w:rsidRDefault="004B6F12" w:rsidP="00CE7461">
            <w:pPr>
              <w:spacing w:before="0" w:after="0"/>
              <w:jc w:val="center"/>
              <w:rPr>
                <w:rFonts w:eastAsia="Times New Roman"/>
                <w:lang w:eastAsia="de-DE"/>
              </w:rPr>
            </w:pPr>
          </w:p>
        </w:tc>
        <w:tc>
          <w:tcPr>
            <w:tcW w:w="800" w:type="dxa"/>
            <w:tcBorders>
              <w:top w:val="single" w:sz="4" w:space="0" w:color="auto"/>
              <w:bottom w:val="single" w:sz="4" w:space="0" w:color="auto"/>
            </w:tcBorders>
            <w:vAlign w:val="center"/>
          </w:tcPr>
          <w:p w14:paraId="53CE7279" w14:textId="77777777" w:rsidR="004B6F12" w:rsidRPr="004B6F12" w:rsidRDefault="004B6F12" w:rsidP="00CE7461">
            <w:pPr>
              <w:spacing w:before="0" w:after="0"/>
              <w:jc w:val="center"/>
              <w:rPr>
                <w:rFonts w:eastAsia="Times New Roman"/>
                <w:lang w:eastAsia="de-DE"/>
              </w:rPr>
            </w:pPr>
          </w:p>
        </w:tc>
        <w:tc>
          <w:tcPr>
            <w:tcW w:w="965" w:type="dxa"/>
            <w:tcBorders>
              <w:top w:val="single" w:sz="4" w:space="0" w:color="auto"/>
              <w:bottom w:val="single" w:sz="4" w:space="0" w:color="auto"/>
            </w:tcBorders>
            <w:vAlign w:val="center"/>
          </w:tcPr>
          <w:p w14:paraId="320A7E99" w14:textId="77777777" w:rsidR="004B6F12" w:rsidRPr="004B6F12" w:rsidRDefault="004B6F12" w:rsidP="00CE7461">
            <w:pPr>
              <w:spacing w:before="0" w:after="0"/>
              <w:jc w:val="center"/>
              <w:rPr>
                <w:rFonts w:eastAsia="Times New Roman"/>
                <w:lang w:eastAsia="de-DE"/>
              </w:rPr>
            </w:pPr>
          </w:p>
        </w:tc>
        <w:tc>
          <w:tcPr>
            <w:tcW w:w="965" w:type="dxa"/>
            <w:tcBorders>
              <w:top w:val="single" w:sz="4" w:space="0" w:color="auto"/>
              <w:bottom w:val="single" w:sz="4" w:space="0" w:color="auto"/>
            </w:tcBorders>
            <w:vAlign w:val="center"/>
          </w:tcPr>
          <w:p w14:paraId="57A789F9" w14:textId="77777777" w:rsidR="004B6F12" w:rsidRPr="004B6F12" w:rsidRDefault="004B6F12" w:rsidP="00CE7461">
            <w:pPr>
              <w:spacing w:before="0" w:after="0"/>
              <w:jc w:val="center"/>
              <w:rPr>
                <w:rFonts w:eastAsia="Times New Roman"/>
                <w:lang w:eastAsia="de-DE"/>
              </w:rPr>
            </w:pPr>
          </w:p>
        </w:tc>
        <w:tc>
          <w:tcPr>
            <w:tcW w:w="935" w:type="dxa"/>
            <w:tcBorders>
              <w:top w:val="single" w:sz="4" w:space="0" w:color="auto"/>
              <w:bottom w:val="single" w:sz="4" w:space="0" w:color="auto"/>
            </w:tcBorders>
            <w:vAlign w:val="center"/>
          </w:tcPr>
          <w:p w14:paraId="5164FFDB" w14:textId="77777777" w:rsidR="004B6F12" w:rsidRPr="004B6F12" w:rsidRDefault="004B6F12" w:rsidP="00CE7461">
            <w:pPr>
              <w:spacing w:before="40" w:after="0"/>
              <w:jc w:val="center"/>
              <w:rPr>
                <w:rFonts w:eastAsia="Times New Roman"/>
                <w:lang w:eastAsia="de-DE"/>
              </w:rPr>
            </w:pPr>
          </w:p>
        </w:tc>
      </w:tr>
    </w:tbl>
    <w:p w14:paraId="7B3CF561" w14:textId="25EC06EA" w:rsidR="004B6F12" w:rsidRPr="004B6F12" w:rsidRDefault="00CE7461" w:rsidP="00AA1E49">
      <w:pPr>
        <w:pStyle w:val="berschrift1"/>
      </w:pPr>
      <w:r>
        <w:br w:type="page"/>
      </w:r>
      <w:r w:rsidR="004B6F12" w:rsidRPr="008D0377">
        <w:lastRenderedPageBreak/>
        <w:t>Fortsetzung Tabelle 1</w:t>
      </w:r>
    </w:p>
    <w:tbl>
      <w:tblPr>
        <w:tblW w:w="1157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397"/>
        <w:gridCol w:w="768"/>
        <w:gridCol w:w="837"/>
        <w:gridCol w:w="837"/>
        <w:gridCol w:w="813"/>
        <w:gridCol w:w="703"/>
        <w:gridCol w:w="691"/>
        <w:gridCol w:w="752"/>
        <w:gridCol w:w="813"/>
        <w:gridCol w:w="984"/>
        <w:gridCol w:w="984"/>
      </w:tblGrid>
      <w:tr w:rsidR="004B6F12" w:rsidRPr="004B6F12" w14:paraId="49994CB0" w14:textId="77777777" w:rsidTr="00EE2B72">
        <w:trPr>
          <w:cantSplit/>
          <w:trHeight w:hRule="exact" w:val="545"/>
        </w:trPr>
        <w:tc>
          <w:tcPr>
            <w:tcW w:w="3397" w:type="dxa"/>
            <w:tcBorders>
              <w:top w:val="single" w:sz="4" w:space="0" w:color="auto"/>
              <w:left w:val="single" w:sz="4" w:space="0" w:color="auto"/>
              <w:bottom w:val="single" w:sz="4" w:space="0" w:color="auto"/>
            </w:tcBorders>
            <w:vAlign w:val="center"/>
          </w:tcPr>
          <w:p w14:paraId="6C9E84E5" w14:textId="77777777" w:rsidR="004B6F12" w:rsidRPr="004B6F12" w:rsidRDefault="004B6F12" w:rsidP="004B6F12">
            <w:pPr>
              <w:spacing w:before="0" w:after="0"/>
              <w:jc w:val="center"/>
              <w:rPr>
                <w:rFonts w:eastAsia="Times New Roman"/>
                <w:b/>
                <w:lang w:eastAsia="de-DE"/>
              </w:rPr>
            </w:pPr>
            <w:r w:rsidRPr="004B6F12">
              <w:rPr>
                <w:rFonts w:eastAsia="Times New Roman"/>
                <w:b/>
                <w:lang w:eastAsia="de-DE"/>
              </w:rPr>
              <w:t>MEB</w:t>
            </w:r>
          </w:p>
        </w:tc>
        <w:tc>
          <w:tcPr>
            <w:tcW w:w="768" w:type="dxa"/>
            <w:tcBorders>
              <w:top w:val="single" w:sz="4" w:space="0" w:color="auto"/>
              <w:bottom w:val="single" w:sz="4" w:space="0" w:color="auto"/>
            </w:tcBorders>
            <w:vAlign w:val="center"/>
          </w:tcPr>
          <w:p w14:paraId="185D2C5F" w14:textId="77777777" w:rsidR="004B6F12" w:rsidRPr="004B6F12" w:rsidRDefault="004B6F12" w:rsidP="004B6F12">
            <w:pPr>
              <w:spacing w:before="0" w:after="0"/>
              <w:jc w:val="center"/>
              <w:rPr>
                <w:rFonts w:eastAsia="Times New Roman"/>
                <w:b/>
                <w:lang w:eastAsia="de-DE"/>
              </w:rPr>
            </w:pPr>
          </w:p>
        </w:tc>
        <w:tc>
          <w:tcPr>
            <w:tcW w:w="837" w:type="dxa"/>
            <w:tcBorders>
              <w:top w:val="single" w:sz="4" w:space="0" w:color="auto"/>
              <w:bottom w:val="single" w:sz="4" w:space="0" w:color="auto"/>
            </w:tcBorders>
            <w:vAlign w:val="center"/>
          </w:tcPr>
          <w:p w14:paraId="497BF0A2" w14:textId="77777777" w:rsidR="004B6F12" w:rsidRPr="004B6F12" w:rsidRDefault="004B6F12" w:rsidP="004B6F12">
            <w:pPr>
              <w:spacing w:before="0" w:after="0"/>
              <w:jc w:val="center"/>
              <w:rPr>
                <w:rFonts w:eastAsia="Times New Roman"/>
                <w:b/>
                <w:lang w:eastAsia="de-DE"/>
              </w:rPr>
            </w:pPr>
            <w:r w:rsidRPr="004B6F12">
              <w:rPr>
                <w:rFonts w:eastAsia="Times New Roman"/>
                <w:b/>
                <w:lang w:eastAsia="de-DE"/>
              </w:rPr>
              <w:t>CUM-1</w:t>
            </w:r>
          </w:p>
        </w:tc>
        <w:tc>
          <w:tcPr>
            <w:tcW w:w="837" w:type="dxa"/>
            <w:tcBorders>
              <w:top w:val="single" w:sz="4" w:space="0" w:color="auto"/>
              <w:bottom w:val="single" w:sz="4" w:space="0" w:color="auto"/>
            </w:tcBorders>
            <w:vAlign w:val="center"/>
          </w:tcPr>
          <w:p w14:paraId="32CB5291" w14:textId="77777777" w:rsidR="004B6F12" w:rsidRPr="004B6F12" w:rsidRDefault="004B6F12" w:rsidP="004B6F12">
            <w:pPr>
              <w:spacing w:before="0" w:after="0"/>
              <w:jc w:val="center"/>
              <w:rPr>
                <w:rFonts w:eastAsia="Times New Roman"/>
                <w:b/>
                <w:lang w:eastAsia="de-DE"/>
              </w:rPr>
            </w:pPr>
            <w:r w:rsidRPr="004B6F12">
              <w:rPr>
                <w:rFonts w:eastAsia="Times New Roman"/>
                <w:b/>
                <w:lang w:eastAsia="de-DE"/>
              </w:rPr>
              <w:t>CUM-2</w:t>
            </w:r>
          </w:p>
        </w:tc>
        <w:tc>
          <w:tcPr>
            <w:tcW w:w="813" w:type="dxa"/>
            <w:tcBorders>
              <w:top w:val="single" w:sz="4" w:space="0" w:color="auto"/>
              <w:bottom w:val="single" w:sz="4" w:space="0" w:color="auto"/>
            </w:tcBorders>
            <w:vAlign w:val="center"/>
          </w:tcPr>
          <w:p w14:paraId="3D2B44BD" w14:textId="77777777" w:rsidR="004B6F12" w:rsidRPr="004B6F12" w:rsidRDefault="004B6F12" w:rsidP="004B6F12">
            <w:pPr>
              <w:spacing w:before="0" w:after="0"/>
              <w:jc w:val="center"/>
              <w:rPr>
                <w:rFonts w:eastAsia="Times New Roman"/>
                <w:b/>
                <w:lang w:eastAsia="de-DE"/>
              </w:rPr>
            </w:pPr>
            <w:r w:rsidRPr="004B6F12">
              <w:rPr>
                <w:rFonts w:eastAsia="Times New Roman"/>
                <w:b/>
                <w:lang w:eastAsia="de-DE"/>
              </w:rPr>
              <w:t>GRS</w:t>
            </w:r>
          </w:p>
        </w:tc>
        <w:tc>
          <w:tcPr>
            <w:tcW w:w="703" w:type="dxa"/>
            <w:tcBorders>
              <w:top w:val="single" w:sz="4" w:space="0" w:color="auto"/>
              <w:bottom w:val="single" w:sz="4" w:space="0" w:color="auto"/>
            </w:tcBorders>
            <w:vAlign w:val="center"/>
          </w:tcPr>
          <w:p w14:paraId="3FF8EC1D" w14:textId="77777777" w:rsidR="004B6F12" w:rsidRPr="004B6F12" w:rsidRDefault="004B6F12" w:rsidP="004B6F12">
            <w:pPr>
              <w:spacing w:before="0" w:after="0"/>
              <w:jc w:val="center"/>
              <w:rPr>
                <w:rFonts w:eastAsia="Times New Roman"/>
                <w:b/>
                <w:lang w:eastAsia="de-DE"/>
              </w:rPr>
            </w:pPr>
            <w:r w:rsidRPr="004B6F12">
              <w:rPr>
                <w:rFonts w:eastAsia="Times New Roman"/>
                <w:b/>
                <w:lang w:eastAsia="de-DE"/>
              </w:rPr>
              <w:t>SKG</w:t>
            </w:r>
          </w:p>
        </w:tc>
        <w:tc>
          <w:tcPr>
            <w:tcW w:w="691" w:type="dxa"/>
            <w:tcBorders>
              <w:top w:val="single" w:sz="4" w:space="0" w:color="auto"/>
              <w:bottom w:val="single" w:sz="4" w:space="0" w:color="auto"/>
            </w:tcBorders>
            <w:vAlign w:val="center"/>
          </w:tcPr>
          <w:p w14:paraId="4B86EC20" w14:textId="77777777" w:rsidR="004B6F12" w:rsidRPr="004B6F12" w:rsidRDefault="004B6F12" w:rsidP="004B6F12">
            <w:pPr>
              <w:spacing w:before="0" w:after="0"/>
              <w:jc w:val="center"/>
              <w:rPr>
                <w:rFonts w:eastAsia="Times New Roman"/>
                <w:b/>
                <w:lang w:eastAsia="de-DE"/>
              </w:rPr>
            </w:pPr>
            <w:r w:rsidRPr="004B6F12">
              <w:rPr>
                <w:rFonts w:eastAsia="Times New Roman"/>
                <w:b/>
                <w:lang w:eastAsia="de-DE"/>
              </w:rPr>
              <w:t>SKA</w:t>
            </w:r>
          </w:p>
        </w:tc>
        <w:tc>
          <w:tcPr>
            <w:tcW w:w="752" w:type="dxa"/>
            <w:tcBorders>
              <w:top w:val="single" w:sz="4" w:space="0" w:color="auto"/>
              <w:bottom w:val="single" w:sz="4" w:space="0" w:color="auto"/>
            </w:tcBorders>
            <w:vAlign w:val="center"/>
          </w:tcPr>
          <w:p w14:paraId="121D6E6E" w14:textId="77777777" w:rsidR="004B6F12" w:rsidRPr="004B6F12" w:rsidRDefault="004B6F12" w:rsidP="004B6F12">
            <w:pPr>
              <w:spacing w:before="0" w:after="0"/>
              <w:jc w:val="center"/>
              <w:rPr>
                <w:rFonts w:eastAsia="Times New Roman"/>
                <w:b/>
                <w:lang w:eastAsia="de-DE"/>
              </w:rPr>
            </w:pPr>
            <w:r w:rsidRPr="004B6F12">
              <w:rPr>
                <w:rFonts w:eastAsia="Times New Roman"/>
                <w:b/>
                <w:lang w:eastAsia="de-DE"/>
              </w:rPr>
              <w:t>SFA</w:t>
            </w:r>
          </w:p>
        </w:tc>
        <w:tc>
          <w:tcPr>
            <w:tcW w:w="813" w:type="dxa"/>
            <w:tcBorders>
              <w:top w:val="single" w:sz="4" w:space="0" w:color="auto"/>
              <w:bottom w:val="single" w:sz="4" w:space="0" w:color="auto"/>
            </w:tcBorders>
            <w:vAlign w:val="center"/>
          </w:tcPr>
          <w:p w14:paraId="0E222D88" w14:textId="77777777" w:rsidR="004B6F12" w:rsidRPr="004B6F12" w:rsidRDefault="004B6F12" w:rsidP="004B6F12">
            <w:pPr>
              <w:spacing w:before="0" w:after="0"/>
              <w:jc w:val="center"/>
              <w:rPr>
                <w:rFonts w:eastAsia="Times New Roman"/>
                <w:b/>
                <w:lang w:eastAsia="de-DE"/>
              </w:rPr>
            </w:pPr>
            <w:r w:rsidRPr="004B6F12">
              <w:rPr>
                <w:rFonts w:eastAsia="Times New Roman"/>
                <w:b/>
                <w:lang w:eastAsia="de-DE"/>
              </w:rPr>
              <w:t>BFA</w:t>
            </w:r>
          </w:p>
        </w:tc>
        <w:tc>
          <w:tcPr>
            <w:tcW w:w="984" w:type="dxa"/>
            <w:tcBorders>
              <w:top w:val="single" w:sz="4" w:space="0" w:color="auto"/>
              <w:bottom w:val="single" w:sz="4" w:space="0" w:color="auto"/>
            </w:tcBorders>
            <w:vAlign w:val="center"/>
          </w:tcPr>
          <w:p w14:paraId="50397D64" w14:textId="77777777" w:rsidR="004B6F12" w:rsidRPr="004B6F12" w:rsidRDefault="004B6F12" w:rsidP="004B6F12">
            <w:pPr>
              <w:spacing w:before="0" w:after="0"/>
              <w:jc w:val="center"/>
              <w:rPr>
                <w:rFonts w:eastAsia="Times New Roman"/>
                <w:b/>
                <w:lang w:eastAsia="de-DE"/>
              </w:rPr>
            </w:pPr>
            <w:r w:rsidRPr="004B6F12">
              <w:rPr>
                <w:rFonts w:eastAsia="Times New Roman"/>
                <w:b/>
                <w:lang w:eastAsia="de-DE"/>
              </w:rPr>
              <w:t>HMVA-1</w:t>
            </w:r>
          </w:p>
        </w:tc>
        <w:tc>
          <w:tcPr>
            <w:tcW w:w="984" w:type="dxa"/>
            <w:tcBorders>
              <w:top w:val="single" w:sz="4" w:space="0" w:color="auto"/>
              <w:bottom w:val="single" w:sz="4" w:space="0" w:color="auto"/>
            </w:tcBorders>
            <w:vAlign w:val="center"/>
          </w:tcPr>
          <w:p w14:paraId="488C4E01" w14:textId="77777777" w:rsidR="004B6F12" w:rsidRPr="004B6F12" w:rsidRDefault="004B6F12" w:rsidP="004B6F12">
            <w:pPr>
              <w:spacing w:before="0" w:after="0"/>
              <w:jc w:val="center"/>
              <w:rPr>
                <w:rFonts w:eastAsia="Times New Roman"/>
                <w:b/>
                <w:lang w:eastAsia="de-DE"/>
              </w:rPr>
            </w:pPr>
            <w:r w:rsidRPr="004B6F12">
              <w:rPr>
                <w:rFonts w:eastAsia="Times New Roman"/>
                <w:b/>
                <w:lang w:eastAsia="de-DE"/>
              </w:rPr>
              <w:t>HMVA-2</w:t>
            </w:r>
          </w:p>
        </w:tc>
      </w:tr>
      <w:tr w:rsidR="004B6F12" w:rsidRPr="004B6F12" w14:paraId="15BEE326" w14:textId="77777777" w:rsidTr="00EE2B72">
        <w:trPr>
          <w:cantSplit/>
          <w:trHeight w:hRule="exact" w:val="300"/>
        </w:trPr>
        <w:tc>
          <w:tcPr>
            <w:tcW w:w="3397" w:type="dxa"/>
            <w:tcBorders>
              <w:top w:val="single" w:sz="4" w:space="0" w:color="auto"/>
              <w:left w:val="single" w:sz="4" w:space="0" w:color="auto"/>
              <w:bottom w:val="single" w:sz="4" w:space="0" w:color="auto"/>
            </w:tcBorders>
          </w:tcPr>
          <w:p w14:paraId="191FCAFD" w14:textId="77777777" w:rsidR="004B6F12" w:rsidRPr="004B6F12" w:rsidRDefault="004B6F12" w:rsidP="004B6F12">
            <w:pPr>
              <w:spacing w:before="0" w:after="0"/>
              <w:jc w:val="left"/>
              <w:rPr>
                <w:rFonts w:eastAsia="Times New Roman"/>
                <w:b/>
                <w:lang w:eastAsia="de-DE"/>
              </w:rPr>
            </w:pPr>
            <w:r w:rsidRPr="004B6F12">
              <w:rPr>
                <w:rFonts w:eastAsia="Times New Roman"/>
                <w:b/>
                <w:lang w:eastAsia="de-DE"/>
              </w:rPr>
              <w:t>Parameter</w:t>
            </w:r>
          </w:p>
        </w:tc>
        <w:tc>
          <w:tcPr>
            <w:tcW w:w="768" w:type="dxa"/>
            <w:tcBorders>
              <w:top w:val="single" w:sz="4" w:space="0" w:color="auto"/>
              <w:bottom w:val="single" w:sz="4" w:space="0" w:color="auto"/>
            </w:tcBorders>
          </w:tcPr>
          <w:p w14:paraId="73BB1796" w14:textId="77777777" w:rsidR="004B6F12" w:rsidRPr="004B6F12" w:rsidRDefault="004B6F12" w:rsidP="004B6F12">
            <w:pPr>
              <w:spacing w:before="0" w:after="0"/>
              <w:jc w:val="left"/>
              <w:rPr>
                <w:rFonts w:eastAsia="Times New Roman"/>
                <w:b/>
                <w:lang w:eastAsia="de-DE"/>
              </w:rPr>
            </w:pPr>
            <w:r w:rsidRPr="004B6F12">
              <w:rPr>
                <w:rFonts w:eastAsia="Times New Roman"/>
                <w:b/>
                <w:lang w:eastAsia="de-DE"/>
              </w:rPr>
              <w:t>Dim.</w:t>
            </w:r>
          </w:p>
        </w:tc>
        <w:tc>
          <w:tcPr>
            <w:tcW w:w="837" w:type="dxa"/>
            <w:tcBorders>
              <w:top w:val="single" w:sz="4" w:space="0" w:color="auto"/>
              <w:bottom w:val="single" w:sz="4" w:space="0" w:color="auto"/>
            </w:tcBorders>
            <w:vAlign w:val="center"/>
          </w:tcPr>
          <w:p w14:paraId="6B84C0DD" w14:textId="77777777" w:rsidR="004B6F12" w:rsidRPr="004B6F12" w:rsidRDefault="004B6F12" w:rsidP="004B6F12">
            <w:pPr>
              <w:spacing w:before="0" w:after="0"/>
              <w:jc w:val="center"/>
              <w:rPr>
                <w:rFonts w:eastAsia="Times New Roman"/>
                <w:lang w:eastAsia="de-DE"/>
              </w:rPr>
            </w:pPr>
          </w:p>
        </w:tc>
        <w:tc>
          <w:tcPr>
            <w:tcW w:w="837" w:type="dxa"/>
            <w:tcBorders>
              <w:top w:val="single" w:sz="4" w:space="0" w:color="auto"/>
              <w:bottom w:val="single" w:sz="4" w:space="0" w:color="auto"/>
            </w:tcBorders>
            <w:vAlign w:val="center"/>
          </w:tcPr>
          <w:p w14:paraId="5EE7C35D" w14:textId="77777777" w:rsidR="004B6F12" w:rsidRPr="004B6F12" w:rsidRDefault="004B6F12" w:rsidP="004B6F12">
            <w:pPr>
              <w:spacing w:before="0" w:after="0"/>
              <w:jc w:val="center"/>
              <w:rPr>
                <w:rFonts w:eastAsia="Times New Roman"/>
                <w:lang w:eastAsia="de-DE"/>
              </w:rPr>
            </w:pPr>
          </w:p>
        </w:tc>
        <w:tc>
          <w:tcPr>
            <w:tcW w:w="813" w:type="dxa"/>
            <w:tcBorders>
              <w:top w:val="single" w:sz="4" w:space="0" w:color="auto"/>
              <w:bottom w:val="single" w:sz="4" w:space="0" w:color="auto"/>
            </w:tcBorders>
            <w:vAlign w:val="center"/>
          </w:tcPr>
          <w:p w14:paraId="7C3EA1F8" w14:textId="77777777" w:rsidR="004B6F12" w:rsidRPr="004B6F12" w:rsidRDefault="004B6F12" w:rsidP="004B6F12">
            <w:pPr>
              <w:spacing w:before="0" w:after="0"/>
              <w:jc w:val="center"/>
              <w:rPr>
                <w:rFonts w:eastAsia="Times New Roman"/>
                <w:lang w:eastAsia="de-DE"/>
              </w:rPr>
            </w:pPr>
          </w:p>
        </w:tc>
        <w:tc>
          <w:tcPr>
            <w:tcW w:w="703" w:type="dxa"/>
            <w:tcBorders>
              <w:top w:val="single" w:sz="4" w:space="0" w:color="auto"/>
              <w:bottom w:val="single" w:sz="4" w:space="0" w:color="auto"/>
            </w:tcBorders>
            <w:vAlign w:val="center"/>
          </w:tcPr>
          <w:p w14:paraId="09D8A979" w14:textId="77777777" w:rsidR="004B6F12" w:rsidRPr="004B6F12" w:rsidRDefault="004B6F12" w:rsidP="004B6F12">
            <w:pPr>
              <w:spacing w:before="0" w:after="0"/>
              <w:jc w:val="center"/>
              <w:rPr>
                <w:rFonts w:eastAsia="Times New Roman"/>
                <w:lang w:eastAsia="de-DE"/>
              </w:rPr>
            </w:pPr>
          </w:p>
        </w:tc>
        <w:tc>
          <w:tcPr>
            <w:tcW w:w="691" w:type="dxa"/>
            <w:tcBorders>
              <w:top w:val="single" w:sz="4" w:space="0" w:color="auto"/>
              <w:bottom w:val="single" w:sz="4" w:space="0" w:color="auto"/>
            </w:tcBorders>
            <w:vAlign w:val="center"/>
          </w:tcPr>
          <w:p w14:paraId="57EA3C88" w14:textId="77777777" w:rsidR="004B6F12" w:rsidRPr="004B6F12" w:rsidRDefault="004B6F12" w:rsidP="004B6F12">
            <w:pPr>
              <w:spacing w:before="0" w:after="0"/>
              <w:jc w:val="center"/>
              <w:rPr>
                <w:rFonts w:eastAsia="Times New Roman"/>
                <w:lang w:eastAsia="de-DE"/>
              </w:rPr>
            </w:pPr>
          </w:p>
        </w:tc>
        <w:tc>
          <w:tcPr>
            <w:tcW w:w="752" w:type="dxa"/>
            <w:tcBorders>
              <w:top w:val="single" w:sz="4" w:space="0" w:color="auto"/>
              <w:bottom w:val="single" w:sz="4" w:space="0" w:color="auto"/>
            </w:tcBorders>
            <w:vAlign w:val="center"/>
          </w:tcPr>
          <w:p w14:paraId="50210260" w14:textId="77777777" w:rsidR="004B6F12" w:rsidRPr="004B6F12" w:rsidRDefault="004B6F12" w:rsidP="004B6F12">
            <w:pPr>
              <w:spacing w:before="0" w:after="0"/>
              <w:jc w:val="center"/>
              <w:rPr>
                <w:rFonts w:eastAsia="Times New Roman"/>
                <w:lang w:eastAsia="de-DE"/>
              </w:rPr>
            </w:pPr>
          </w:p>
        </w:tc>
        <w:tc>
          <w:tcPr>
            <w:tcW w:w="813" w:type="dxa"/>
            <w:tcBorders>
              <w:top w:val="single" w:sz="4" w:space="0" w:color="auto"/>
              <w:bottom w:val="single" w:sz="4" w:space="0" w:color="auto"/>
            </w:tcBorders>
            <w:vAlign w:val="center"/>
          </w:tcPr>
          <w:p w14:paraId="1D64F5F8" w14:textId="77777777" w:rsidR="004B6F12" w:rsidRPr="004B6F12" w:rsidRDefault="004B6F12" w:rsidP="004B6F12">
            <w:pPr>
              <w:spacing w:before="0" w:after="0"/>
              <w:jc w:val="center"/>
              <w:rPr>
                <w:rFonts w:eastAsia="Times New Roman"/>
                <w:lang w:eastAsia="de-DE"/>
              </w:rPr>
            </w:pPr>
          </w:p>
        </w:tc>
        <w:tc>
          <w:tcPr>
            <w:tcW w:w="984" w:type="dxa"/>
            <w:tcBorders>
              <w:top w:val="single" w:sz="4" w:space="0" w:color="auto"/>
              <w:bottom w:val="single" w:sz="4" w:space="0" w:color="auto"/>
            </w:tcBorders>
            <w:vAlign w:val="center"/>
          </w:tcPr>
          <w:p w14:paraId="453CDD72" w14:textId="77777777" w:rsidR="004B6F12" w:rsidRPr="004B6F12" w:rsidRDefault="004B6F12" w:rsidP="004B6F12">
            <w:pPr>
              <w:spacing w:before="0" w:after="0"/>
              <w:jc w:val="center"/>
              <w:rPr>
                <w:rFonts w:eastAsia="Times New Roman"/>
                <w:lang w:eastAsia="de-DE"/>
              </w:rPr>
            </w:pPr>
          </w:p>
        </w:tc>
        <w:tc>
          <w:tcPr>
            <w:tcW w:w="984" w:type="dxa"/>
            <w:tcBorders>
              <w:top w:val="single" w:sz="4" w:space="0" w:color="auto"/>
              <w:bottom w:val="single" w:sz="4" w:space="0" w:color="auto"/>
            </w:tcBorders>
            <w:vAlign w:val="center"/>
          </w:tcPr>
          <w:p w14:paraId="4B083AA7" w14:textId="77777777" w:rsidR="004B6F12" w:rsidRPr="004B6F12" w:rsidRDefault="004B6F12" w:rsidP="004B6F12">
            <w:pPr>
              <w:spacing w:before="0" w:after="0"/>
              <w:jc w:val="center"/>
              <w:rPr>
                <w:rFonts w:eastAsia="Times New Roman"/>
                <w:lang w:eastAsia="de-DE"/>
              </w:rPr>
            </w:pPr>
          </w:p>
        </w:tc>
      </w:tr>
      <w:tr w:rsidR="004B6F12" w:rsidRPr="004B6F12" w14:paraId="19FE6C99" w14:textId="77777777" w:rsidTr="00EE2B72">
        <w:trPr>
          <w:cantSplit/>
          <w:trHeight w:hRule="exact" w:val="300"/>
        </w:trPr>
        <w:tc>
          <w:tcPr>
            <w:tcW w:w="3397" w:type="dxa"/>
            <w:tcBorders>
              <w:top w:val="single" w:sz="4" w:space="0" w:color="auto"/>
              <w:left w:val="single" w:sz="4" w:space="0" w:color="auto"/>
            </w:tcBorders>
          </w:tcPr>
          <w:p w14:paraId="571CF169" w14:textId="77777777" w:rsidR="004B6F12" w:rsidRPr="004B6F12" w:rsidRDefault="004B6F12" w:rsidP="004B6F12">
            <w:pPr>
              <w:spacing w:before="0" w:after="0"/>
              <w:jc w:val="left"/>
              <w:rPr>
                <w:rFonts w:eastAsia="Times New Roman"/>
                <w:b/>
                <w:lang w:eastAsia="de-DE"/>
              </w:rPr>
            </w:pPr>
            <w:r w:rsidRPr="004B6F12">
              <w:rPr>
                <w:rFonts w:eastAsia="Times New Roman"/>
                <w:b/>
                <w:lang w:eastAsia="de-DE"/>
              </w:rPr>
              <w:t>pH-Wert</w:t>
            </w:r>
            <w:r w:rsidRPr="004B6F12">
              <w:rPr>
                <w:rFonts w:eastAsia="Times New Roman"/>
                <w:b/>
                <w:vertAlign w:val="superscript"/>
                <w:lang w:eastAsia="de-DE"/>
              </w:rPr>
              <w:t>1</w:t>
            </w:r>
          </w:p>
        </w:tc>
        <w:tc>
          <w:tcPr>
            <w:tcW w:w="768" w:type="dxa"/>
            <w:tcBorders>
              <w:top w:val="single" w:sz="4" w:space="0" w:color="auto"/>
            </w:tcBorders>
          </w:tcPr>
          <w:p w14:paraId="0C66235D" w14:textId="77777777" w:rsidR="004B6F12" w:rsidRPr="004B6F12" w:rsidRDefault="004B6F12" w:rsidP="004B6F12">
            <w:pPr>
              <w:spacing w:before="0" w:after="0"/>
              <w:jc w:val="left"/>
              <w:rPr>
                <w:rFonts w:eastAsia="Times New Roman"/>
                <w:lang w:eastAsia="de-DE"/>
              </w:rPr>
            </w:pPr>
          </w:p>
        </w:tc>
        <w:tc>
          <w:tcPr>
            <w:tcW w:w="837" w:type="dxa"/>
            <w:tcBorders>
              <w:top w:val="single" w:sz="4" w:space="0" w:color="auto"/>
            </w:tcBorders>
            <w:vAlign w:val="center"/>
          </w:tcPr>
          <w:p w14:paraId="45674E92" w14:textId="77777777" w:rsidR="004B6F12" w:rsidRPr="004B6F12" w:rsidRDefault="004B6F12" w:rsidP="004B6F12">
            <w:pPr>
              <w:spacing w:before="0" w:after="0"/>
              <w:jc w:val="center"/>
              <w:rPr>
                <w:rFonts w:eastAsia="Times New Roman"/>
                <w:lang w:eastAsia="de-DE"/>
              </w:rPr>
            </w:pPr>
            <w:r w:rsidRPr="004B6F12">
              <w:rPr>
                <w:rFonts w:eastAsia="Times New Roman"/>
                <w:lang w:eastAsia="de-DE"/>
              </w:rPr>
              <w:t>6-10</w:t>
            </w:r>
          </w:p>
        </w:tc>
        <w:tc>
          <w:tcPr>
            <w:tcW w:w="837" w:type="dxa"/>
            <w:tcBorders>
              <w:top w:val="single" w:sz="4" w:space="0" w:color="auto"/>
            </w:tcBorders>
            <w:vAlign w:val="center"/>
          </w:tcPr>
          <w:p w14:paraId="273E2230" w14:textId="77777777" w:rsidR="004B6F12" w:rsidRPr="004B6F12" w:rsidRDefault="004B6F12" w:rsidP="004B6F12">
            <w:pPr>
              <w:spacing w:before="0" w:after="0"/>
              <w:jc w:val="center"/>
              <w:rPr>
                <w:rFonts w:eastAsia="Times New Roman"/>
                <w:lang w:eastAsia="de-DE"/>
              </w:rPr>
            </w:pPr>
            <w:r w:rsidRPr="004B6F12">
              <w:rPr>
                <w:rFonts w:eastAsia="Times New Roman"/>
                <w:lang w:eastAsia="de-DE"/>
              </w:rPr>
              <w:t>6-10</w:t>
            </w:r>
          </w:p>
        </w:tc>
        <w:tc>
          <w:tcPr>
            <w:tcW w:w="813" w:type="dxa"/>
            <w:tcBorders>
              <w:top w:val="single" w:sz="4" w:space="0" w:color="auto"/>
            </w:tcBorders>
            <w:vAlign w:val="center"/>
          </w:tcPr>
          <w:p w14:paraId="15B25B8A"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&gt;9</w:t>
            </w:r>
          </w:p>
        </w:tc>
        <w:tc>
          <w:tcPr>
            <w:tcW w:w="703" w:type="dxa"/>
            <w:tcBorders>
              <w:top w:val="single" w:sz="4" w:space="0" w:color="auto"/>
            </w:tcBorders>
            <w:vAlign w:val="center"/>
          </w:tcPr>
          <w:p w14:paraId="766E7746"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6-10</w:t>
            </w:r>
          </w:p>
        </w:tc>
        <w:tc>
          <w:tcPr>
            <w:tcW w:w="691" w:type="dxa"/>
            <w:tcBorders>
              <w:top w:val="single" w:sz="4" w:space="0" w:color="auto"/>
            </w:tcBorders>
            <w:vAlign w:val="center"/>
          </w:tcPr>
          <w:p w14:paraId="06E2B6D6"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7-12</w:t>
            </w:r>
          </w:p>
        </w:tc>
        <w:tc>
          <w:tcPr>
            <w:tcW w:w="752" w:type="dxa"/>
            <w:tcBorders>
              <w:top w:val="single" w:sz="4" w:space="0" w:color="auto"/>
            </w:tcBorders>
            <w:vAlign w:val="center"/>
          </w:tcPr>
          <w:p w14:paraId="428CF3B4"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8-13</w:t>
            </w:r>
          </w:p>
        </w:tc>
        <w:tc>
          <w:tcPr>
            <w:tcW w:w="813" w:type="dxa"/>
            <w:tcBorders>
              <w:top w:val="single" w:sz="4" w:space="0" w:color="auto"/>
            </w:tcBorders>
            <w:vAlign w:val="center"/>
          </w:tcPr>
          <w:p w14:paraId="346E1091"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11-13</w:t>
            </w:r>
          </w:p>
        </w:tc>
        <w:tc>
          <w:tcPr>
            <w:tcW w:w="984" w:type="dxa"/>
            <w:tcBorders>
              <w:top w:val="single" w:sz="4" w:space="0" w:color="auto"/>
            </w:tcBorders>
            <w:vAlign w:val="center"/>
          </w:tcPr>
          <w:p w14:paraId="7D7E4BC9"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7-13</w:t>
            </w:r>
          </w:p>
        </w:tc>
        <w:tc>
          <w:tcPr>
            <w:tcW w:w="984" w:type="dxa"/>
            <w:tcBorders>
              <w:top w:val="single" w:sz="4" w:space="0" w:color="auto"/>
            </w:tcBorders>
            <w:vAlign w:val="center"/>
          </w:tcPr>
          <w:p w14:paraId="712E584D"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7-13</w:t>
            </w:r>
          </w:p>
        </w:tc>
      </w:tr>
      <w:tr w:rsidR="004B6F12" w:rsidRPr="004B6F12" w14:paraId="21CC34AD" w14:textId="77777777" w:rsidTr="00EE2B72">
        <w:trPr>
          <w:cantSplit/>
          <w:trHeight w:hRule="exact" w:val="300"/>
        </w:trPr>
        <w:tc>
          <w:tcPr>
            <w:tcW w:w="3397" w:type="dxa"/>
            <w:tcBorders>
              <w:left w:val="single" w:sz="4" w:space="0" w:color="auto"/>
            </w:tcBorders>
          </w:tcPr>
          <w:p w14:paraId="5098EF57" w14:textId="77777777" w:rsidR="004B6F12" w:rsidRPr="004B6F12" w:rsidRDefault="004B6F12" w:rsidP="004B6F12">
            <w:pPr>
              <w:spacing w:before="0" w:after="0"/>
              <w:jc w:val="left"/>
              <w:rPr>
                <w:rFonts w:eastAsia="Times New Roman"/>
                <w:b/>
                <w:lang w:eastAsia="de-DE"/>
              </w:rPr>
            </w:pPr>
            <w:r w:rsidRPr="004B6F12">
              <w:rPr>
                <w:rFonts w:eastAsia="Times New Roman"/>
                <w:b/>
                <w:lang w:eastAsia="de-DE"/>
              </w:rPr>
              <w:t>Elektrische Leitfähigkeit</w:t>
            </w:r>
            <w:r w:rsidRPr="004B6F12">
              <w:rPr>
                <w:rFonts w:eastAsia="Times New Roman"/>
                <w:b/>
                <w:vertAlign w:val="superscript"/>
                <w:lang w:eastAsia="de-DE"/>
              </w:rPr>
              <w:t>2</w:t>
            </w:r>
          </w:p>
        </w:tc>
        <w:tc>
          <w:tcPr>
            <w:tcW w:w="768" w:type="dxa"/>
          </w:tcPr>
          <w:p w14:paraId="1622BA92" w14:textId="77777777" w:rsidR="004B6F12" w:rsidRPr="004B6F12" w:rsidRDefault="004B6F12" w:rsidP="004B6F12">
            <w:pPr>
              <w:spacing w:before="0" w:after="0"/>
              <w:jc w:val="left"/>
              <w:rPr>
                <w:rFonts w:eastAsia="Times New Roman"/>
                <w:lang w:eastAsia="de-DE"/>
              </w:rPr>
            </w:pPr>
            <w:r w:rsidRPr="004B6F12">
              <w:rPr>
                <w:rFonts w:eastAsia="Times New Roman"/>
                <w:lang w:eastAsia="de-DE"/>
              </w:rPr>
              <w:t>µS/cm</w:t>
            </w:r>
          </w:p>
        </w:tc>
        <w:tc>
          <w:tcPr>
            <w:tcW w:w="837" w:type="dxa"/>
            <w:vAlign w:val="center"/>
          </w:tcPr>
          <w:p w14:paraId="4D5C1DF9" w14:textId="77777777" w:rsidR="004B6F12" w:rsidRPr="004B6F12" w:rsidRDefault="004B6F12" w:rsidP="004B6F12">
            <w:pPr>
              <w:spacing w:before="0" w:after="0"/>
              <w:jc w:val="center"/>
              <w:rPr>
                <w:rFonts w:eastAsia="Times New Roman"/>
                <w:lang w:eastAsia="de-DE"/>
              </w:rPr>
            </w:pPr>
            <w:r w:rsidRPr="004B6F12">
              <w:rPr>
                <w:rFonts w:eastAsia="Times New Roman"/>
                <w:lang w:eastAsia="de-DE"/>
              </w:rPr>
              <w:t>300</w:t>
            </w:r>
          </w:p>
        </w:tc>
        <w:tc>
          <w:tcPr>
            <w:tcW w:w="837" w:type="dxa"/>
            <w:vAlign w:val="center"/>
          </w:tcPr>
          <w:p w14:paraId="61F6B65E" w14:textId="77777777" w:rsidR="004B6F12" w:rsidRPr="004B6F12" w:rsidRDefault="004B6F12" w:rsidP="004B6F12">
            <w:pPr>
              <w:spacing w:before="0" w:after="0"/>
              <w:jc w:val="center"/>
              <w:rPr>
                <w:rFonts w:eastAsia="Times New Roman"/>
                <w:lang w:eastAsia="de-DE"/>
              </w:rPr>
            </w:pPr>
            <w:r w:rsidRPr="004B6F12">
              <w:rPr>
                <w:rFonts w:eastAsia="Times New Roman"/>
                <w:lang w:eastAsia="de-DE"/>
              </w:rPr>
              <w:t>300</w:t>
            </w:r>
          </w:p>
        </w:tc>
        <w:tc>
          <w:tcPr>
            <w:tcW w:w="813" w:type="dxa"/>
            <w:vAlign w:val="center"/>
          </w:tcPr>
          <w:p w14:paraId="50BF16FA"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2 700</w:t>
            </w:r>
          </w:p>
        </w:tc>
        <w:tc>
          <w:tcPr>
            <w:tcW w:w="703" w:type="dxa"/>
            <w:vAlign w:val="center"/>
          </w:tcPr>
          <w:p w14:paraId="4DE16510"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10-60</w:t>
            </w:r>
          </w:p>
        </w:tc>
        <w:tc>
          <w:tcPr>
            <w:tcW w:w="691" w:type="dxa"/>
            <w:vAlign w:val="center"/>
          </w:tcPr>
          <w:p w14:paraId="5AEEF466"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2 100</w:t>
            </w:r>
          </w:p>
        </w:tc>
        <w:tc>
          <w:tcPr>
            <w:tcW w:w="752" w:type="dxa"/>
            <w:vAlign w:val="center"/>
          </w:tcPr>
          <w:p w14:paraId="1C22C1E0"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10 000</w:t>
            </w:r>
          </w:p>
        </w:tc>
        <w:tc>
          <w:tcPr>
            <w:tcW w:w="813" w:type="dxa"/>
            <w:vAlign w:val="center"/>
          </w:tcPr>
          <w:p w14:paraId="7C747986"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15 000</w:t>
            </w:r>
          </w:p>
        </w:tc>
        <w:tc>
          <w:tcPr>
            <w:tcW w:w="984" w:type="dxa"/>
            <w:vAlign w:val="center"/>
          </w:tcPr>
          <w:p w14:paraId="1B671101"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2 000</w:t>
            </w:r>
          </w:p>
        </w:tc>
        <w:tc>
          <w:tcPr>
            <w:tcW w:w="984" w:type="dxa"/>
            <w:vAlign w:val="center"/>
          </w:tcPr>
          <w:p w14:paraId="5C0408A3"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12 500</w:t>
            </w:r>
          </w:p>
        </w:tc>
      </w:tr>
      <w:tr w:rsidR="004B6F12" w:rsidRPr="004B6F12" w14:paraId="3B927AD2" w14:textId="77777777" w:rsidTr="00EE2B72">
        <w:trPr>
          <w:cantSplit/>
          <w:trHeight w:hRule="exact" w:val="303"/>
        </w:trPr>
        <w:tc>
          <w:tcPr>
            <w:tcW w:w="3397" w:type="dxa"/>
            <w:tcBorders>
              <w:left w:val="single" w:sz="4" w:space="0" w:color="auto"/>
            </w:tcBorders>
          </w:tcPr>
          <w:p w14:paraId="320D940F" w14:textId="77777777" w:rsidR="004B6F12" w:rsidRPr="004B6F12" w:rsidRDefault="004B6F12" w:rsidP="004B6F12">
            <w:pPr>
              <w:spacing w:before="0" w:after="0"/>
              <w:jc w:val="left"/>
              <w:rPr>
                <w:rFonts w:eastAsia="Times New Roman"/>
                <w:b/>
                <w:lang w:eastAsia="de-DE"/>
              </w:rPr>
            </w:pPr>
            <w:r w:rsidRPr="004B6F12">
              <w:rPr>
                <w:rFonts w:eastAsia="Times New Roman"/>
                <w:b/>
                <w:lang w:eastAsia="de-DE"/>
              </w:rPr>
              <w:t>Chlorid</w:t>
            </w:r>
          </w:p>
        </w:tc>
        <w:tc>
          <w:tcPr>
            <w:tcW w:w="768" w:type="dxa"/>
          </w:tcPr>
          <w:p w14:paraId="4DF5DAAA" w14:textId="77777777" w:rsidR="004B6F12" w:rsidRPr="004B6F12" w:rsidRDefault="004B6F12" w:rsidP="004B6F12">
            <w:pPr>
              <w:spacing w:before="0" w:after="0"/>
              <w:jc w:val="left"/>
              <w:rPr>
                <w:rFonts w:eastAsia="Times New Roman"/>
                <w:lang w:eastAsia="de-DE"/>
              </w:rPr>
            </w:pPr>
            <w:r w:rsidRPr="004B6F12">
              <w:rPr>
                <w:rFonts w:eastAsia="Times New Roman"/>
                <w:lang w:eastAsia="de-DE"/>
              </w:rPr>
              <w:t>mg/l</w:t>
            </w:r>
          </w:p>
        </w:tc>
        <w:tc>
          <w:tcPr>
            <w:tcW w:w="837" w:type="dxa"/>
            <w:vAlign w:val="center"/>
          </w:tcPr>
          <w:p w14:paraId="6BD29614" w14:textId="77777777" w:rsidR="004B6F12" w:rsidRPr="004B6F12" w:rsidRDefault="004B6F12" w:rsidP="004B6F12">
            <w:pPr>
              <w:spacing w:before="0" w:after="0"/>
              <w:jc w:val="center"/>
              <w:rPr>
                <w:rFonts w:eastAsia="Times New Roman"/>
                <w:lang w:eastAsia="de-DE"/>
              </w:rPr>
            </w:pPr>
          </w:p>
        </w:tc>
        <w:tc>
          <w:tcPr>
            <w:tcW w:w="837" w:type="dxa"/>
            <w:vAlign w:val="center"/>
          </w:tcPr>
          <w:p w14:paraId="08D473CE" w14:textId="77777777" w:rsidR="004B6F12" w:rsidRPr="004B6F12" w:rsidRDefault="004B6F12" w:rsidP="004B6F12">
            <w:pPr>
              <w:spacing w:before="0" w:after="0"/>
              <w:jc w:val="center"/>
              <w:rPr>
                <w:rFonts w:eastAsia="Times New Roman"/>
                <w:lang w:eastAsia="de-DE"/>
              </w:rPr>
            </w:pPr>
          </w:p>
        </w:tc>
        <w:tc>
          <w:tcPr>
            <w:tcW w:w="813" w:type="dxa"/>
            <w:vAlign w:val="center"/>
          </w:tcPr>
          <w:p w14:paraId="596B6719" w14:textId="77777777" w:rsidR="004B6F12" w:rsidRPr="004B6F12" w:rsidRDefault="004B6F12" w:rsidP="004B6F12">
            <w:pPr>
              <w:spacing w:before="40" w:after="0"/>
              <w:jc w:val="center"/>
              <w:rPr>
                <w:rFonts w:eastAsia="Times New Roman"/>
                <w:lang w:eastAsia="de-DE"/>
              </w:rPr>
            </w:pPr>
          </w:p>
        </w:tc>
        <w:tc>
          <w:tcPr>
            <w:tcW w:w="703" w:type="dxa"/>
            <w:vAlign w:val="center"/>
          </w:tcPr>
          <w:p w14:paraId="085F0BF1" w14:textId="77777777" w:rsidR="004B6F12" w:rsidRPr="004B6F12" w:rsidRDefault="004B6F12" w:rsidP="004B6F12">
            <w:pPr>
              <w:spacing w:before="40" w:after="0"/>
              <w:jc w:val="center"/>
              <w:rPr>
                <w:rFonts w:eastAsia="Times New Roman"/>
                <w:lang w:eastAsia="de-DE"/>
              </w:rPr>
            </w:pPr>
          </w:p>
        </w:tc>
        <w:tc>
          <w:tcPr>
            <w:tcW w:w="691" w:type="dxa"/>
            <w:vAlign w:val="center"/>
          </w:tcPr>
          <w:p w14:paraId="4159D892" w14:textId="77777777" w:rsidR="004B6F12" w:rsidRPr="004B6F12" w:rsidRDefault="004B6F12" w:rsidP="004B6F12">
            <w:pPr>
              <w:spacing w:before="40" w:after="0"/>
              <w:jc w:val="center"/>
              <w:rPr>
                <w:rFonts w:eastAsia="Times New Roman"/>
                <w:lang w:eastAsia="de-DE"/>
              </w:rPr>
            </w:pPr>
          </w:p>
        </w:tc>
        <w:tc>
          <w:tcPr>
            <w:tcW w:w="752" w:type="dxa"/>
            <w:vAlign w:val="center"/>
          </w:tcPr>
          <w:p w14:paraId="2ED61F79" w14:textId="77777777" w:rsidR="004B6F12" w:rsidRPr="004B6F12" w:rsidRDefault="004B6F12" w:rsidP="004B6F12">
            <w:pPr>
              <w:spacing w:before="40" w:after="0"/>
              <w:jc w:val="center"/>
              <w:rPr>
                <w:rFonts w:eastAsia="Times New Roman"/>
                <w:lang w:eastAsia="de-DE"/>
              </w:rPr>
            </w:pPr>
          </w:p>
        </w:tc>
        <w:tc>
          <w:tcPr>
            <w:tcW w:w="813" w:type="dxa"/>
            <w:vAlign w:val="center"/>
          </w:tcPr>
          <w:p w14:paraId="678234E7" w14:textId="77777777" w:rsidR="004B6F12" w:rsidRPr="004B6F12" w:rsidRDefault="004B6F12" w:rsidP="004B6F12">
            <w:pPr>
              <w:spacing w:before="40" w:after="0"/>
              <w:jc w:val="center"/>
              <w:rPr>
                <w:rFonts w:eastAsia="Times New Roman"/>
                <w:lang w:val="en-GB" w:eastAsia="de-DE"/>
              </w:rPr>
            </w:pPr>
          </w:p>
        </w:tc>
        <w:tc>
          <w:tcPr>
            <w:tcW w:w="984" w:type="dxa"/>
            <w:vAlign w:val="center"/>
          </w:tcPr>
          <w:p w14:paraId="09347ADB" w14:textId="77777777" w:rsidR="004B6F12" w:rsidRPr="004B6F12" w:rsidDel="00C931DB" w:rsidRDefault="004B6F12" w:rsidP="004B6F12">
            <w:pPr>
              <w:spacing w:before="40" w:after="0"/>
              <w:jc w:val="center"/>
              <w:rPr>
                <w:rFonts w:eastAsia="Times New Roman"/>
                <w:lang w:val="en-GB" w:eastAsia="de-DE"/>
              </w:rPr>
            </w:pPr>
            <w:r w:rsidRPr="004B6F12">
              <w:rPr>
                <w:rFonts w:eastAsia="Times New Roman"/>
                <w:lang w:val="en-GB" w:eastAsia="de-DE"/>
              </w:rPr>
              <w:t>160</w:t>
            </w:r>
          </w:p>
        </w:tc>
        <w:tc>
          <w:tcPr>
            <w:tcW w:w="984" w:type="dxa"/>
            <w:vAlign w:val="center"/>
          </w:tcPr>
          <w:p w14:paraId="3D59DD7B" w14:textId="77777777" w:rsidR="004B6F12" w:rsidRPr="004B6F12" w:rsidRDefault="004B6F12" w:rsidP="004B6F12">
            <w:pPr>
              <w:spacing w:before="40" w:after="0"/>
              <w:jc w:val="center"/>
              <w:rPr>
                <w:rFonts w:eastAsia="Times New Roman"/>
                <w:lang w:val="en-GB" w:eastAsia="de-DE"/>
              </w:rPr>
            </w:pPr>
            <w:r w:rsidRPr="004B6F12">
              <w:rPr>
                <w:rFonts w:eastAsia="Times New Roman"/>
                <w:lang w:val="en-GB" w:eastAsia="de-DE"/>
              </w:rPr>
              <w:t>5 000</w:t>
            </w:r>
          </w:p>
        </w:tc>
      </w:tr>
      <w:tr w:rsidR="004B6F12" w:rsidRPr="004B6F12" w14:paraId="54F2C542" w14:textId="77777777" w:rsidTr="00EE2B72">
        <w:trPr>
          <w:cantSplit/>
          <w:trHeight w:hRule="exact" w:val="355"/>
        </w:trPr>
        <w:tc>
          <w:tcPr>
            <w:tcW w:w="3397" w:type="dxa"/>
            <w:tcBorders>
              <w:left w:val="single" w:sz="4" w:space="0" w:color="auto"/>
            </w:tcBorders>
          </w:tcPr>
          <w:p w14:paraId="7D7E9A89" w14:textId="77777777" w:rsidR="004B6F12" w:rsidRPr="004B6F12" w:rsidRDefault="004B6F12" w:rsidP="004B6F12">
            <w:pPr>
              <w:spacing w:before="0" w:after="0"/>
              <w:jc w:val="left"/>
              <w:rPr>
                <w:rFonts w:eastAsia="Times New Roman"/>
                <w:b/>
                <w:lang w:eastAsia="de-DE"/>
              </w:rPr>
            </w:pPr>
            <w:r w:rsidRPr="004B6F12">
              <w:rPr>
                <w:rFonts w:eastAsia="Times New Roman"/>
                <w:b/>
                <w:lang w:eastAsia="de-DE"/>
              </w:rPr>
              <w:t>Sulfat</w:t>
            </w:r>
          </w:p>
        </w:tc>
        <w:tc>
          <w:tcPr>
            <w:tcW w:w="768" w:type="dxa"/>
          </w:tcPr>
          <w:p w14:paraId="7CFB6836" w14:textId="77777777" w:rsidR="004B6F12" w:rsidRPr="004B6F12" w:rsidRDefault="004B6F12" w:rsidP="004B6F12">
            <w:pPr>
              <w:spacing w:before="0" w:after="0"/>
              <w:jc w:val="left"/>
              <w:rPr>
                <w:rFonts w:eastAsia="Times New Roman"/>
                <w:lang w:eastAsia="de-DE"/>
              </w:rPr>
            </w:pPr>
            <w:r w:rsidRPr="004B6F12">
              <w:rPr>
                <w:rFonts w:eastAsia="Times New Roman"/>
                <w:lang w:eastAsia="de-DE"/>
              </w:rPr>
              <w:t>mg/l</w:t>
            </w:r>
          </w:p>
        </w:tc>
        <w:tc>
          <w:tcPr>
            <w:tcW w:w="837" w:type="dxa"/>
            <w:vAlign w:val="center"/>
          </w:tcPr>
          <w:p w14:paraId="53D9D5EE" w14:textId="77777777" w:rsidR="004B6F12" w:rsidRPr="004B6F12" w:rsidRDefault="004B6F12" w:rsidP="004B6F12">
            <w:pPr>
              <w:spacing w:before="0" w:after="0"/>
              <w:jc w:val="center"/>
              <w:rPr>
                <w:rFonts w:eastAsia="Times New Roman"/>
                <w:lang w:eastAsia="de-DE"/>
              </w:rPr>
            </w:pPr>
          </w:p>
        </w:tc>
        <w:tc>
          <w:tcPr>
            <w:tcW w:w="837" w:type="dxa"/>
            <w:vAlign w:val="center"/>
          </w:tcPr>
          <w:p w14:paraId="66F0DE1B" w14:textId="77777777" w:rsidR="004B6F12" w:rsidRPr="004B6F12" w:rsidRDefault="004B6F12" w:rsidP="004B6F12">
            <w:pPr>
              <w:spacing w:before="0" w:after="0"/>
              <w:jc w:val="center"/>
              <w:rPr>
                <w:rFonts w:eastAsia="Times New Roman"/>
                <w:lang w:eastAsia="de-DE"/>
              </w:rPr>
            </w:pPr>
          </w:p>
        </w:tc>
        <w:tc>
          <w:tcPr>
            <w:tcW w:w="813" w:type="dxa"/>
            <w:vAlign w:val="center"/>
          </w:tcPr>
          <w:p w14:paraId="4185990F" w14:textId="77777777" w:rsidR="004B6F12" w:rsidRPr="004B6F12" w:rsidRDefault="004B6F12" w:rsidP="004B6F12">
            <w:pPr>
              <w:spacing w:before="40" w:after="0"/>
              <w:jc w:val="center"/>
              <w:rPr>
                <w:rFonts w:eastAsia="Times New Roman"/>
                <w:lang w:val="en-GB" w:eastAsia="de-DE"/>
              </w:rPr>
            </w:pPr>
          </w:p>
        </w:tc>
        <w:tc>
          <w:tcPr>
            <w:tcW w:w="703" w:type="dxa"/>
            <w:vAlign w:val="center"/>
          </w:tcPr>
          <w:p w14:paraId="3D4DB9D4" w14:textId="77777777" w:rsidR="004B6F12" w:rsidRPr="004B6F12" w:rsidRDefault="004B6F12" w:rsidP="004B6F12">
            <w:pPr>
              <w:spacing w:before="40" w:after="0"/>
              <w:jc w:val="center"/>
              <w:rPr>
                <w:rFonts w:eastAsia="Times New Roman"/>
                <w:lang w:val="en-GB" w:eastAsia="de-DE"/>
              </w:rPr>
            </w:pPr>
          </w:p>
        </w:tc>
        <w:tc>
          <w:tcPr>
            <w:tcW w:w="691" w:type="dxa"/>
            <w:vAlign w:val="center"/>
          </w:tcPr>
          <w:p w14:paraId="69DECAA3" w14:textId="77777777" w:rsidR="004B6F12" w:rsidRPr="004B6F12" w:rsidRDefault="004B6F12" w:rsidP="004B6F12">
            <w:pPr>
              <w:spacing w:before="40" w:after="0"/>
              <w:jc w:val="center"/>
              <w:rPr>
                <w:rFonts w:eastAsia="Times New Roman"/>
                <w:lang w:val="en-GB" w:eastAsia="de-DE"/>
              </w:rPr>
            </w:pPr>
            <w:r w:rsidRPr="004B6F12">
              <w:rPr>
                <w:rFonts w:eastAsia="Times New Roman"/>
                <w:lang w:val="en-GB" w:eastAsia="de-DE"/>
              </w:rPr>
              <w:t>600</w:t>
            </w:r>
          </w:p>
        </w:tc>
        <w:tc>
          <w:tcPr>
            <w:tcW w:w="752" w:type="dxa"/>
            <w:vAlign w:val="center"/>
          </w:tcPr>
          <w:p w14:paraId="2310BA24" w14:textId="77777777" w:rsidR="004B6F12" w:rsidRPr="004B6F12" w:rsidRDefault="004B6F12" w:rsidP="004B6F12">
            <w:pPr>
              <w:spacing w:before="40" w:after="0"/>
              <w:jc w:val="center"/>
              <w:rPr>
                <w:rFonts w:eastAsia="Times New Roman"/>
                <w:lang w:val="en-GB" w:eastAsia="de-DE"/>
              </w:rPr>
            </w:pPr>
            <w:r w:rsidRPr="004B6F12">
              <w:rPr>
                <w:rFonts w:eastAsia="Times New Roman"/>
                <w:lang w:val="en-GB" w:eastAsia="de-DE"/>
              </w:rPr>
              <w:t>4 500</w:t>
            </w:r>
          </w:p>
        </w:tc>
        <w:tc>
          <w:tcPr>
            <w:tcW w:w="813" w:type="dxa"/>
            <w:vAlign w:val="center"/>
          </w:tcPr>
          <w:p w14:paraId="53C1B245" w14:textId="77777777" w:rsidR="004B6F12" w:rsidRPr="004B6F12" w:rsidRDefault="004B6F12" w:rsidP="004B6F12">
            <w:pPr>
              <w:spacing w:before="40" w:after="0"/>
              <w:jc w:val="center"/>
              <w:rPr>
                <w:rFonts w:eastAsia="Times New Roman"/>
                <w:lang w:val="en-GB" w:eastAsia="de-DE"/>
              </w:rPr>
            </w:pPr>
            <w:r w:rsidRPr="004B6F12">
              <w:rPr>
                <w:rFonts w:eastAsia="Times New Roman"/>
                <w:lang w:val="en-GB" w:eastAsia="de-DE"/>
              </w:rPr>
              <w:t>2 500</w:t>
            </w:r>
          </w:p>
        </w:tc>
        <w:tc>
          <w:tcPr>
            <w:tcW w:w="984" w:type="dxa"/>
            <w:vAlign w:val="center"/>
          </w:tcPr>
          <w:p w14:paraId="48E0EDF0" w14:textId="77777777" w:rsidR="004B6F12" w:rsidRPr="004B6F12" w:rsidRDefault="004B6F12" w:rsidP="004B6F12">
            <w:pPr>
              <w:spacing w:before="40" w:after="0"/>
              <w:jc w:val="center"/>
              <w:rPr>
                <w:rFonts w:eastAsia="Times New Roman"/>
                <w:lang w:val="en-GB" w:eastAsia="de-DE"/>
              </w:rPr>
            </w:pPr>
            <w:r w:rsidRPr="004B6F12">
              <w:rPr>
                <w:rFonts w:eastAsia="Times New Roman"/>
                <w:lang w:val="en-GB" w:eastAsia="de-DE"/>
              </w:rPr>
              <w:t>820</w:t>
            </w:r>
          </w:p>
        </w:tc>
        <w:tc>
          <w:tcPr>
            <w:tcW w:w="984" w:type="dxa"/>
            <w:vAlign w:val="center"/>
          </w:tcPr>
          <w:p w14:paraId="7814E71A" w14:textId="77777777" w:rsidR="004B6F12" w:rsidRPr="004B6F12" w:rsidRDefault="004B6F12" w:rsidP="004B6F12">
            <w:pPr>
              <w:spacing w:before="40" w:after="0"/>
              <w:jc w:val="center"/>
              <w:rPr>
                <w:rFonts w:eastAsia="Times New Roman"/>
                <w:lang w:val="en-GB" w:eastAsia="de-DE"/>
              </w:rPr>
            </w:pPr>
            <w:r w:rsidRPr="004B6F12">
              <w:rPr>
                <w:rFonts w:eastAsia="Times New Roman"/>
                <w:lang w:val="en-GB" w:eastAsia="de-DE"/>
              </w:rPr>
              <w:t>3 000</w:t>
            </w:r>
          </w:p>
        </w:tc>
      </w:tr>
      <w:tr w:rsidR="004B6F12" w:rsidRPr="004B6F12" w14:paraId="79F08837" w14:textId="77777777" w:rsidTr="00EE2B72">
        <w:trPr>
          <w:cantSplit/>
          <w:trHeight w:hRule="exact" w:val="338"/>
        </w:trPr>
        <w:tc>
          <w:tcPr>
            <w:tcW w:w="3397" w:type="dxa"/>
            <w:tcBorders>
              <w:left w:val="single" w:sz="4" w:space="0" w:color="auto"/>
            </w:tcBorders>
          </w:tcPr>
          <w:p w14:paraId="008655B7" w14:textId="77777777" w:rsidR="004B6F12" w:rsidRPr="004B6F12" w:rsidRDefault="004B6F12" w:rsidP="004B6F12">
            <w:pPr>
              <w:spacing w:before="0" w:after="0"/>
              <w:jc w:val="left"/>
              <w:rPr>
                <w:rFonts w:eastAsia="Times New Roman"/>
                <w:b/>
                <w:lang w:eastAsia="de-DE"/>
              </w:rPr>
            </w:pPr>
            <w:r w:rsidRPr="004B6F12">
              <w:rPr>
                <w:rFonts w:eastAsia="Times New Roman"/>
                <w:b/>
                <w:lang w:eastAsia="de-DE"/>
              </w:rPr>
              <w:t>Fluorid</w:t>
            </w:r>
          </w:p>
        </w:tc>
        <w:tc>
          <w:tcPr>
            <w:tcW w:w="768" w:type="dxa"/>
          </w:tcPr>
          <w:p w14:paraId="3C92EDB3" w14:textId="77777777" w:rsidR="004B6F12" w:rsidRPr="004B6F12" w:rsidRDefault="004B6F12" w:rsidP="004B6F12">
            <w:pPr>
              <w:spacing w:before="0" w:after="0"/>
              <w:jc w:val="left"/>
              <w:rPr>
                <w:rFonts w:eastAsia="Times New Roman"/>
                <w:lang w:eastAsia="de-DE"/>
              </w:rPr>
            </w:pPr>
            <w:r w:rsidRPr="004B6F12">
              <w:rPr>
                <w:rFonts w:eastAsia="Times New Roman"/>
                <w:lang w:eastAsia="de-DE"/>
              </w:rPr>
              <w:t>mg/l</w:t>
            </w:r>
          </w:p>
        </w:tc>
        <w:tc>
          <w:tcPr>
            <w:tcW w:w="837" w:type="dxa"/>
            <w:vAlign w:val="center"/>
          </w:tcPr>
          <w:p w14:paraId="6BB5C9E9" w14:textId="77777777" w:rsidR="004B6F12" w:rsidRPr="004B6F12" w:rsidRDefault="004B6F12" w:rsidP="004B6F12">
            <w:pPr>
              <w:spacing w:before="0" w:after="0"/>
              <w:jc w:val="center"/>
              <w:rPr>
                <w:rFonts w:eastAsia="Times New Roman"/>
                <w:lang w:eastAsia="de-DE"/>
              </w:rPr>
            </w:pPr>
          </w:p>
        </w:tc>
        <w:tc>
          <w:tcPr>
            <w:tcW w:w="837" w:type="dxa"/>
            <w:vAlign w:val="center"/>
          </w:tcPr>
          <w:p w14:paraId="380FEBCD" w14:textId="77777777" w:rsidR="004B6F12" w:rsidRPr="004B6F12" w:rsidRDefault="004B6F12" w:rsidP="004B6F12">
            <w:pPr>
              <w:spacing w:before="0" w:after="0"/>
              <w:jc w:val="center"/>
              <w:rPr>
                <w:rFonts w:eastAsia="Times New Roman"/>
                <w:lang w:eastAsia="de-DE"/>
              </w:rPr>
            </w:pPr>
          </w:p>
        </w:tc>
        <w:tc>
          <w:tcPr>
            <w:tcW w:w="813" w:type="dxa"/>
            <w:vAlign w:val="center"/>
          </w:tcPr>
          <w:p w14:paraId="55D5F090"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8,7</w:t>
            </w:r>
          </w:p>
        </w:tc>
        <w:tc>
          <w:tcPr>
            <w:tcW w:w="703" w:type="dxa"/>
            <w:vAlign w:val="center"/>
          </w:tcPr>
          <w:p w14:paraId="0B7A9D08" w14:textId="77777777" w:rsidR="004B6F12" w:rsidRPr="004B6F12" w:rsidRDefault="004B6F12" w:rsidP="004B6F12">
            <w:pPr>
              <w:spacing w:before="40" w:after="0"/>
              <w:jc w:val="center"/>
              <w:rPr>
                <w:rFonts w:eastAsia="Times New Roman"/>
                <w:lang w:eastAsia="de-DE"/>
              </w:rPr>
            </w:pPr>
          </w:p>
        </w:tc>
        <w:tc>
          <w:tcPr>
            <w:tcW w:w="691" w:type="dxa"/>
            <w:vAlign w:val="center"/>
          </w:tcPr>
          <w:p w14:paraId="79E6F1C7" w14:textId="77777777" w:rsidR="004B6F12" w:rsidRPr="004B6F12" w:rsidRDefault="004B6F12" w:rsidP="004B6F12">
            <w:pPr>
              <w:spacing w:before="40" w:after="0"/>
              <w:jc w:val="center"/>
              <w:rPr>
                <w:rFonts w:eastAsia="Times New Roman"/>
                <w:lang w:eastAsia="de-DE"/>
              </w:rPr>
            </w:pPr>
          </w:p>
        </w:tc>
        <w:tc>
          <w:tcPr>
            <w:tcW w:w="752" w:type="dxa"/>
            <w:vAlign w:val="center"/>
          </w:tcPr>
          <w:p w14:paraId="2BD65023" w14:textId="77777777" w:rsidR="004B6F12" w:rsidRPr="004B6F12" w:rsidRDefault="004B6F12" w:rsidP="004B6F12">
            <w:pPr>
              <w:spacing w:before="40" w:after="0"/>
              <w:jc w:val="center"/>
              <w:rPr>
                <w:rFonts w:eastAsia="Times New Roman"/>
                <w:lang w:eastAsia="de-DE"/>
              </w:rPr>
            </w:pPr>
          </w:p>
        </w:tc>
        <w:tc>
          <w:tcPr>
            <w:tcW w:w="813" w:type="dxa"/>
            <w:vAlign w:val="center"/>
          </w:tcPr>
          <w:p w14:paraId="57CD1778" w14:textId="77777777" w:rsidR="004B6F12" w:rsidRPr="004B6F12" w:rsidRDefault="004B6F12" w:rsidP="004B6F12">
            <w:pPr>
              <w:spacing w:before="40" w:after="0"/>
              <w:jc w:val="center"/>
              <w:rPr>
                <w:rFonts w:eastAsia="Times New Roman"/>
                <w:lang w:eastAsia="de-DE"/>
              </w:rPr>
            </w:pPr>
          </w:p>
        </w:tc>
        <w:tc>
          <w:tcPr>
            <w:tcW w:w="984" w:type="dxa"/>
            <w:vAlign w:val="center"/>
          </w:tcPr>
          <w:p w14:paraId="720A3EBE" w14:textId="77777777" w:rsidR="004B6F12" w:rsidRPr="004B6F12" w:rsidRDefault="004B6F12" w:rsidP="004B6F12">
            <w:pPr>
              <w:spacing w:before="40" w:after="0"/>
              <w:jc w:val="center"/>
              <w:rPr>
                <w:rFonts w:eastAsia="Times New Roman"/>
                <w:lang w:eastAsia="de-DE"/>
              </w:rPr>
            </w:pPr>
          </w:p>
        </w:tc>
        <w:tc>
          <w:tcPr>
            <w:tcW w:w="984" w:type="dxa"/>
            <w:vAlign w:val="center"/>
          </w:tcPr>
          <w:p w14:paraId="0E15EB4C" w14:textId="77777777" w:rsidR="004B6F12" w:rsidRPr="004B6F12" w:rsidRDefault="004B6F12" w:rsidP="004B6F12">
            <w:pPr>
              <w:spacing w:before="40" w:after="0"/>
              <w:jc w:val="center"/>
              <w:rPr>
                <w:rFonts w:eastAsia="Times New Roman"/>
                <w:lang w:eastAsia="de-DE"/>
              </w:rPr>
            </w:pPr>
          </w:p>
        </w:tc>
      </w:tr>
      <w:tr w:rsidR="004B6F12" w:rsidRPr="004B6F12" w14:paraId="33D2E874" w14:textId="77777777" w:rsidTr="00EE2B72">
        <w:trPr>
          <w:cantSplit/>
          <w:trHeight w:hRule="exact" w:val="300"/>
        </w:trPr>
        <w:tc>
          <w:tcPr>
            <w:tcW w:w="3397" w:type="dxa"/>
            <w:tcBorders>
              <w:left w:val="single" w:sz="4" w:space="0" w:color="auto"/>
            </w:tcBorders>
          </w:tcPr>
          <w:p w14:paraId="1BA69C5F" w14:textId="77777777" w:rsidR="004B6F12" w:rsidRPr="004B6F12" w:rsidRDefault="004B6F12" w:rsidP="004B6F12">
            <w:pPr>
              <w:spacing w:before="0" w:after="0"/>
              <w:jc w:val="left"/>
              <w:rPr>
                <w:rFonts w:eastAsia="Times New Roman"/>
                <w:b/>
                <w:lang w:eastAsia="de-DE"/>
              </w:rPr>
            </w:pPr>
            <w:r w:rsidRPr="004B6F12">
              <w:rPr>
                <w:rFonts w:eastAsia="Times New Roman"/>
                <w:b/>
                <w:lang w:eastAsia="de-DE"/>
              </w:rPr>
              <w:t>DOC</w:t>
            </w:r>
          </w:p>
        </w:tc>
        <w:tc>
          <w:tcPr>
            <w:tcW w:w="768" w:type="dxa"/>
          </w:tcPr>
          <w:p w14:paraId="61C99BB0" w14:textId="77777777" w:rsidR="004B6F12" w:rsidRPr="004B6F12" w:rsidRDefault="004B6F12" w:rsidP="004B6F12">
            <w:pPr>
              <w:spacing w:before="0" w:after="0"/>
              <w:jc w:val="left"/>
              <w:rPr>
                <w:rFonts w:eastAsia="Times New Roman"/>
                <w:lang w:eastAsia="de-DE"/>
              </w:rPr>
            </w:pPr>
            <w:r w:rsidRPr="004B6F12">
              <w:rPr>
                <w:rFonts w:eastAsia="Times New Roman"/>
                <w:lang w:eastAsia="de-DE"/>
              </w:rPr>
              <w:t>mg/l</w:t>
            </w:r>
          </w:p>
        </w:tc>
        <w:tc>
          <w:tcPr>
            <w:tcW w:w="837" w:type="dxa"/>
            <w:vAlign w:val="center"/>
          </w:tcPr>
          <w:p w14:paraId="0E668B1A" w14:textId="77777777" w:rsidR="004B6F12" w:rsidRPr="004B6F12" w:rsidRDefault="004B6F12" w:rsidP="004B6F12">
            <w:pPr>
              <w:spacing w:before="0" w:after="0"/>
              <w:jc w:val="center"/>
              <w:rPr>
                <w:rFonts w:eastAsia="Times New Roman"/>
                <w:lang w:eastAsia="de-DE"/>
              </w:rPr>
            </w:pPr>
          </w:p>
        </w:tc>
        <w:tc>
          <w:tcPr>
            <w:tcW w:w="837" w:type="dxa"/>
            <w:vAlign w:val="center"/>
          </w:tcPr>
          <w:p w14:paraId="0EF327F6" w14:textId="77777777" w:rsidR="004B6F12" w:rsidRPr="004B6F12" w:rsidRDefault="004B6F12" w:rsidP="004B6F12">
            <w:pPr>
              <w:spacing w:before="0" w:after="0"/>
              <w:jc w:val="center"/>
              <w:rPr>
                <w:rFonts w:eastAsia="Times New Roman"/>
                <w:lang w:eastAsia="de-DE"/>
              </w:rPr>
            </w:pPr>
          </w:p>
        </w:tc>
        <w:tc>
          <w:tcPr>
            <w:tcW w:w="813" w:type="dxa"/>
            <w:vAlign w:val="center"/>
          </w:tcPr>
          <w:p w14:paraId="2150AEBC" w14:textId="77777777" w:rsidR="004B6F12" w:rsidRPr="004B6F12" w:rsidRDefault="004B6F12" w:rsidP="004B6F12">
            <w:pPr>
              <w:spacing w:before="40" w:after="0"/>
              <w:jc w:val="center"/>
              <w:rPr>
                <w:rFonts w:eastAsia="Times New Roman"/>
                <w:lang w:val="en-GB" w:eastAsia="de-DE"/>
              </w:rPr>
            </w:pPr>
            <w:r w:rsidRPr="004B6F12">
              <w:rPr>
                <w:rFonts w:eastAsia="Times New Roman"/>
                <w:lang w:eastAsia="de-DE"/>
              </w:rPr>
              <w:t>30</w:t>
            </w:r>
          </w:p>
        </w:tc>
        <w:tc>
          <w:tcPr>
            <w:tcW w:w="703" w:type="dxa"/>
            <w:vAlign w:val="center"/>
          </w:tcPr>
          <w:p w14:paraId="2F4C15C6" w14:textId="77777777" w:rsidR="004B6F12" w:rsidRPr="004B6F12" w:rsidRDefault="004B6F12" w:rsidP="004B6F12">
            <w:pPr>
              <w:spacing w:before="40" w:after="0"/>
              <w:jc w:val="center"/>
              <w:rPr>
                <w:rFonts w:eastAsia="Times New Roman"/>
                <w:lang w:val="en-GB" w:eastAsia="de-DE"/>
              </w:rPr>
            </w:pPr>
          </w:p>
        </w:tc>
        <w:tc>
          <w:tcPr>
            <w:tcW w:w="691" w:type="dxa"/>
            <w:vAlign w:val="center"/>
          </w:tcPr>
          <w:p w14:paraId="14EC1E9B" w14:textId="77777777" w:rsidR="004B6F12" w:rsidRPr="004B6F12" w:rsidRDefault="004B6F12" w:rsidP="004B6F12">
            <w:pPr>
              <w:spacing w:before="40" w:after="0"/>
              <w:jc w:val="center"/>
              <w:rPr>
                <w:rFonts w:eastAsia="Times New Roman"/>
                <w:lang w:val="en-GB" w:eastAsia="de-DE"/>
              </w:rPr>
            </w:pPr>
          </w:p>
        </w:tc>
        <w:tc>
          <w:tcPr>
            <w:tcW w:w="752" w:type="dxa"/>
            <w:vAlign w:val="center"/>
          </w:tcPr>
          <w:p w14:paraId="415ED356" w14:textId="77777777" w:rsidR="004B6F12" w:rsidRPr="004B6F12" w:rsidRDefault="004B6F12" w:rsidP="004B6F12">
            <w:pPr>
              <w:spacing w:before="40" w:after="0"/>
              <w:jc w:val="center"/>
              <w:rPr>
                <w:rFonts w:eastAsia="Times New Roman"/>
                <w:lang w:val="en-GB" w:eastAsia="de-DE"/>
              </w:rPr>
            </w:pPr>
          </w:p>
        </w:tc>
        <w:tc>
          <w:tcPr>
            <w:tcW w:w="813" w:type="dxa"/>
            <w:vAlign w:val="center"/>
          </w:tcPr>
          <w:p w14:paraId="6DDE5877" w14:textId="77777777" w:rsidR="004B6F12" w:rsidRPr="004B6F12" w:rsidRDefault="004B6F12" w:rsidP="004B6F12">
            <w:pPr>
              <w:spacing w:before="40" w:after="0"/>
              <w:jc w:val="center"/>
              <w:rPr>
                <w:rFonts w:eastAsia="Times New Roman"/>
                <w:strike/>
                <w:lang w:val="en-GB" w:eastAsia="de-DE"/>
              </w:rPr>
            </w:pPr>
          </w:p>
        </w:tc>
        <w:tc>
          <w:tcPr>
            <w:tcW w:w="984" w:type="dxa"/>
            <w:vAlign w:val="center"/>
          </w:tcPr>
          <w:p w14:paraId="05F4BF5A" w14:textId="77777777" w:rsidR="004B6F12" w:rsidRPr="004B6F12" w:rsidRDefault="004B6F12" w:rsidP="004B6F12">
            <w:pPr>
              <w:spacing w:before="40" w:after="0"/>
              <w:jc w:val="center"/>
              <w:rPr>
                <w:rFonts w:eastAsia="Times New Roman"/>
                <w:strike/>
                <w:lang w:val="en-GB" w:eastAsia="de-DE"/>
              </w:rPr>
            </w:pPr>
          </w:p>
        </w:tc>
        <w:tc>
          <w:tcPr>
            <w:tcW w:w="984" w:type="dxa"/>
            <w:vAlign w:val="center"/>
          </w:tcPr>
          <w:p w14:paraId="195D8563" w14:textId="77777777" w:rsidR="004B6F12" w:rsidRPr="004B6F12" w:rsidRDefault="004B6F12" w:rsidP="004B6F12">
            <w:pPr>
              <w:spacing w:before="40" w:after="0"/>
              <w:jc w:val="center"/>
              <w:rPr>
                <w:rFonts w:eastAsia="Times New Roman"/>
                <w:strike/>
                <w:lang w:val="en-GB" w:eastAsia="de-DE"/>
              </w:rPr>
            </w:pPr>
          </w:p>
        </w:tc>
      </w:tr>
      <w:tr w:rsidR="004B6F12" w:rsidRPr="004B6F12" w14:paraId="064B3774" w14:textId="77777777" w:rsidTr="00EE2B72">
        <w:trPr>
          <w:cantSplit/>
          <w:trHeight w:hRule="exact" w:val="300"/>
        </w:trPr>
        <w:tc>
          <w:tcPr>
            <w:tcW w:w="3397" w:type="dxa"/>
            <w:tcBorders>
              <w:left w:val="single" w:sz="4" w:space="0" w:color="auto"/>
            </w:tcBorders>
          </w:tcPr>
          <w:p w14:paraId="3D2C7A8A" w14:textId="77777777" w:rsidR="004B6F12" w:rsidRPr="004B6F12" w:rsidRDefault="004B6F12" w:rsidP="004B6F12">
            <w:pPr>
              <w:spacing w:before="0" w:after="0"/>
              <w:jc w:val="left"/>
              <w:rPr>
                <w:rFonts w:eastAsia="Times New Roman"/>
                <w:b/>
                <w:vertAlign w:val="superscript"/>
                <w:lang w:eastAsia="de-DE"/>
              </w:rPr>
            </w:pPr>
            <w:r w:rsidRPr="004B6F12">
              <w:rPr>
                <w:rFonts w:eastAsia="Times New Roman"/>
                <w:b/>
                <w:lang w:eastAsia="de-DE"/>
              </w:rPr>
              <w:t>PAK</w:t>
            </w:r>
            <w:r w:rsidRPr="004B6F12">
              <w:rPr>
                <w:rFonts w:eastAsia="Times New Roman"/>
                <w:b/>
                <w:vertAlign w:val="subscript"/>
                <w:lang w:val="en-GB" w:eastAsia="de-DE"/>
              </w:rPr>
              <w:t>15</w:t>
            </w:r>
            <w:r w:rsidRPr="004B6F12">
              <w:rPr>
                <w:rFonts w:eastAsia="Times New Roman"/>
                <w:b/>
                <w:vertAlign w:val="superscript"/>
                <w:lang w:val="en-GB" w:eastAsia="de-DE"/>
              </w:rPr>
              <w:t>3</w:t>
            </w:r>
          </w:p>
        </w:tc>
        <w:tc>
          <w:tcPr>
            <w:tcW w:w="768" w:type="dxa"/>
          </w:tcPr>
          <w:p w14:paraId="6E65D626" w14:textId="77777777" w:rsidR="004B6F12" w:rsidRPr="004B6F12" w:rsidRDefault="004B6F12" w:rsidP="004B6F12">
            <w:pPr>
              <w:spacing w:before="0" w:after="0"/>
              <w:jc w:val="left"/>
              <w:rPr>
                <w:rFonts w:eastAsia="Times New Roman"/>
                <w:lang w:eastAsia="de-DE"/>
              </w:rPr>
            </w:pPr>
            <w:r w:rsidRPr="004B6F12">
              <w:rPr>
                <w:rFonts w:eastAsia="Times New Roman"/>
                <w:lang w:eastAsia="de-DE"/>
              </w:rPr>
              <w:t>µg/l</w:t>
            </w:r>
          </w:p>
        </w:tc>
        <w:tc>
          <w:tcPr>
            <w:tcW w:w="837" w:type="dxa"/>
            <w:vAlign w:val="center"/>
          </w:tcPr>
          <w:p w14:paraId="53D55DB9" w14:textId="77777777" w:rsidR="004B6F12" w:rsidRPr="004B6F12" w:rsidRDefault="004B6F12" w:rsidP="004B6F12">
            <w:pPr>
              <w:spacing w:before="0" w:after="0"/>
              <w:jc w:val="center"/>
              <w:rPr>
                <w:rFonts w:eastAsia="Times New Roman"/>
                <w:lang w:eastAsia="de-DE"/>
              </w:rPr>
            </w:pPr>
          </w:p>
        </w:tc>
        <w:tc>
          <w:tcPr>
            <w:tcW w:w="837" w:type="dxa"/>
            <w:vAlign w:val="center"/>
          </w:tcPr>
          <w:p w14:paraId="3B796E08" w14:textId="77777777" w:rsidR="004B6F12" w:rsidRPr="004B6F12" w:rsidRDefault="004B6F12" w:rsidP="004B6F12">
            <w:pPr>
              <w:spacing w:before="0" w:after="0"/>
              <w:jc w:val="center"/>
              <w:rPr>
                <w:rFonts w:eastAsia="Times New Roman"/>
                <w:lang w:eastAsia="de-DE"/>
              </w:rPr>
            </w:pPr>
          </w:p>
        </w:tc>
        <w:tc>
          <w:tcPr>
            <w:tcW w:w="813" w:type="dxa"/>
            <w:vAlign w:val="center"/>
          </w:tcPr>
          <w:p w14:paraId="3C7EEAFE" w14:textId="77777777" w:rsidR="004B6F12" w:rsidRPr="004B6F12" w:rsidRDefault="004B6F12" w:rsidP="004B6F12">
            <w:pPr>
              <w:spacing w:before="40" w:after="0"/>
              <w:jc w:val="center"/>
              <w:rPr>
                <w:rFonts w:eastAsia="Times New Roman"/>
                <w:lang w:val="en-GB" w:eastAsia="de-DE"/>
              </w:rPr>
            </w:pPr>
          </w:p>
        </w:tc>
        <w:tc>
          <w:tcPr>
            <w:tcW w:w="703" w:type="dxa"/>
            <w:vAlign w:val="center"/>
          </w:tcPr>
          <w:p w14:paraId="6C09F40D" w14:textId="77777777" w:rsidR="004B6F12" w:rsidRPr="004B6F12" w:rsidRDefault="004B6F12" w:rsidP="004B6F12">
            <w:pPr>
              <w:spacing w:before="40" w:after="0"/>
              <w:jc w:val="center"/>
              <w:rPr>
                <w:rFonts w:eastAsia="Times New Roman"/>
                <w:lang w:val="en-GB" w:eastAsia="de-DE"/>
              </w:rPr>
            </w:pPr>
          </w:p>
        </w:tc>
        <w:tc>
          <w:tcPr>
            <w:tcW w:w="691" w:type="dxa"/>
            <w:vAlign w:val="center"/>
          </w:tcPr>
          <w:p w14:paraId="54E4987F" w14:textId="77777777" w:rsidR="004B6F12" w:rsidRPr="004B6F12" w:rsidRDefault="004B6F12" w:rsidP="004B6F12">
            <w:pPr>
              <w:spacing w:before="40" w:after="0"/>
              <w:jc w:val="center"/>
              <w:rPr>
                <w:rFonts w:eastAsia="Times New Roman"/>
                <w:lang w:val="en-GB" w:eastAsia="de-DE"/>
              </w:rPr>
            </w:pPr>
          </w:p>
        </w:tc>
        <w:tc>
          <w:tcPr>
            <w:tcW w:w="752" w:type="dxa"/>
            <w:vAlign w:val="center"/>
          </w:tcPr>
          <w:p w14:paraId="60BB310D" w14:textId="77777777" w:rsidR="004B6F12" w:rsidRPr="004B6F12" w:rsidRDefault="004B6F12" w:rsidP="004B6F12">
            <w:pPr>
              <w:spacing w:before="40" w:after="0"/>
              <w:jc w:val="center"/>
              <w:rPr>
                <w:rFonts w:eastAsia="Times New Roman"/>
                <w:lang w:val="en-GB" w:eastAsia="de-DE"/>
              </w:rPr>
            </w:pPr>
          </w:p>
        </w:tc>
        <w:tc>
          <w:tcPr>
            <w:tcW w:w="813" w:type="dxa"/>
            <w:vAlign w:val="center"/>
          </w:tcPr>
          <w:p w14:paraId="0855B5AA" w14:textId="77777777" w:rsidR="004B6F12" w:rsidRPr="004B6F12" w:rsidRDefault="004B6F12" w:rsidP="004B6F12">
            <w:pPr>
              <w:spacing w:before="40" w:after="0"/>
              <w:jc w:val="center"/>
              <w:rPr>
                <w:rFonts w:eastAsia="Times New Roman"/>
                <w:lang w:val="en-GB" w:eastAsia="de-DE"/>
              </w:rPr>
            </w:pPr>
          </w:p>
        </w:tc>
        <w:tc>
          <w:tcPr>
            <w:tcW w:w="984" w:type="dxa"/>
            <w:vAlign w:val="center"/>
          </w:tcPr>
          <w:p w14:paraId="5B26EA7C" w14:textId="77777777" w:rsidR="004B6F12" w:rsidRPr="004B6F12" w:rsidRDefault="004B6F12" w:rsidP="004B6F12">
            <w:pPr>
              <w:spacing w:before="40" w:after="0"/>
              <w:jc w:val="center"/>
              <w:rPr>
                <w:rFonts w:eastAsia="Times New Roman"/>
                <w:lang w:val="en-GB" w:eastAsia="de-DE"/>
              </w:rPr>
            </w:pPr>
          </w:p>
        </w:tc>
        <w:tc>
          <w:tcPr>
            <w:tcW w:w="984" w:type="dxa"/>
            <w:vAlign w:val="center"/>
          </w:tcPr>
          <w:p w14:paraId="7EFE8BEE" w14:textId="77777777" w:rsidR="004B6F12" w:rsidRPr="004B6F12" w:rsidRDefault="004B6F12" w:rsidP="004B6F12">
            <w:pPr>
              <w:spacing w:before="40" w:after="0"/>
              <w:jc w:val="center"/>
              <w:rPr>
                <w:rFonts w:eastAsia="Times New Roman"/>
                <w:lang w:val="en-GB" w:eastAsia="de-DE"/>
              </w:rPr>
            </w:pPr>
          </w:p>
        </w:tc>
      </w:tr>
      <w:tr w:rsidR="004B6F12" w:rsidRPr="004B6F12" w14:paraId="7D2E8B27" w14:textId="77777777" w:rsidTr="00EE2B72">
        <w:trPr>
          <w:cantSplit/>
          <w:trHeight w:hRule="exact" w:val="300"/>
        </w:trPr>
        <w:tc>
          <w:tcPr>
            <w:tcW w:w="3397" w:type="dxa"/>
            <w:tcBorders>
              <w:left w:val="single" w:sz="4" w:space="0" w:color="auto"/>
            </w:tcBorders>
          </w:tcPr>
          <w:p w14:paraId="0E9B18B6" w14:textId="77777777" w:rsidR="004B6F12" w:rsidRPr="004B6F12" w:rsidRDefault="004B6F12" w:rsidP="004B6F12">
            <w:pPr>
              <w:spacing w:before="0" w:after="0"/>
              <w:jc w:val="left"/>
              <w:rPr>
                <w:rFonts w:eastAsia="Times New Roman"/>
                <w:b/>
                <w:vertAlign w:val="superscript"/>
                <w:lang w:eastAsia="de-DE"/>
              </w:rPr>
            </w:pPr>
            <w:r w:rsidRPr="004B6F12">
              <w:rPr>
                <w:rFonts w:eastAsia="Times New Roman"/>
                <w:b/>
                <w:lang w:eastAsia="de-DE"/>
              </w:rPr>
              <w:t>PAK</w:t>
            </w:r>
            <w:r w:rsidRPr="004B6F12">
              <w:rPr>
                <w:rFonts w:eastAsia="Times New Roman"/>
                <w:b/>
                <w:vertAlign w:val="subscript"/>
                <w:lang w:val="en-GB" w:eastAsia="de-DE"/>
              </w:rPr>
              <w:t>16</w:t>
            </w:r>
            <w:r w:rsidRPr="004B6F12">
              <w:rPr>
                <w:rFonts w:eastAsia="Times New Roman"/>
                <w:b/>
                <w:vertAlign w:val="superscript"/>
                <w:lang w:val="en-GB" w:eastAsia="de-DE"/>
              </w:rPr>
              <w:t>4</w:t>
            </w:r>
          </w:p>
        </w:tc>
        <w:tc>
          <w:tcPr>
            <w:tcW w:w="768" w:type="dxa"/>
          </w:tcPr>
          <w:p w14:paraId="6F0FC11A" w14:textId="77777777" w:rsidR="004B6F12" w:rsidRPr="004B6F12" w:rsidRDefault="004B6F12" w:rsidP="004B6F12">
            <w:pPr>
              <w:spacing w:before="0" w:after="0"/>
              <w:jc w:val="left"/>
              <w:rPr>
                <w:rFonts w:eastAsia="Times New Roman"/>
                <w:lang w:eastAsia="de-DE"/>
              </w:rPr>
            </w:pPr>
            <w:r w:rsidRPr="004B6F12">
              <w:rPr>
                <w:rFonts w:eastAsia="Times New Roman"/>
                <w:lang w:eastAsia="de-DE"/>
              </w:rPr>
              <w:t>mg/kg</w:t>
            </w:r>
          </w:p>
        </w:tc>
        <w:tc>
          <w:tcPr>
            <w:tcW w:w="837" w:type="dxa"/>
            <w:vAlign w:val="center"/>
          </w:tcPr>
          <w:p w14:paraId="4A6FEB1F" w14:textId="77777777" w:rsidR="004B6F12" w:rsidRPr="004B6F12" w:rsidRDefault="004B6F12" w:rsidP="004B6F12">
            <w:pPr>
              <w:spacing w:before="0" w:after="0"/>
              <w:jc w:val="center"/>
              <w:rPr>
                <w:rFonts w:eastAsia="Times New Roman"/>
                <w:lang w:eastAsia="de-DE"/>
              </w:rPr>
            </w:pPr>
          </w:p>
        </w:tc>
        <w:tc>
          <w:tcPr>
            <w:tcW w:w="837" w:type="dxa"/>
            <w:vAlign w:val="center"/>
          </w:tcPr>
          <w:p w14:paraId="429BD4A9" w14:textId="77777777" w:rsidR="004B6F12" w:rsidRPr="004B6F12" w:rsidRDefault="004B6F12" w:rsidP="004B6F12">
            <w:pPr>
              <w:spacing w:before="0" w:after="0"/>
              <w:jc w:val="center"/>
              <w:rPr>
                <w:rFonts w:eastAsia="Times New Roman"/>
                <w:lang w:eastAsia="de-DE"/>
              </w:rPr>
            </w:pPr>
          </w:p>
        </w:tc>
        <w:tc>
          <w:tcPr>
            <w:tcW w:w="813" w:type="dxa"/>
            <w:vAlign w:val="center"/>
          </w:tcPr>
          <w:p w14:paraId="6F3A2D69" w14:textId="77777777" w:rsidR="004B6F12" w:rsidRPr="004B6F12" w:rsidRDefault="004B6F12" w:rsidP="004B6F12">
            <w:pPr>
              <w:spacing w:before="40" w:after="0"/>
              <w:jc w:val="center"/>
              <w:rPr>
                <w:rFonts w:eastAsia="Times New Roman"/>
                <w:lang w:val="en-GB" w:eastAsia="de-DE"/>
              </w:rPr>
            </w:pPr>
          </w:p>
        </w:tc>
        <w:tc>
          <w:tcPr>
            <w:tcW w:w="703" w:type="dxa"/>
            <w:vAlign w:val="center"/>
          </w:tcPr>
          <w:p w14:paraId="25ED0311" w14:textId="77777777" w:rsidR="004B6F12" w:rsidRPr="004B6F12" w:rsidRDefault="004B6F12" w:rsidP="004B6F12">
            <w:pPr>
              <w:spacing w:before="40" w:after="0"/>
              <w:jc w:val="center"/>
              <w:rPr>
                <w:rFonts w:eastAsia="Times New Roman"/>
                <w:lang w:val="en-GB" w:eastAsia="de-DE"/>
              </w:rPr>
            </w:pPr>
          </w:p>
        </w:tc>
        <w:tc>
          <w:tcPr>
            <w:tcW w:w="691" w:type="dxa"/>
            <w:vAlign w:val="center"/>
          </w:tcPr>
          <w:p w14:paraId="109B68A3" w14:textId="77777777" w:rsidR="004B6F12" w:rsidRPr="004B6F12" w:rsidRDefault="004B6F12" w:rsidP="004B6F12">
            <w:pPr>
              <w:spacing w:before="40" w:after="0"/>
              <w:jc w:val="center"/>
              <w:rPr>
                <w:rFonts w:eastAsia="Times New Roman"/>
                <w:lang w:val="en-GB" w:eastAsia="de-DE"/>
              </w:rPr>
            </w:pPr>
          </w:p>
        </w:tc>
        <w:tc>
          <w:tcPr>
            <w:tcW w:w="752" w:type="dxa"/>
            <w:vAlign w:val="center"/>
          </w:tcPr>
          <w:p w14:paraId="3509F74D" w14:textId="77777777" w:rsidR="004B6F12" w:rsidRPr="004B6F12" w:rsidRDefault="004B6F12" w:rsidP="004B6F12">
            <w:pPr>
              <w:spacing w:before="40" w:after="0"/>
              <w:jc w:val="center"/>
              <w:rPr>
                <w:rFonts w:eastAsia="Times New Roman"/>
                <w:lang w:val="en-GB" w:eastAsia="de-DE"/>
              </w:rPr>
            </w:pPr>
          </w:p>
        </w:tc>
        <w:tc>
          <w:tcPr>
            <w:tcW w:w="813" w:type="dxa"/>
            <w:vAlign w:val="center"/>
          </w:tcPr>
          <w:p w14:paraId="5A6126C1" w14:textId="77777777" w:rsidR="004B6F12" w:rsidRPr="004B6F12" w:rsidRDefault="004B6F12" w:rsidP="004B6F12">
            <w:pPr>
              <w:spacing w:before="40" w:after="0"/>
              <w:jc w:val="center"/>
              <w:rPr>
                <w:rFonts w:eastAsia="Times New Roman"/>
                <w:lang w:val="en-GB" w:eastAsia="de-DE"/>
              </w:rPr>
            </w:pPr>
          </w:p>
        </w:tc>
        <w:tc>
          <w:tcPr>
            <w:tcW w:w="984" w:type="dxa"/>
            <w:vAlign w:val="center"/>
          </w:tcPr>
          <w:p w14:paraId="5C189586" w14:textId="77777777" w:rsidR="004B6F12" w:rsidRPr="004B6F12" w:rsidRDefault="004B6F12" w:rsidP="004B6F12">
            <w:pPr>
              <w:spacing w:before="40" w:after="0"/>
              <w:jc w:val="center"/>
              <w:rPr>
                <w:rFonts w:eastAsia="Times New Roman"/>
                <w:lang w:val="en-GB" w:eastAsia="de-DE"/>
              </w:rPr>
            </w:pPr>
          </w:p>
        </w:tc>
        <w:tc>
          <w:tcPr>
            <w:tcW w:w="984" w:type="dxa"/>
            <w:vAlign w:val="center"/>
          </w:tcPr>
          <w:p w14:paraId="362D2699" w14:textId="77777777" w:rsidR="004B6F12" w:rsidRPr="004B6F12" w:rsidRDefault="004B6F12" w:rsidP="004B6F12">
            <w:pPr>
              <w:spacing w:before="40" w:after="0"/>
              <w:jc w:val="center"/>
              <w:rPr>
                <w:rFonts w:eastAsia="Times New Roman"/>
                <w:lang w:val="en-GB" w:eastAsia="de-DE"/>
              </w:rPr>
            </w:pPr>
          </w:p>
        </w:tc>
      </w:tr>
      <w:tr w:rsidR="004B6F12" w:rsidRPr="004B6F12" w14:paraId="3C2A14DB" w14:textId="77777777" w:rsidTr="00EE2B72">
        <w:trPr>
          <w:cantSplit/>
          <w:trHeight w:hRule="exact" w:val="340"/>
        </w:trPr>
        <w:tc>
          <w:tcPr>
            <w:tcW w:w="3397" w:type="dxa"/>
            <w:tcBorders>
              <w:left w:val="single" w:sz="4" w:space="0" w:color="auto"/>
            </w:tcBorders>
          </w:tcPr>
          <w:p w14:paraId="7D9D539F" w14:textId="77777777" w:rsidR="004B6F12" w:rsidRPr="004B6F12" w:rsidRDefault="004B6F12" w:rsidP="004B6F12">
            <w:pPr>
              <w:spacing w:before="0" w:after="0"/>
              <w:jc w:val="left"/>
              <w:rPr>
                <w:rFonts w:eastAsia="Times New Roman"/>
                <w:b/>
                <w:lang w:eastAsia="de-DE"/>
              </w:rPr>
            </w:pPr>
            <w:r w:rsidRPr="004B6F12">
              <w:rPr>
                <w:rFonts w:eastAsia="Times New Roman"/>
                <w:b/>
                <w:lang w:eastAsia="de-DE"/>
              </w:rPr>
              <w:t>Antimon</w:t>
            </w:r>
          </w:p>
        </w:tc>
        <w:tc>
          <w:tcPr>
            <w:tcW w:w="768" w:type="dxa"/>
          </w:tcPr>
          <w:p w14:paraId="179DEFBA" w14:textId="77777777" w:rsidR="004B6F12" w:rsidRPr="004B6F12" w:rsidRDefault="004B6F12" w:rsidP="004B6F12">
            <w:pPr>
              <w:spacing w:before="0" w:after="0"/>
              <w:jc w:val="left"/>
              <w:rPr>
                <w:rFonts w:eastAsia="Times New Roman"/>
                <w:lang w:eastAsia="de-DE"/>
              </w:rPr>
            </w:pPr>
            <w:r w:rsidRPr="004B6F12">
              <w:rPr>
                <w:rFonts w:eastAsia="Times New Roman"/>
                <w:lang w:eastAsia="de-DE"/>
              </w:rPr>
              <w:t>µg/l</w:t>
            </w:r>
          </w:p>
        </w:tc>
        <w:tc>
          <w:tcPr>
            <w:tcW w:w="837" w:type="dxa"/>
            <w:vAlign w:val="center"/>
          </w:tcPr>
          <w:p w14:paraId="21027AE1" w14:textId="77777777" w:rsidR="004B6F12" w:rsidRPr="004B6F12" w:rsidRDefault="004B6F12" w:rsidP="004B6F12">
            <w:pPr>
              <w:spacing w:before="0" w:after="0"/>
              <w:jc w:val="center"/>
              <w:rPr>
                <w:rFonts w:eastAsia="Times New Roman"/>
                <w:lang w:eastAsia="de-DE"/>
              </w:rPr>
            </w:pPr>
            <w:r w:rsidRPr="004B6F12">
              <w:rPr>
                <w:rFonts w:eastAsia="Times New Roman"/>
                <w:lang w:eastAsia="de-DE"/>
              </w:rPr>
              <w:t>25</w:t>
            </w:r>
          </w:p>
        </w:tc>
        <w:tc>
          <w:tcPr>
            <w:tcW w:w="837" w:type="dxa"/>
            <w:vAlign w:val="center"/>
          </w:tcPr>
          <w:p w14:paraId="7730C813" w14:textId="77777777" w:rsidR="004B6F12" w:rsidRPr="004B6F12" w:rsidRDefault="004B6F12" w:rsidP="004B6F12">
            <w:pPr>
              <w:spacing w:before="0" w:after="0"/>
              <w:jc w:val="center"/>
              <w:rPr>
                <w:rFonts w:eastAsia="Times New Roman"/>
                <w:lang w:eastAsia="de-DE"/>
              </w:rPr>
            </w:pPr>
            <w:r w:rsidRPr="004B6F12">
              <w:rPr>
                <w:rFonts w:eastAsia="Times New Roman"/>
                <w:lang w:eastAsia="de-DE"/>
              </w:rPr>
              <w:t>25</w:t>
            </w:r>
          </w:p>
        </w:tc>
        <w:tc>
          <w:tcPr>
            <w:tcW w:w="813" w:type="dxa"/>
            <w:vAlign w:val="center"/>
          </w:tcPr>
          <w:p w14:paraId="257885E7" w14:textId="77777777" w:rsidR="004B6F12" w:rsidRPr="004B6F12" w:rsidRDefault="004B6F12" w:rsidP="004B6F12">
            <w:pPr>
              <w:spacing w:before="40" w:after="0"/>
              <w:jc w:val="center"/>
              <w:rPr>
                <w:rFonts w:eastAsia="Times New Roman"/>
                <w:lang w:val="en-GB" w:eastAsia="de-DE"/>
              </w:rPr>
            </w:pPr>
          </w:p>
        </w:tc>
        <w:tc>
          <w:tcPr>
            <w:tcW w:w="703" w:type="dxa"/>
            <w:vAlign w:val="center"/>
          </w:tcPr>
          <w:p w14:paraId="1BB5B248" w14:textId="77777777" w:rsidR="004B6F12" w:rsidRPr="004B6F12" w:rsidRDefault="004B6F12" w:rsidP="004B6F12">
            <w:pPr>
              <w:spacing w:before="40" w:after="0"/>
              <w:jc w:val="center"/>
              <w:rPr>
                <w:rFonts w:eastAsia="Times New Roman"/>
                <w:lang w:val="en-GB" w:eastAsia="de-DE"/>
              </w:rPr>
            </w:pPr>
          </w:p>
        </w:tc>
        <w:tc>
          <w:tcPr>
            <w:tcW w:w="691" w:type="dxa"/>
            <w:vAlign w:val="center"/>
          </w:tcPr>
          <w:p w14:paraId="248532F3" w14:textId="77777777" w:rsidR="004B6F12" w:rsidRPr="004B6F12" w:rsidRDefault="004B6F12" w:rsidP="004B6F12">
            <w:pPr>
              <w:spacing w:before="40" w:after="0"/>
              <w:jc w:val="center"/>
              <w:rPr>
                <w:rFonts w:eastAsia="Times New Roman"/>
                <w:lang w:val="en-GB" w:eastAsia="de-DE"/>
              </w:rPr>
            </w:pPr>
          </w:p>
        </w:tc>
        <w:tc>
          <w:tcPr>
            <w:tcW w:w="752" w:type="dxa"/>
            <w:vAlign w:val="center"/>
          </w:tcPr>
          <w:p w14:paraId="25004FFF" w14:textId="77777777" w:rsidR="004B6F12" w:rsidRPr="004B6F12" w:rsidRDefault="004B6F12" w:rsidP="004B6F12">
            <w:pPr>
              <w:spacing w:before="40" w:after="0"/>
              <w:jc w:val="center"/>
              <w:rPr>
                <w:rFonts w:eastAsia="Times New Roman"/>
                <w:lang w:val="en-GB" w:eastAsia="de-DE"/>
              </w:rPr>
            </w:pPr>
          </w:p>
        </w:tc>
        <w:tc>
          <w:tcPr>
            <w:tcW w:w="813" w:type="dxa"/>
            <w:vAlign w:val="center"/>
          </w:tcPr>
          <w:p w14:paraId="1809BA90" w14:textId="77777777" w:rsidR="004B6F12" w:rsidRPr="004B6F12" w:rsidRDefault="004B6F12" w:rsidP="004B6F12">
            <w:pPr>
              <w:spacing w:before="40" w:after="0"/>
              <w:jc w:val="center"/>
              <w:rPr>
                <w:rFonts w:eastAsia="Times New Roman"/>
                <w:lang w:val="en-GB" w:eastAsia="de-DE"/>
              </w:rPr>
            </w:pPr>
          </w:p>
        </w:tc>
        <w:tc>
          <w:tcPr>
            <w:tcW w:w="984" w:type="dxa"/>
            <w:vAlign w:val="center"/>
          </w:tcPr>
          <w:p w14:paraId="4846E062" w14:textId="77777777" w:rsidR="004B6F12" w:rsidRPr="004B6F12" w:rsidRDefault="004B6F12" w:rsidP="004B6F12">
            <w:pPr>
              <w:spacing w:before="40" w:after="0"/>
              <w:jc w:val="center"/>
              <w:rPr>
                <w:rFonts w:eastAsia="Times New Roman"/>
                <w:lang w:val="en-GB" w:eastAsia="de-DE"/>
              </w:rPr>
            </w:pPr>
            <w:r w:rsidRPr="004B6F12">
              <w:rPr>
                <w:rFonts w:eastAsia="Times New Roman"/>
                <w:lang w:val="en-GB" w:eastAsia="de-DE"/>
              </w:rPr>
              <w:t>10</w:t>
            </w:r>
          </w:p>
        </w:tc>
        <w:tc>
          <w:tcPr>
            <w:tcW w:w="984" w:type="dxa"/>
            <w:vAlign w:val="center"/>
          </w:tcPr>
          <w:p w14:paraId="621AE0AC" w14:textId="77777777" w:rsidR="004B6F12" w:rsidRPr="004B6F12" w:rsidRDefault="004B6F12" w:rsidP="004B6F12">
            <w:pPr>
              <w:spacing w:before="40" w:after="0"/>
              <w:jc w:val="center"/>
              <w:rPr>
                <w:rFonts w:eastAsia="Times New Roman"/>
                <w:lang w:val="en-GB" w:eastAsia="de-DE"/>
              </w:rPr>
            </w:pPr>
            <w:r w:rsidRPr="004B6F12">
              <w:rPr>
                <w:rFonts w:eastAsia="Times New Roman"/>
                <w:lang w:val="en-GB" w:eastAsia="de-DE"/>
              </w:rPr>
              <w:t>60</w:t>
            </w:r>
          </w:p>
        </w:tc>
      </w:tr>
      <w:tr w:rsidR="004B6F12" w:rsidRPr="004B6F12" w14:paraId="530C6373" w14:textId="77777777" w:rsidTr="00EE2B72">
        <w:trPr>
          <w:cantSplit/>
          <w:trHeight w:hRule="exact" w:val="259"/>
        </w:trPr>
        <w:tc>
          <w:tcPr>
            <w:tcW w:w="3397" w:type="dxa"/>
            <w:tcBorders>
              <w:left w:val="single" w:sz="4" w:space="0" w:color="auto"/>
            </w:tcBorders>
          </w:tcPr>
          <w:p w14:paraId="356EDE64" w14:textId="77777777" w:rsidR="004B6F12" w:rsidRPr="004B6F12" w:rsidRDefault="004B6F12" w:rsidP="004B6F12">
            <w:pPr>
              <w:spacing w:before="0" w:after="0"/>
              <w:jc w:val="left"/>
              <w:rPr>
                <w:rFonts w:eastAsia="Times New Roman"/>
                <w:b/>
                <w:lang w:eastAsia="de-DE"/>
              </w:rPr>
            </w:pPr>
            <w:r w:rsidRPr="004B6F12">
              <w:rPr>
                <w:rFonts w:eastAsia="Times New Roman"/>
                <w:b/>
                <w:lang w:eastAsia="de-DE"/>
              </w:rPr>
              <w:t>Arsen</w:t>
            </w:r>
          </w:p>
        </w:tc>
        <w:tc>
          <w:tcPr>
            <w:tcW w:w="768" w:type="dxa"/>
          </w:tcPr>
          <w:p w14:paraId="79566B15" w14:textId="77777777" w:rsidR="004B6F12" w:rsidRPr="004B6F12" w:rsidRDefault="004B6F12" w:rsidP="004B6F12">
            <w:pPr>
              <w:spacing w:before="0" w:after="0"/>
              <w:jc w:val="left"/>
              <w:rPr>
                <w:rFonts w:eastAsia="Times New Roman"/>
                <w:lang w:eastAsia="de-DE"/>
              </w:rPr>
            </w:pPr>
            <w:r w:rsidRPr="004B6F12">
              <w:rPr>
                <w:rFonts w:eastAsia="Times New Roman"/>
                <w:lang w:eastAsia="de-DE"/>
              </w:rPr>
              <w:t>µg/l</w:t>
            </w:r>
          </w:p>
        </w:tc>
        <w:tc>
          <w:tcPr>
            <w:tcW w:w="837" w:type="dxa"/>
            <w:vAlign w:val="center"/>
          </w:tcPr>
          <w:p w14:paraId="0356ECC9" w14:textId="77777777" w:rsidR="004B6F12" w:rsidRPr="004B6F12" w:rsidRDefault="004B6F12" w:rsidP="004B6F12">
            <w:pPr>
              <w:spacing w:before="0" w:after="0"/>
              <w:jc w:val="center"/>
              <w:rPr>
                <w:rFonts w:eastAsia="Times New Roman"/>
                <w:lang w:eastAsia="de-DE"/>
              </w:rPr>
            </w:pPr>
            <w:r w:rsidRPr="004B6F12">
              <w:rPr>
                <w:rFonts w:eastAsia="Times New Roman"/>
                <w:lang w:eastAsia="de-DE"/>
              </w:rPr>
              <w:t>55</w:t>
            </w:r>
          </w:p>
        </w:tc>
        <w:tc>
          <w:tcPr>
            <w:tcW w:w="837" w:type="dxa"/>
            <w:vAlign w:val="center"/>
          </w:tcPr>
          <w:p w14:paraId="38C67AB7" w14:textId="77777777" w:rsidR="004B6F12" w:rsidRPr="004B6F12" w:rsidRDefault="004B6F12" w:rsidP="004B6F12">
            <w:pPr>
              <w:spacing w:before="0" w:after="0"/>
              <w:jc w:val="center"/>
              <w:rPr>
                <w:rFonts w:eastAsia="Times New Roman"/>
                <w:lang w:eastAsia="de-DE"/>
              </w:rPr>
            </w:pPr>
            <w:r w:rsidRPr="004B6F12">
              <w:rPr>
                <w:rFonts w:eastAsia="Times New Roman"/>
                <w:lang w:eastAsia="de-DE"/>
              </w:rPr>
              <w:t>65</w:t>
            </w:r>
          </w:p>
        </w:tc>
        <w:tc>
          <w:tcPr>
            <w:tcW w:w="813" w:type="dxa"/>
            <w:vAlign w:val="center"/>
          </w:tcPr>
          <w:p w14:paraId="315E91F4" w14:textId="77777777" w:rsidR="004B6F12" w:rsidRPr="004B6F12" w:rsidRDefault="004B6F12" w:rsidP="004B6F12">
            <w:pPr>
              <w:spacing w:before="40" w:after="0"/>
              <w:jc w:val="center"/>
              <w:rPr>
                <w:rFonts w:eastAsia="Times New Roman"/>
                <w:lang w:val="en-GB" w:eastAsia="de-DE"/>
              </w:rPr>
            </w:pPr>
            <w:r w:rsidRPr="004B6F12">
              <w:rPr>
                <w:rFonts w:eastAsia="Times New Roman"/>
                <w:lang w:eastAsia="de-DE"/>
              </w:rPr>
              <w:t>65</w:t>
            </w:r>
          </w:p>
        </w:tc>
        <w:tc>
          <w:tcPr>
            <w:tcW w:w="703" w:type="dxa"/>
            <w:vAlign w:val="center"/>
          </w:tcPr>
          <w:p w14:paraId="1411FE75" w14:textId="77777777" w:rsidR="004B6F12" w:rsidRPr="004B6F12" w:rsidRDefault="004B6F12" w:rsidP="004B6F12">
            <w:pPr>
              <w:spacing w:before="40" w:after="0"/>
              <w:jc w:val="center"/>
              <w:rPr>
                <w:rFonts w:eastAsia="Times New Roman"/>
                <w:lang w:val="en-GB" w:eastAsia="de-DE"/>
              </w:rPr>
            </w:pPr>
          </w:p>
        </w:tc>
        <w:tc>
          <w:tcPr>
            <w:tcW w:w="691" w:type="dxa"/>
            <w:vAlign w:val="center"/>
          </w:tcPr>
          <w:p w14:paraId="115B868E" w14:textId="77777777" w:rsidR="004B6F12" w:rsidRPr="004B6F12" w:rsidRDefault="004B6F12" w:rsidP="004B6F12">
            <w:pPr>
              <w:spacing w:before="40" w:after="0"/>
              <w:jc w:val="center"/>
              <w:rPr>
                <w:rFonts w:eastAsia="Times New Roman"/>
                <w:lang w:val="en-GB" w:eastAsia="de-DE"/>
              </w:rPr>
            </w:pPr>
          </w:p>
        </w:tc>
        <w:tc>
          <w:tcPr>
            <w:tcW w:w="752" w:type="dxa"/>
            <w:vAlign w:val="center"/>
          </w:tcPr>
          <w:p w14:paraId="7F45A3F7" w14:textId="77777777" w:rsidR="004B6F12" w:rsidRPr="004B6F12" w:rsidRDefault="004B6F12" w:rsidP="004B6F12">
            <w:pPr>
              <w:spacing w:before="40" w:after="0"/>
              <w:jc w:val="center"/>
              <w:rPr>
                <w:rFonts w:eastAsia="Times New Roman"/>
                <w:lang w:val="en-GB" w:eastAsia="de-DE"/>
              </w:rPr>
            </w:pPr>
          </w:p>
        </w:tc>
        <w:tc>
          <w:tcPr>
            <w:tcW w:w="813" w:type="dxa"/>
            <w:vAlign w:val="center"/>
          </w:tcPr>
          <w:p w14:paraId="2DB02548" w14:textId="77777777" w:rsidR="004B6F12" w:rsidRPr="004B6F12" w:rsidRDefault="004B6F12" w:rsidP="004B6F12">
            <w:pPr>
              <w:spacing w:before="40" w:after="0"/>
              <w:jc w:val="center"/>
              <w:rPr>
                <w:rFonts w:eastAsia="Times New Roman"/>
                <w:lang w:val="en-GB" w:eastAsia="de-DE"/>
              </w:rPr>
            </w:pPr>
          </w:p>
        </w:tc>
        <w:tc>
          <w:tcPr>
            <w:tcW w:w="984" w:type="dxa"/>
            <w:vAlign w:val="center"/>
          </w:tcPr>
          <w:p w14:paraId="5992FA05" w14:textId="77777777" w:rsidR="004B6F12" w:rsidRPr="004B6F12" w:rsidRDefault="004B6F12" w:rsidP="004B6F12">
            <w:pPr>
              <w:spacing w:before="40" w:after="0"/>
              <w:jc w:val="center"/>
              <w:rPr>
                <w:rFonts w:eastAsia="Times New Roman"/>
                <w:lang w:val="en-GB" w:eastAsia="de-DE"/>
              </w:rPr>
            </w:pPr>
          </w:p>
        </w:tc>
        <w:tc>
          <w:tcPr>
            <w:tcW w:w="984" w:type="dxa"/>
            <w:vAlign w:val="center"/>
          </w:tcPr>
          <w:p w14:paraId="768E7ADD" w14:textId="77777777" w:rsidR="004B6F12" w:rsidRPr="004B6F12" w:rsidRDefault="004B6F12" w:rsidP="004B6F12">
            <w:pPr>
              <w:spacing w:before="40" w:after="0"/>
              <w:jc w:val="center"/>
              <w:rPr>
                <w:rFonts w:eastAsia="Times New Roman"/>
                <w:lang w:val="en-GB" w:eastAsia="de-DE"/>
              </w:rPr>
            </w:pPr>
          </w:p>
        </w:tc>
      </w:tr>
      <w:tr w:rsidR="004B6F12" w:rsidRPr="004B6F12" w14:paraId="10A0D5F6" w14:textId="77777777" w:rsidTr="00EE2B72">
        <w:trPr>
          <w:cantSplit/>
          <w:trHeight w:hRule="exact" w:val="300"/>
        </w:trPr>
        <w:tc>
          <w:tcPr>
            <w:tcW w:w="3397" w:type="dxa"/>
            <w:tcBorders>
              <w:left w:val="single" w:sz="4" w:space="0" w:color="auto"/>
            </w:tcBorders>
          </w:tcPr>
          <w:p w14:paraId="1D5013A9" w14:textId="77777777" w:rsidR="004B6F12" w:rsidRPr="004B6F12" w:rsidRDefault="004B6F12" w:rsidP="004B6F12">
            <w:pPr>
              <w:spacing w:before="0" w:after="0"/>
              <w:jc w:val="left"/>
              <w:rPr>
                <w:rFonts w:eastAsia="Times New Roman"/>
                <w:b/>
                <w:lang w:eastAsia="de-DE"/>
              </w:rPr>
            </w:pPr>
            <w:r w:rsidRPr="004B6F12">
              <w:rPr>
                <w:rFonts w:eastAsia="Times New Roman"/>
                <w:b/>
                <w:lang w:eastAsia="de-DE"/>
              </w:rPr>
              <w:t>Blei</w:t>
            </w:r>
          </w:p>
        </w:tc>
        <w:tc>
          <w:tcPr>
            <w:tcW w:w="768" w:type="dxa"/>
          </w:tcPr>
          <w:p w14:paraId="240F0EEA" w14:textId="77777777" w:rsidR="004B6F12" w:rsidRPr="004B6F12" w:rsidRDefault="004B6F12" w:rsidP="004B6F12">
            <w:pPr>
              <w:spacing w:before="0" w:after="0"/>
              <w:jc w:val="left"/>
              <w:rPr>
                <w:rFonts w:eastAsia="Times New Roman"/>
                <w:lang w:eastAsia="de-DE"/>
              </w:rPr>
            </w:pPr>
            <w:r w:rsidRPr="004B6F12">
              <w:rPr>
                <w:rFonts w:eastAsia="Times New Roman"/>
                <w:lang w:eastAsia="de-DE"/>
              </w:rPr>
              <w:t>µg/l</w:t>
            </w:r>
          </w:p>
        </w:tc>
        <w:tc>
          <w:tcPr>
            <w:tcW w:w="837" w:type="dxa"/>
            <w:vAlign w:val="center"/>
          </w:tcPr>
          <w:p w14:paraId="70BBFCA6" w14:textId="77777777" w:rsidR="004B6F12" w:rsidRPr="004B6F12" w:rsidRDefault="004B6F12" w:rsidP="004B6F12">
            <w:pPr>
              <w:spacing w:before="0" w:after="0"/>
              <w:jc w:val="center"/>
              <w:rPr>
                <w:rFonts w:eastAsia="Times New Roman"/>
                <w:lang w:eastAsia="de-DE"/>
              </w:rPr>
            </w:pPr>
          </w:p>
        </w:tc>
        <w:tc>
          <w:tcPr>
            <w:tcW w:w="837" w:type="dxa"/>
            <w:vAlign w:val="center"/>
          </w:tcPr>
          <w:p w14:paraId="76D85DBE" w14:textId="77777777" w:rsidR="004B6F12" w:rsidRPr="004B6F12" w:rsidRDefault="004B6F12" w:rsidP="004B6F12">
            <w:pPr>
              <w:spacing w:before="0" w:after="0"/>
              <w:jc w:val="center"/>
              <w:rPr>
                <w:rFonts w:eastAsia="Times New Roman"/>
                <w:lang w:eastAsia="de-DE"/>
              </w:rPr>
            </w:pPr>
          </w:p>
        </w:tc>
        <w:tc>
          <w:tcPr>
            <w:tcW w:w="813" w:type="dxa"/>
            <w:vAlign w:val="center"/>
          </w:tcPr>
          <w:p w14:paraId="65914286" w14:textId="77777777" w:rsidR="004B6F12" w:rsidRPr="004B6F12" w:rsidRDefault="004B6F12" w:rsidP="004B6F12">
            <w:pPr>
              <w:spacing w:before="40" w:after="0"/>
              <w:jc w:val="center"/>
              <w:rPr>
                <w:rFonts w:eastAsia="Times New Roman"/>
                <w:lang w:val="en-GB" w:eastAsia="de-DE"/>
              </w:rPr>
            </w:pPr>
            <w:r w:rsidRPr="004B6F12">
              <w:rPr>
                <w:rFonts w:eastAsia="Times New Roman"/>
                <w:lang w:eastAsia="de-DE"/>
              </w:rPr>
              <w:t>90</w:t>
            </w:r>
          </w:p>
        </w:tc>
        <w:tc>
          <w:tcPr>
            <w:tcW w:w="703" w:type="dxa"/>
            <w:vAlign w:val="center"/>
          </w:tcPr>
          <w:p w14:paraId="10B1FC4E" w14:textId="77777777" w:rsidR="004B6F12" w:rsidRPr="004B6F12" w:rsidRDefault="004B6F12" w:rsidP="004B6F12">
            <w:pPr>
              <w:spacing w:before="40" w:after="0"/>
              <w:jc w:val="center"/>
              <w:rPr>
                <w:rFonts w:eastAsia="Times New Roman"/>
                <w:lang w:val="en-GB" w:eastAsia="de-DE"/>
              </w:rPr>
            </w:pPr>
          </w:p>
        </w:tc>
        <w:tc>
          <w:tcPr>
            <w:tcW w:w="691" w:type="dxa"/>
            <w:vAlign w:val="center"/>
          </w:tcPr>
          <w:p w14:paraId="1728E5D9" w14:textId="77777777" w:rsidR="004B6F12" w:rsidRPr="004B6F12" w:rsidRDefault="004B6F12" w:rsidP="004B6F12">
            <w:pPr>
              <w:spacing w:before="40" w:after="0"/>
              <w:jc w:val="center"/>
              <w:rPr>
                <w:rFonts w:eastAsia="Times New Roman"/>
                <w:lang w:val="en-GB" w:eastAsia="de-DE"/>
              </w:rPr>
            </w:pPr>
          </w:p>
        </w:tc>
        <w:tc>
          <w:tcPr>
            <w:tcW w:w="752" w:type="dxa"/>
            <w:vAlign w:val="center"/>
          </w:tcPr>
          <w:p w14:paraId="17068170" w14:textId="77777777" w:rsidR="004B6F12" w:rsidRPr="004B6F12" w:rsidRDefault="004B6F12" w:rsidP="004B6F12">
            <w:pPr>
              <w:spacing w:before="40" w:after="0"/>
              <w:jc w:val="center"/>
              <w:rPr>
                <w:rFonts w:eastAsia="Times New Roman"/>
                <w:lang w:val="en-GB" w:eastAsia="de-DE"/>
              </w:rPr>
            </w:pPr>
          </w:p>
        </w:tc>
        <w:tc>
          <w:tcPr>
            <w:tcW w:w="813" w:type="dxa"/>
            <w:vAlign w:val="center"/>
          </w:tcPr>
          <w:p w14:paraId="6FA063BA" w14:textId="77777777" w:rsidR="004B6F12" w:rsidRPr="004B6F12" w:rsidRDefault="004B6F12" w:rsidP="004B6F12">
            <w:pPr>
              <w:spacing w:before="40" w:after="0"/>
              <w:jc w:val="center"/>
              <w:rPr>
                <w:rFonts w:eastAsia="Times New Roman"/>
                <w:strike/>
                <w:lang w:val="en-GB" w:eastAsia="de-DE"/>
              </w:rPr>
            </w:pPr>
          </w:p>
        </w:tc>
        <w:tc>
          <w:tcPr>
            <w:tcW w:w="984" w:type="dxa"/>
            <w:vAlign w:val="center"/>
          </w:tcPr>
          <w:p w14:paraId="771EBFB1" w14:textId="77777777" w:rsidR="004B6F12" w:rsidRPr="004B6F12" w:rsidRDefault="004B6F12" w:rsidP="004B6F12">
            <w:pPr>
              <w:spacing w:before="40" w:after="0"/>
              <w:jc w:val="center"/>
              <w:rPr>
                <w:rFonts w:eastAsia="Times New Roman"/>
                <w:strike/>
                <w:lang w:val="en-GB" w:eastAsia="de-DE"/>
              </w:rPr>
            </w:pPr>
          </w:p>
        </w:tc>
        <w:tc>
          <w:tcPr>
            <w:tcW w:w="984" w:type="dxa"/>
            <w:vAlign w:val="center"/>
          </w:tcPr>
          <w:p w14:paraId="71ACE382" w14:textId="77777777" w:rsidR="004B6F12" w:rsidRPr="004B6F12" w:rsidRDefault="004B6F12" w:rsidP="004B6F12">
            <w:pPr>
              <w:spacing w:before="40" w:after="0"/>
              <w:jc w:val="center"/>
              <w:rPr>
                <w:rFonts w:eastAsia="Times New Roman"/>
                <w:strike/>
                <w:lang w:val="en-GB" w:eastAsia="de-DE"/>
              </w:rPr>
            </w:pPr>
          </w:p>
        </w:tc>
      </w:tr>
      <w:tr w:rsidR="004B6F12" w:rsidRPr="004B6F12" w14:paraId="238AD187" w14:textId="77777777" w:rsidTr="00EE2B72">
        <w:trPr>
          <w:cantSplit/>
          <w:trHeight w:hRule="exact" w:val="300"/>
        </w:trPr>
        <w:tc>
          <w:tcPr>
            <w:tcW w:w="3397" w:type="dxa"/>
            <w:tcBorders>
              <w:left w:val="single" w:sz="4" w:space="0" w:color="auto"/>
            </w:tcBorders>
          </w:tcPr>
          <w:p w14:paraId="053CE8DB" w14:textId="77777777" w:rsidR="004B6F12" w:rsidRPr="004B6F12" w:rsidRDefault="004B6F12" w:rsidP="004B6F12">
            <w:pPr>
              <w:spacing w:before="0" w:after="0"/>
              <w:jc w:val="left"/>
              <w:rPr>
                <w:rFonts w:eastAsia="Times New Roman"/>
                <w:b/>
                <w:lang w:eastAsia="de-DE"/>
              </w:rPr>
            </w:pPr>
            <w:r w:rsidRPr="004B6F12">
              <w:rPr>
                <w:rFonts w:eastAsia="Times New Roman"/>
                <w:b/>
                <w:lang w:eastAsia="de-DE"/>
              </w:rPr>
              <w:t>Cadmium</w:t>
            </w:r>
          </w:p>
        </w:tc>
        <w:tc>
          <w:tcPr>
            <w:tcW w:w="768" w:type="dxa"/>
          </w:tcPr>
          <w:p w14:paraId="0CBDCCAA" w14:textId="77777777" w:rsidR="004B6F12" w:rsidRPr="004B6F12" w:rsidRDefault="004B6F12" w:rsidP="004B6F12">
            <w:pPr>
              <w:spacing w:before="0" w:after="0"/>
              <w:jc w:val="left"/>
              <w:rPr>
                <w:rFonts w:eastAsia="Times New Roman"/>
                <w:lang w:eastAsia="de-DE"/>
              </w:rPr>
            </w:pPr>
            <w:r w:rsidRPr="004B6F12">
              <w:rPr>
                <w:rFonts w:eastAsia="Times New Roman"/>
                <w:lang w:eastAsia="de-DE"/>
              </w:rPr>
              <w:t>µg/l</w:t>
            </w:r>
          </w:p>
        </w:tc>
        <w:tc>
          <w:tcPr>
            <w:tcW w:w="837" w:type="dxa"/>
            <w:vAlign w:val="center"/>
          </w:tcPr>
          <w:p w14:paraId="68614496" w14:textId="77777777" w:rsidR="004B6F12" w:rsidRPr="004B6F12" w:rsidRDefault="004B6F12" w:rsidP="004B6F12">
            <w:pPr>
              <w:spacing w:before="0" w:after="0"/>
              <w:jc w:val="center"/>
              <w:rPr>
                <w:rFonts w:eastAsia="Times New Roman"/>
                <w:lang w:eastAsia="de-DE"/>
              </w:rPr>
            </w:pPr>
          </w:p>
        </w:tc>
        <w:tc>
          <w:tcPr>
            <w:tcW w:w="837" w:type="dxa"/>
            <w:vAlign w:val="center"/>
          </w:tcPr>
          <w:p w14:paraId="76911C7C" w14:textId="77777777" w:rsidR="004B6F12" w:rsidRPr="004B6F12" w:rsidRDefault="004B6F12" w:rsidP="004B6F12">
            <w:pPr>
              <w:spacing w:before="0" w:after="0"/>
              <w:jc w:val="center"/>
              <w:rPr>
                <w:rFonts w:eastAsia="Times New Roman"/>
                <w:lang w:eastAsia="de-DE"/>
              </w:rPr>
            </w:pPr>
          </w:p>
        </w:tc>
        <w:tc>
          <w:tcPr>
            <w:tcW w:w="813" w:type="dxa"/>
            <w:vAlign w:val="center"/>
          </w:tcPr>
          <w:p w14:paraId="37FEB3C3" w14:textId="77777777" w:rsidR="004B6F12" w:rsidRPr="004B6F12" w:rsidRDefault="004B6F12" w:rsidP="004B6F12">
            <w:pPr>
              <w:spacing w:before="40" w:after="0"/>
              <w:jc w:val="center"/>
              <w:rPr>
                <w:rFonts w:eastAsia="Times New Roman"/>
                <w:lang w:val="en-GB" w:eastAsia="de-DE"/>
              </w:rPr>
            </w:pPr>
          </w:p>
        </w:tc>
        <w:tc>
          <w:tcPr>
            <w:tcW w:w="703" w:type="dxa"/>
            <w:vAlign w:val="center"/>
          </w:tcPr>
          <w:p w14:paraId="41431D47" w14:textId="77777777" w:rsidR="004B6F12" w:rsidRPr="004B6F12" w:rsidRDefault="004B6F12" w:rsidP="004B6F12">
            <w:pPr>
              <w:spacing w:before="40" w:after="0"/>
              <w:jc w:val="center"/>
              <w:rPr>
                <w:rFonts w:eastAsia="Times New Roman"/>
                <w:lang w:val="en-GB" w:eastAsia="de-DE"/>
              </w:rPr>
            </w:pPr>
          </w:p>
        </w:tc>
        <w:tc>
          <w:tcPr>
            <w:tcW w:w="691" w:type="dxa"/>
            <w:vAlign w:val="center"/>
          </w:tcPr>
          <w:p w14:paraId="46C6F3AD" w14:textId="77777777" w:rsidR="004B6F12" w:rsidRPr="004B6F12" w:rsidRDefault="004B6F12" w:rsidP="004B6F12">
            <w:pPr>
              <w:spacing w:before="40" w:after="0"/>
              <w:jc w:val="center"/>
              <w:rPr>
                <w:rFonts w:eastAsia="Times New Roman"/>
                <w:lang w:val="en-GB" w:eastAsia="de-DE"/>
              </w:rPr>
            </w:pPr>
          </w:p>
        </w:tc>
        <w:tc>
          <w:tcPr>
            <w:tcW w:w="752" w:type="dxa"/>
            <w:vAlign w:val="center"/>
          </w:tcPr>
          <w:p w14:paraId="597F073E" w14:textId="77777777" w:rsidR="004B6F12" w:rsidRPr="004B6F12" w:rsidRDefault="004B6F12" w:rsidP="004B6F12">
            <w:pPr>
              <w:spacing w:before="40" w:after="0"/>
              <w:jc w:val="center"/>
              <w:rPr>
                <w:rFonts w:eastAsia="Times New Roman"/>
                <w:lang w:val="en-GB" w:eastAsia="de-DE"/>
              </w:rPr>
            </w:pPr>
          </w:p>
        </w:tc>
        <w:tc>
          <w:tcPr>
            <w:tcW w:w="813" w:type="dxa"/>
            <w:vAlign w:val="center"/>
          </w:tcPr>
          <w:p w14:paraId="7945B5BA" w14:textId="77777777" w:rsidR="004B6F12" w:rsidRPr="004B6F12" w:rsidRDefault="004B6F12" w:rsidP="004B6F12">
            <w:pPr>
              <w:spacing w:before="40" w:after="0"/>
              <w:jc w:val="center"/>
              <w:rPr>
                <w:rFonts w:eastAsia="Times New Roman"/>
                <w:strike/>
                <w:lang w:val="en-GB" w:eastAsia="de-DE"/>
              </w:rPr>
            </w:pPr>
          </w:p>
        </w:tc>
        <w:tc>
          <w:tcPr>
            <w:tcW w:w="984" w:type="dxa"/>
            <w:vAlign w:val="center"/>
          </w:tcPr>
          <w:p w14:paraId="0259A978" w14:textId="77777777" w:rsidR="004B6F12" w:rsidRPr="004B6F12" w:rsidRDefault="004B6F12" w:rsidP="004B6F12">
            <w:pPr>
              <w:spacing w:before="40" w:after="0"/>
              <w:jc w:val="center"/>
              <w:rPr>
                <w:rFonts w:eastAsia="Times New Roman"/>
                <w:strike/>
                <w:lang w:val="en-GB" w:eastAsia="de-DE"/>
              </w:rPr>
            </w:pPr>
          </w:p>
        </w:tc>
        <w:tc>
          <w:tcPr>
            <w:tcW w:w="984" w:type="dxa"/>
            <w:vAlign w:val="center"/>
          </w:tcPr>
          <w:p w14:paraId="44C70EAD" w14:textId="77777777" w:rsidR="004B6F12" w:rsidRPr="004B6F12" w:rsidRDefault="004B6F12" w:rsidP="004B6F12">
            <w:pPr>
              <w:spacing w:before="40" w:after="0"/>
              <w:jc w:val="center"/>
              <w:rPr>
                <w:rFonts w:eastAsia="Times New Roman"/>
                <w:strike/>
                <w:lang w:val="en-GB" w:eastAsia="de-DE"/>
              </w:rPr>
            </w:pPr>
          </w:p>
        </w:tc>
      </w:tr>
      <w:tr w:rsidR="004B6F12" w:rsidRPr="004B6F12" w14:paraId="1B821341" w14:textId="77777777" w:rsidTr="00EE2B72">
        <w:trPr>
          <w:cantSplit/>
          <w:trHeight w:hRule="exact" w:val="282"/>
        </w:trPr>
        <w:tc>
          <w:tcPr>
            <w:tcW w:w="3397" w:type="dxa"/>
            <w:tcBorders>
              <w:left w:val="single" w:sz="4" w:space="0" w:color="auto"/>
            </w:tcBorders>
          </w:tcPr>
          <w:p w14:paraId="1F94E7E2" w14:textId="77777777" w:rsidR="004B6F12" w:rsidRPr="004B6F12" w:rsidRDefault="004B6F12" w:rsidP="004B6F12">
            <w:pPr>
              <w:spacing w:before="0" w:after="0"/>
              <w:jc w:val="left"/>
              <w:rPr>
                <w:rFonts w:eastAsia="Times New Roman"/>
                <w:b/>
                <w:lang w:eastAsia="de-DE"/>
              </w:rPr>
            </w:pPr>
            <w:r w:rsidRPr="004B6F12">
              <w:rPr>
                <w:rFonts w:eastAsia="Times New Roman"/>
                <w:b/>
                <w:lang w:eastAsia="de-DE"/>
              </w:rPr>
              <w:t>Chrom, ges.</w:t>
            </w:r>
          </w:p>
        </w:tc>
        <w:tc>
          <w:tcPr>
            <w:tcW w:w="768" w:type="dxa"/>
          </w:tcPr>
          <w:p w14:paraId="2E9099A7" w14:textId="77777777" w:rsidR="004B6F12" w:rsidRPr="004B6F12" w:rsidRDefault="004B6F12" w:rsidP="004B6F12">
            <w:pPr>
              <w:spacing w:before="0" w:after="0"/>
              <w:jc w:val="left"/>
              <w:rPr>
                <w:rFonts w:eastAsia="Times New Roman"/>
                <w:lang w:eastAsia="de-DE"/>
              </w:rPr>
            </w:pPr>
            <w:r w:rsidRPr="004B6F12">
              <w:rPr>
                <w:rFonts w:eastAsia="Times New Roman"/>
                <w:lang w:eastAsia="de-DE"/>
              </w:rPr>
              <w:t>µg/l</w:t>
            </w:r>
          </w:p>
        </w:tc>
        <w:tc>
          <w:tcPr>
            <w:tcW w:w="837" w:type="dxa"/>
            <w:vAlign w:val="center"/>
          </w:tcPr>
          <w:p w14:paraId="7C635941" w14:textId="77777777" w:rsidR="004B6F12" w:rsidRPr="004B6F12" w:rsidRDefault="004B6F12" w:rsidP="004B6F12">
            <w:pPr>
              <w:spacing w:before="0" w:after="0"/>
              <w:jc w:val="center"/>
              <w:rPr>
                <w:rFonts w:eastAsia="Times New Roman"/>
                <w:lang w:eastAsia="de-DE"/>
              </w:rPr>
            </w:pPr>
          </w:p>
        </w:tc>
        <w:tc>
          <w:tcPr>
            <w:tcW w:w="837" w:type="dxa"/>
            <w:vAlign w:val="center"/>
          </w:tcPr>
          <w:p w14:paraId="0A641EA8" w14:textId="77777777" w:rsidR="004B6F12" w:rsidRPr="004B6F12" w:rsidRDefault="004B6F12" w:rsidP="004B6F12">
            <w:pPr>
              <w:spacing w:before="0" w:after="0"/>
              <w:jc w:val="center"/>
              <w:rPr>
                <w:rFonts w:eastAsia="Times New Roman"/>
                <w:lang w:eastAsia="de-DE"/>
              </w:rPr>
            </w:pPr>
          </w:p>
        </w:tc>
        <w:tc>
          <w:tcPr>
            <w:tcW w:w="813" w:type="dxa"/>
            <w:vAlign w:val="center"/>
          </w:tcPr>
          <w:p w14:paraId="3DF8D93D"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110</w:t>
            </w:r>
          </w:p>
        </w:tc>
        <w:tc>
          <w:tcPr>
            <w:tcW w:w="703" w:type="dxa"/>
            <w:vAlign w:val="center"/>
          </w:tcPr>
          <w:p w14:paraId="0EB2DA92" w14:textId="77777777" w:rsidR="004B6F12" w:rsidRPr="004B6F12" w:rsidRDefault="004B6F12" w:rsidP="004B6F12">
            <w:pPr>
              <w:spacing w:before="40" w:after="0"/>
              <w:jc w:val="center"/>
              <w:rPr>
                <w:rFonts w:eastAsia="Times New Roman"/>
                <w:lang w:eastAsia="de-DE"/>
              </w:rPr>
            </w:pPr>
          </w:p>
        </w:tc>
        <w:tc>
          <w:tcPr>
            <w:tcW w:w="691" w:type="dxa"/>
            <w:vAlign w:val="center"/>
          </w:tcPr>
          <w:p w14:paraId="7E77CB9B" w14:textId="77777777" w:rsidR="004B6F12" w:rsidRPr="004B6F12" w:rsidRDefault="004B6F12" w:rsidP="004B6F12">
            <w:pPr>
              <w:spacing w:before="40" w:after="0"/>
              <w:jc w:val="center"/>
              <w:rPr>
                <w:rFonts w:eastAsia="Times New Roman"/>
                <w:lang w:eastAsia="de-DE"/>
              </w:rPr>
            </w:pPr>
          </w:p>
        </w:tc>
        <w:tc>
          <w:tcPr>
            <w:tcW w:w="752" w:type="dxa"/>
            <w:vAlign w:val="center"/>
          </w:tcPr>
          <w:p w14:paraId="54CAFED4"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1 000</w:t>
            </w:r>
          </w:p>
        </w:tc>
        <w:tc>
          <w:tcPr>
            <w:tcW w:w="813" w:type="dxa"/>
            <w:vAlign w:val="center"/>
          </w:tcPr>
          <w:p w14:paraId="0A9EFF3C"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150</w:t>
            </w:r>
          </w:p>
        </w:tc>
        <w:tc>
          <w:tcPr>
            <w:tcW w:w="984" w:type="dxa"/>
            <w:vAlign w:val="center"/>
          </w:tcPr>
          <w:p w14:paraId="10B249B6"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150</w:t>
            </w:r>
          </w:p>
        </w:tc>
        <w:tc>
          <w:tcPr>
            <w:tcW w:w="984" w:type="dxa"/>
            <w:vAlign w:val="center"/>
          </w:tcPr>
          <w:p w14:paraId="22C28557"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460</w:t>
            </w:r>
          </w:p>
        </w:tc>
      </w:tr>
      <w:tr w:rsidR="004B6F12" w:rsidRPr="004B6F12" w14:paraId="6C80ABDC" w14:textId="77777777" w:rsidTr="00EE2B72">
        <w:trPr>
          <w:cantSplit/>
          <w:trHeight w:hRule="exact" w:val="359"/>
        </w:trPr>
        <w:tc>
          <w:tcPr>
            <w:tcW w:w="3397" w:type="dxa"/>
            <w:tcBorders>
              <w:left w:val="single" w:sz="4" w:space="0" w:color="auto"/>
            </w:tcBorders>
          </w:tcPr>
          <w:p w14:paraId="68296460" w14:textId="77777777" w:rsidR="004B6F12" w:rsidRPr="004B6F12" w:rsidRDefault="004B6F12" w:rsidP="004B6F12">
            <w:pPr>
              <w:spacing w:before="0" w:after="0"/>
              <w:jc w:val="left"/>
              <w:rPr>
                <w:rFonts w:eastAsia="Times New Roman"/>
                <w:b/>
                <w:lang w:eastAsia="de-DE"/>
              </w:rPr>
            </w:pPr>
            <w:r w:rsidRPr="004B6F12">
              <w:rPr>
                <w:rFonts w:eastAsia="Times New Roman"/>
                <w:b/>
                <w:lang w:eastAsia="de-DE"/>
              </w:rPr>
              <w:t>Kupfer</w:t>
            </w:r>
          </w:p>
        </w:tc>
        <w:tc>
          <w:tcPr>
            <w:tcW w:w="768" w:type="dxa"/>
          </w:tcPr>
          <w:p w14:paraId="16FCA6D2" w14:textId="77777777" w:rsidR="004B6F12" w:rsidRPr="004B6F12" w:rsidRDefault="004B6F12" w:rsidP="004B6F12">
            <w:pPr>
              <w:spacing w:before="0" w:after="0"/>
              <w:jc w:val="left"/>
              <w:rPr>
                <w:rFonts w:eastAsia="Times New Roman"/>
                <w:lang w:eastAsia="de-DE"/>
              </w:rPr>
            </w:pPr>
            <w:r w:rsidRPr="004B6F12">
              <w:rPr>
                <w:rFonts w:eastAsia="Times New Roman"/>
                <w:lang w:eastAsia="de-DE"/>
              </w:rPr>
              <w:t>µg/l</w:t>
            </w:r>
          </w:p>
        </w:tc>
        <w:tc>
          <w:tcPr>
            <w:tcW w:w="837" w:type="dxa"/>
            <w:vAlign w:val="center"/>
          </w:tcPr>
          <w:p w14:paraId="75988800" w14:textId="77777777" w:rsidR="004B6F12" w:rsidRPr="004B6F12" w:rsidRDefault="004B6F12" w:rsidP="004B6F12">
            <w:pPr>
              <w:spacing w:before="0" w:after="0"/>
              <w:jc w:val="center"/>
              <w:rPr>
                <w:rFonts w:eastAsia="Times New Roman"/>
                <w:lang w:eastAsia="de-DE"/>
              </w:rPr>
            </w:pPr>
            <w:r w:rsidRPr="004B6F12">
              <w:rPr>
                <w:rFonts w:eastAsia="Times New Roman"/>
                <w:lang w:eastAsia="de-DE"/>
              </w:rPr>
              <w:t>55</w:t>
            </w:r>
          </w:p>
        </w:tc>
        <w:tc>
          <w:tcPr>
            <w:tcW w:w="837" w:type="dxa"/>
            <w:vAlign w:val="center"/>
          </w:tcPr>
          <w:p w14:paraId="77A64D4D" w14:textId="77777777" w:rsidR="004B6F12" w:rsidRPr="004B6F12" w:rsidRDefault="004B6F12" w:rsidP="004B6F12">
            <w:pPr>
              <w:spacing w:before="0" w:after="0"/>
              <w:jc w:val="center"/>
              <w:rPr>
                <w:rFonts w:eastAsia="Times New Roman"/>
                <w:lang w:eastAsia="de-DE"/>
              </w:rPr>
            </w:pPr>
            <w:r w:rsidRPr="004B6F12">
              <w:rPr>
                <w:rFonts w:eastAsia="Times New Roman"/>
                <w:lang w:eastAsia="de-DE"/>
              </w:rPr>
              <w:t>110</w:t>
            </w:r>
          </w:p>
        </w:tc>
        <w:tc>
          <w:tcPr>
            <w:tcW w:w="813" w:type="dxa"/>
            <w:vAlign w:val="center"/>
          </w:tcPr>
          <w:p w14:paraId="41F072FE"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110</w:t>
            </w:r>
          </w:p>
        </w:tc>
        <w:tc>
          <w:tcPr>
            <w:tcW w:w="703" w:type="dxa"/>
            <w:vAlign w:val="center"/>
          </w:tcPr>
          <w:p w14:paraId="40784307" w14:textId="77777777" w:rsidR="004B6F12" w:rsidRPr="004B6F12" w:rsidRDefault="004B6F12" w:rsidP="004B6F12">
            <w:pPr>
              <w:spacing w:before="40" w:after="0"/>
              <w:jc w:val="center"/>
              <w:rPr>
                <w:rFonts w:eastAsia="Times New Roman"/>
                <w:lang w:eastAsia="de-DE"/>
              </w:rPr>
            </w:pPr>
          </w:p>
        </w:tc>
        <w:tc>
          <w:tcPr>
            <w:tcW w:w="691" w:type="dxa"/>
            <w:vAlign w:val="center"/>
          </w:tcPr>
          <w:p w14:paraId="60B04BB1" w14:textId="77777777" w:rsidR="004B6F12" w:rsidRPr="004B6F12" w:rsidRDefault="004B6F12" w:rsidP="004B6F12">
            <w:pPr>
              <w:spacing w:before="40" w:after="0"/>
              <w:jc w:val="center"/>
              <w:rPr>
                <w:rFonts w:eastAsia="Times New Roman"/>
                <w:lang w:eastAsia="de-DE"/>
              </w:rPr>
            </w:pPr>
          </w:p>
        </w:tc>
        <w:tc>
          <w:tcPr>
            <w:tcW w:w="752" w:type="dxa"/>
            <w:vAlign w:val="center"/>
          </w:tcPr>
          <w:p w14:paraId="6654B192" w14:textId="77777777" w:rsidR="004B6F12" w:rsidRPr="004B6F12" w:rsidRDefault="004B6F12" w:rsidP="004B6F12">
            <w:pPr>
              <w:spacing w:before="40" w:after="0"/>
              <w:jc w:val="center"/>
              <w:rPr>
                <w:rFonts w:eastAsia="Times New Roman"/>
                <w:lang w:eastAsia="de-DE"/>
              </w:rPr>
            </w:pPr>
          </w:p>
        </w:tc>
        <w:tc>
          <w:tcPr>
            <w:tcW w:w="813" w:type="dxa"/>
            <w:vAlign w:val="center"/>
          </w:tcPr>
          <w:p w14:paraId="5A2D19EF" w14:textId="77777777" w:rsidR="004B6F12" w:rsidRPr="004B6F12" w:rsidRDefault="004B6F12" w:rsidP="004B6F12">
            <w:pPr>
              <w:spacing w:before="40" w:after="0"/>
              <w:jc w:val="center"/>
              <w:rPr>
                <w:rFonts w:eastAsia="Times New Roman"/>
                <w:lang w:eastAsia="de-DE"/>
              </w:rPr>
            </w:pPr>
          </w:p>
        </w:tc>
        <w:tc>
          <w:tcPr>
            <w:tcW w:w="984" w:type="dxa"/>
            <w:vAlign w:val="center"/>
          </w:tcPr>
          <w:p w14:paraId="0F48D53F"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110</w:t>
            </w:r>
          </w:p>
        </w:tc>
        <w:tc>
          <w:tcPr>
            <w:tcW w:w="984" w:type="dxa"/>
            <w:vAlign w:val="center"/>
          </w:tcPr>
          <w:p w14:paraId="7829892E"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1 000</w:t>
            </w:r>
          </w:p>
        </w:tc>
      </w:tr>
      <w:tr w:rsidR="004B6F12" w:rsidRPr="004B6F12" w14:paraId="3B1FDA89" w14:textId="77777777" w:rsidTr="00EE2B72">
        <w:trPr>
          <w:cantSplit/>
          <w:trHeight w:hRule="exact" w:val="346"/>
        </w:trPr>
        <w:tc>
          <w:tcPr>
            <w:tcW w:w="3397" w:type="dxa"/>
            <w:tcBorders>
              <w:left w:val="single" w:sz="4" w:space="0" w:color="auto"/>
            </w:tcBorders>
          </w:tcPr>
          <w:p w14:paraId="1F4E0465" w14:textId="77777777" w:rsidR="004B6F12" w:rsidRPr="004B6F12" w:rsidRDefault="004B6F12" w:rsidP="004B6F12">
            <w:pPr>
              <w:spacing w:before="0" w:after="0"/>
              <w:jc w:val="left"/>
              <w:rPr>
                <w:rFonts w:eastAsia="Times New Roman"/>
                <w:b/>
                <w:lang w:eastAsia="de-DE"/>
              </w:rPr>
            </w:pPr>
            <w:r w:rsidRPr="004B6F12">
              <w:rPr>
                <w:rFonts w:eastAsia="Times New Roman"/>
                <w:b/>
                <w:lang w:eastAsia="de-DE"/>
              </w:rPr>
              <w:t>Molybdän</w:t>
            </w:r>
          </w:p>
        </w:tc>
        <w:tc>
          <w:tcPr>
            <w:tcW w:w="768" w:type="dxa"/>
          </w:tcPr>
          <w:p w14:paraId="0F0B58B5" w14:textId="77777777" w:rsidR="004B6F12" w:rsidRPr="004B6F12" w:rsidRDefault="004B6F12" w:rsidP="004B6F12">
            <w:pPr>
              <w:spacing w:before="0" w:after="0"/>
              <w:jc w:val="left"/>
              <w:rPr>
                <w:rFonts w:eastAsia="Times New Roman"/>
                <w:lang w:eastAsia="de-DE"/>
              </w:rPr>
            </w:pPr>
            <w:r w:rsidRPr="004B6F12">
              <w:rPr>
                <w:rFonts w:eastAsia="Times New Roman"/>
                <w:lang w:eastAsia="de-DE"/>
              </w:rPr>
              <w:t>µg/l</w:t>
            </w:r>
          </w:p>
        </w:tc>
        <w:tc>
          <w:tcPr>
            <w:tcW w:w="837" w:type="dxa"/>
            <w:vAlign w:val="center"/>
          </w:tcPr>
          <w:p w14:paraId="4156CC34" w14:textId="77777777" w:rsidR="004B6F12" w:rsidRPr="004B6F12" w:rsidRDefault="004B6F12" w:rsidP="004B6F12">
            <w:pPr>
              <w:spacing w:before="0" w:after="0"/>
              <w:jc w:val="center"/>
              <w:rPr>
                <w:rFonts w:eastAsia="Times New Roman"/>
                <w:lang w:eastAsia="de-DE"/>
              </w:rPr>
            </w:pPr>
            <w:r w:rsidRPr="004B6F12">
              <w:rPr>
                <w:rFonts w:eastAsia="Times New Roman"/>
                <w:lang w:eastAsia="de-DE"/>
              </w:rPr>
              <w:t>110</w:t>
            </w:r>
          </w:p>
        </w:tc>
        <w:tc>
          <w:tcPr>
            <w:tcW w:w="837" w:type="dxa"/>
            <w:vAlign w:val="center"/>
          </w:tcPr>
          <w:p w14:paraId="39E4C66D" w14:textId="77777777" w:rsidR="004B6F12" w:rsidRPr="004B6F12" w:rsidRDefault="004B6F12" w:rsidP="004B6F12">
            <w:pPr>
              <w:spacing w:before="0" w:after="0"/>
              <w:jc w:val="center"/>
              <w:rPr>
                <w:rFonts w:eastAsia="Times New Roman"/>
                <w:lang w:eastAsia="de-DE"/>
              </w:rPr>
            </w:pPr>
            <w:r w:rsidRPr="004B6F12">
              <w:rPr>
                <w:rFonts w:eastAsia="Times New Roman"/>
                <w:lang w:eastAsia="de-DE"/>
              </w:rPr>
              <w:t>110</w:t>
            </w:r>
          </w:p>
        </w:tc>
        <w:tc>
          <w:tcPr>
            <w:tcW w:w="813" w:type="dxa"/>
            <w:vAlign w:val="center"/>
          </w:tcPr>
          <w:p w14:paraId="189D0DC8"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55</w:t>
            </w:r>
          </w:p>
        </w:tc>
        <w:tc>
          <w:tcPr>
            <w:tcW w:w="703" w:type="dxa"/>
            <w:vAlign w:val="center"/>
          </w:tcPr>
          <w:p w14:paraId="5C265E63" w14:textId="77777777" w:rsidR="004B6F12" w:rsidRPr="004B6F12" w:rsidRDefault="004B6F12" w:rsidP="004B6F12">
            <w:pPr>
              <w:spacing w:before="40" w:after="0"/>
              <w:jc w:val="center"/>
              <w:rPr>
                <w:rFonts w:eastAsia="Times New Roman"/>
                <w:lang w:eastAsia="de-DE"/>
              </w:rPr>
            </w:pPr>
          </w:p>
        </w:tc>
        <w:tc>
          <w:tcPr>
            <w:tcW w:w="691" w:type="dxa"/>
            <w:vAlign w:val="center"/>
          </w:tcPr>
          <w:p w14:paraId="46FFE6AA"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400</w:t>
            </w:r>
          </w:p>
        </w:tc>
        <w:tc>
          <w:tcPr>
            <w:tcW w:w="752" w:type="dxa"/>
            <w:vAlign w:val="center"/>
          </w:tcPr>
          <w:p w14:paraId="6240D468"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7 000</w:t>
            </w:r>
          </w:p>
        </w:tc>
        <w:tc>
          <w:tcPr>
            <w:tcW w:w="813" w:type="dxa"/>
            <w:vAlign w:val="center"/>
          </w:tcPr>
          <w:p w14:paraId="6C219303"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400</w:t>
            </w:r>
          </w:p>
        </w:tc>
        <w:tc>
          <w:tcPr>
            <w:tcW w:w="984" w:type="dxa"/>
            <w:vAlign w:val="center"/>
          </w:tcPr>
          <w:p w14:paraId="5F11D63F"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55</w:t>
            </w:r>
          </w:p>
        </w:tc>
        <w:tc>
          <w:tcPr>
            <w:tcW w:w="984" w:type="dxa"/>
            <w:vAlign w:val="center"/>
          </w:tcPr>
          <w:p w14:paraId="4A5507FA"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400</w:t>
            </w:r>
          </w:p>
        </w:tc>
      </w:tr>
      <w:tr w:rsidR="004B6F12" w:rsidRPr="004B6F12" w14:paraId="698BB9E2" w14:textId="77777777" w:rsidTr="00EE2B72">
        <w:trPr>
          <w:cantSplit/>
          <w:trHeight w:hRule="exact" w:val="300"/>
        </w:trPr>
        <w:tc>
          <w:tcPr>
            <w:tcW w:w="3397" w:type="dxa"/>
            <w:tcBorders>
              <w:left w:val="single" w:sz="4" w:space="0" w:color="auto"/>
            </w:tcBorders>
          </w:tcPr>
          <w:p w14:paraId="500F9601" w14:textId="77777777" w:rsidR="004B6F12" w:rsidRPr="004B6F12" w:rsidRDefault="004B6F12" w:rsidP="004B6F12">
            <w:pPr>
              <w:spacing w:before="0" w:after="0"/>
              <w:jc w:val="left"/>
              <w:rPr>
                <w:rFonts w:eastAsia="Times New Roman"/>
                <w:b/>
                <w:lang w:eastAsia="de-DE"/>
              </w:rPr>
            </w:pPr>
            <w:r w:rsidRPr="004B6F12">
              <w:rPr>
                <w:rFonts w:eastAsia="Times New Roman"/>
                <w:b/>
                <w:lang w:eastAsia="de-DE"/>
              </w:rPr>
              <w:t>Nickel</w:t>
            </w:r>
          </w:p>
        </w:tc>
        <w:tc>
          <w:tcPr>
            <w:tcW w:w="768" w:type="dxa"/>
          </w:tcPr>
          <w:p w14:paraId="00FA9536" w14:textId="77777777" w:rsidR="004B6F12" w:rsidRPr="004B6F12" w:rsidRDefault="004B6F12" w:rsidP="004B6F12">
            <w:pPr>
              <w:spacing w:before="0" w:after="0"/>
              <w:jc w:val="left"/>
              <w:rPr>
                <w:rFonts w:eastAsia="Times New Roman"/>
                <w:lang w:eastAsia="de-DE"/>
              </w:rPr>
            </w:pPr>
            <w:r w:rsidRPr="004B6F12">
              <w:rPr>
                <w:rFonts w:eastAsia="Times New Roman"/>
                <w:lang w:eastAsia="de-DE"/>
              </w:rPr>
              <w:t>µg/l</w:t>
            </w:r>
          </w:p>
        </w:tc>
        <w:tc>
          <w:tcPr>
            <w:tcW w:w="837" w:type="dxa"/>
            <w:vAlign w:val="center"/>
          </w:tcPr>
          <w:p w14:paraId="283ADADC" w14:textId="77777777" w:rsidR="004B6F12" w:rsidRPr="004B6F12" w:rsidRDefault="004B6F12" w:rsidP="004B6F12">
            <w:pPr>
              <w:spacing w:before="0" w:after="0"/>
              <w:jc w:val="center"/>
              <w:rPr>
                <w:rFonts w:eastAsia="Times New Roman"/>
                <w:lang w:eastAsia="de-DE"/>
              </w:rPr>
            </w:pPr>
          </w:p>
        </w:tc>
        <w:tc>
          <w:tcPr>
            <w:tcW w:w="837" w:type="dxa"/>
            <w:vAlign w:val="center"/>
          </w:tcPr>
          <w:p w14:paraId="74EB0422" w14:textId="77777777" w:rsidR="004B6F12" w:rsidRPr="004B6F12" w:rsidRDefault="004B6F12" w:rsidP="004B6F12">
            <w:pPr>
              <w:spacing w:before="0" w:after="0"/>
              <w:jc w:val="center"/>
              <w:rPr>
                <w:rFonts w:eastAsia="Times New Roman"/>
                <w:lang w:eastAsia="de-DE"/>
              </w:rPr>
            </w:pPr>
          </w:p>
        </w:tc>
        <w:tc>
          <w:tcPr>
            <w:tcW w:w="813" w:type="dxa"/>
            <w:vAlign w:val="center"/>
          </w:tcPr>
          <w:p w14:paraId="770A8C5D"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30</w:t>
            </w:r>
          </w:p>
        </w:tc>
        <w:tc>
          <w:tcPr>
            <w:tcW w:w="703" w:type="dxa"/>
            <w:vAlign w:val="center"/>
          </w:tcPr>
          <w:p w14:paraId="6AB7C5B1" w14:textId="77777777" w:rsidR="004B6F12" w:rsidRPr="004B6F12" w:rsidRDefault="004B6F12" w:rsidP="004B6F12">
            <w:pPr>
              <w:spacing w:before="40" w:after="0"/>
              <w:jc w:val="center"/>
              <w:rPr>
                <w:rFonts w:eastAsia="Times New Roman"/>
                <w:lang w:eastAsia="de-DE"/>
              </w:rPr>
            </w:pPr>
          </w:p>
        </w:tc>
        <w:tc>
          <w:tcPr>
            <w:tcW w:w="691" w:type="dxa"/>
            <w:vAlign w:val="center"/>
          </w:tcPr>
          <w:p w14:paraId="27280586" w14:textId="77777777" w:rsidR="004B6F12" w:rsidRPr="004B6F12" w:rsidRDefault="004B6F12" w:rsidP="004B6F12">
            <w:pPr>
              <w:spacing w:before="40" w:after="0"/>
              <w:jc w:val="center"/>
              <w:rPr>
                <w:rFonts w:eastAsia="Times New Roman"/>
                <w:lang w:eastAsia="de-DE"/>
              </w:rPr>
            </w:pPr>
          </w:p>
        </w:tc>
        <w:tc>
          <w:tcPr>
            <w:tcW w:w="752" w:type="dxa"/>
            <w:vAlign w:val="center"/>
          </w:tcPr>
          <w:p w14:paraId="4568A093" w14:textId="77777777" w:rsidR="004B6F12" w:rsidRPr="004B6F12" w:rsidRDefault="004B6F12" w:rsidP="004B6F12">
            <w:pPr>
              <w:spacing w:before="40" w:after="0"/>
              <w:jc w:val="center"/>
              <w:rPr>
                <w:rFonts w:eastAsia="Times New Roman"/>
                <w:lang w:eastAsia="de-DE"/>
              </w:rPr>
            </w:pPr>
          </w:p>
        </w:tc>
        <w:tc>
          <w:tcPr>
            <w:tcW w:w="813" w:type="dxa"/>
            <w:vAlign w:val="center"/>
          </w:tcPr>
          <w:p w14:paraId="59E4F866" w14:textId="77777777" w:rsidR="004B6F12" w:rsidRPr="004B6F12" w:rsidRDefault="004B6F12" w:rsidP="004B6F12">
            <w:pPr>
              <w:spacing w:before="40" w:after="0"/>
              <w:jc w:val="center"/>
              <w:rPr>
                <w:rFonts w:eastAsia="Times New Roman"/>
                <w:lang w:eastAsia="de-DE"/>
              </w:rPr>
            </w:pPr>
          </w:p>
        </w:tc>
        <w:tc>
          <w:tcPr>
            <w:tcW w:w="984" w:type="dxa"/>
            <w:vAlign w:val="center"/>
          </w:tcPr>
          <w:p w14:paraId="401A4875" w14:textId="77777777" w:rsidR="004B6F12" w:rsidRPr="004B6F12" w:rsidRDefault="004B6F12" w:rsidP="004B6F12">
            <w:pPr>
              <w:spacing w:before="40" w:after="0"/>
              <w:jc w:val="center"/>
              <w:rPr>
                <w:rFonts w:eastAsia="Times New Roman"/>
                <w:lang w:eastAsia="de-DE"/>
              </w:rPr>
            </w:pPr>
          </w:p>
        </w:tc>
        <w:tc>
          <w:tcPr>
            <w:tcW w:w="984" w:type="dxa"/>
            <w:vAlign w:val="center"/>
          </w:tcPr>
          <w:p w14:paraId="4B5A7D74" w14:textId="77777777" w:rsidR="004B6F12" w:rsidRPr="004B6F12" w:rsidRDefault="004B6F12" w:rsidP="004B6F12">
            <w:pPr>
              <w:spacing w:before="40" w:after="0"/>
              <w:jc w:val="center"/>
              <w:rPr>
                <w:rFonts w:eastAsia="Times New Roman"/>
                <w:lang w:eastAsia="de-DE"/>
              </w:rPr>
            </w:pPr>
          </w:p>
        </w:tc>
      </w:tr>
      <w:tr w:rsidR="004B6F12" w:rsidRPr="004B6F12" w14:paraId="439AB846" w14:textId="77777777" w:rsidTr="00EE2B72">
        <w:trPr>
          <w:cantSplit/>
          <w:trHeight w:hRule="exact" w:val="409"/>
        </w:trPr>
        <w:tc>
          <w:tcPr>
            <w:tcW w:w="3397" w:type="dxa"/>
            <w:tcBorders>
              <w:left w:val="single" w:sz="4" w:space="0" w:color="auto"/>
              <w:bottom w:val="single" w:sz="4" w:space="0" w:color="auto"/>
            </w:tcBorders>
          </w:tcPr>
          <w:p w14:paraId="3066FEC6" w14:textId="77777777" w:rsidR="004B6F12" w:rsidRPr="004B6F12" w:rsidRDefault="004B6F12" w:rsidP="004B6F12">
            <w:pPr>
              <w:spacing w:before="0" w:after="0"/>
              <w:jc w:val="left"/>
              <w:rPr>
                <w:rFonts w:eastAsia="Times New Roman"/>
                <w:b/>
                <w:lang w:eastAsia="de-DE"/>
              </w:rPr>
            </w:pPr>
            <w:r w:rsidRPr="004B6F12">
              <w:rPr>
                <w:rFonts w:eastAsia="Times New Roman"/>
                <w:b/>
                <w:lang w:eastAsia="de-DE"/>
              </w:rPr>
              <w:t>Vanadium</w:t>
            </w:r>
          </w:p>
        </w:tc>
        <w:tc>
          <w:tcPr>
            <w:tcW w:w="768" w:type="dxa"/>
            <w:tcBorders>
              <w:bottom w:val="single" w:sz="4" w:space="0" w:color="auto"/>
            </w:tcBorders>
          </w:tcPr>
          <w:p w14:paraId="7A48CC71" w14:textId="77777777" w:rsidR="004B6F12" w:rsidRPr="004B6F12" w:rsidRDefault="004B6F12" w:rsidP="004B6F12">
            <w:pPr>
              <w:spacing w:before="0" w:after="0"/>
              <w:jc w:val="left"/>
              <w:rPr>
                <w:rFonts w:eastAsia="Times New Roman"/>
                <w:lang w:eastAsia="de-DE"/>
              </w:rPr>
            </w:pPr>
            <w:r w:rsidRPr="004B6F12">
              <w:rPr>
                <w:rFonts w:eastAsia="Times New Roman"/>
                <w:lang w:eastAsia="de-DE"/>
              </w:rPr>
              <w:t>µg/l</w:t>
            </w:r>
          </w:p>
        </w:tc>
        <w:tc>
          <w:tcPr>
            <w:tcW w:w="837" w:type="dxa"/>
            <w:tcBorders>
              <w:bottom w:val="single" w:sz="4" w:space="0" w:color="auto"/>
            </w:tcBorders>
            <w:vAlign w:val="center"/>
          </w:tcPr>
          <w:p w14:paraId="55D7F513" w14:textId="77777777" w:rsidR="004B6F12" w:rsidRPr="004B6F12" w:rsidRDefault="004B6F12" w:rsidP="004B6F12">
            <w:pPr>
              <w:spacing w:before="0" w:after="0"/>
              <w:jc w:val="center"/>
              <w:rPr>
                <w:rFonts w:eastAsia="Times New Roman"/>
                <w:lang w:eastAsia="de-DE"/>
              </w:rPr>
            </w:pPr>
          </w:p>
        </w:tc>
        <w:tc>
          <w:tcPr>
            <w:tcW w:w="837" w:type="dxa"/>
            <w:tcBorders>
              <w:bottom w:val="single" w:sz="4" w:space="0" w:color="auto"/>
            </w:tcBorders>
            <w:vAlign w:val="center"/>
          </w:tcPr>
          <w:p w14:paraId="58E1B4A4" w14:textId="77777777" w:rsidR="004B6F12" w:rsidRPr="004B6F12" w:rsidRDefault="004B6F12" w:rsidP="004B6F12">
            <w:pPr>
              <w:spacing w:before="0" w:after="0"/>
              <w:jc w:val="center"/>
              <w:rPr>
                <w:rFonts w:eastAsia="Times New Roman"/>
                <w:lang w:eastAsia="de-DE"/>
              </w:rPr>
            </w:pPr>
          </w:p>
        </w:tc>
        <w:tc>
          <w:tcPr>
            <w:tcW w:w="813" w:type="dxa"/>
            <w:tcBorders>
              <w:bottom w:val="single" w:sz="4" w:space="0" w:color="auto"/>
            </w:tcBorders>
            <w:vAlign w:val="center"/>
          </w:tcPr>
          <w:p w14:paraId="65DBD024"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200</w:t>
            </w:r>
          </w:p>
        </w:tc>
        <w:tc>
          <w:tcPr>
            <w:tcW w:w="703" w:type="dxa"/>
            <w:tcBorders>
              <w:bottom w:val="single" w:sz="4" w:space="0" w:color="auto"/>
            </w:tcBorders>
            <w:vAlign w:val="center"/>
          </w:tcPr>
          <w:p w14:paraId="3CCCE9BE" w14:textId="77777777" w:rsidR="004B6F12" w:rsidRPr="004B6F12" w:rsidRDefault="004B6F12" w:rsidP="004B6F12">
            <w:pPr>
              <w:spacing w:before="40" w:after="0"/>
              <w:jc w:val="center"/>
              <w:rPr>
                <w:rFonts w:eastAsia="Times New Roman"/>
                <w:lang w:eastAsia="de-DE"/>
              </w:rPr>
            </w:pPr>
          </w:p>
        </w:tc>
        <w:tc>
          <w:tcPr>
            <w:tcW w:w="691" w:type="dxa"/>
            <w:tcBorders>
              <w:bottom w:val="single" w:sz="4" w:space="0" w:color="auto"/>
            </w:tcBorders>
            <w:vAlign w:val="center"/>
          </w:tcPr>
          <w:p w14:paraId="1C2FF0BF"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230</w:t>
            </w:r>
          </w:p>
        </w:tc>
        <w:tc>
          <w:tcPr>
            <w:tcW w:w="752" w:type="dxa"/>
            <w:tcBorders>
              <w:bottom w:val="single" w:sz="4" w:space="0" w:color="auto"/>
            </w:tcBorders>
            <w:vAlign w:val="center"/>
          </w:tcPr>
          <w:p w14:paraId="7633973D"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300</w:t>
            </w:r>
          </w:p>
        </w:tc>
        <w:tc>
          <w:tcPr>
            <w:tcW w:w="813" w:type="dxa"/>
            <w:tcBorders>
              <w:bottom w:val="single" w:sz="4" w:space="0" w:color="auto"/>
            </w:tcBorders>
            <w:vAlign w:val="center"/>
          </w:tcPr>
          <w:p w14:paraId="343E06C8" w14:textId="77777777" w:rsidR="004B6F12" w:rsidRPr="004B6F12" w:rsidRDefault="004B6F12" w:rsidP="004B6F12">
            <w:pPr>
              <w:spacing w:before="40" w:after="0"/>
              <w:jc w:val="center"/>
              <w:rPr>
                <w:rFonts w:eastAsia="Times New Roman"/>
                <w:lang w:eastAsia="de-DE"/>
              </w:rPr>
            </w:pPr>
          </w:p>
        </w:tc>
        <w:tc>
          <w:tcPr>
            <w:tcW w:w="984" w:type="dxa"/>
            <w:tcBorders>
              <w:bottom w:val="single" w:sz="4" w:space="0" w:color="auto"/>
            </w:tcBorders>
            <w:vAlign w:val="center"/>
          </w:tcPr>
          <w:p w14:paraId="4A96F7CE"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55</w:t>
            </w:r>
          </w:p>
        </w:tc>
        <w:tc>
          <w:tcPr>
            <w:tcW w:w="984" w:type="dxa"/>
            <w:tcBorders>
              <w:bottom w:val="single" w:sz="4" w:space="0" w:color="auto"/>
            </w:tcBorders>
            <w:vAlign w:val="center"/>
          </w:tcPr>
          <w:p w14:paraId="1CAD68D0"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150</w:t>
            </w:r>
          </w:p>
        </w:tc>
      </w:tr>
      <w:tr w:rsidR="004B6F12" w:rsidRPr="004B6F12" w14:paraId="57508D0A" w14:textId="77777777" w:rsidTr="00EE2B72">
        <w:trPr>
          <w:cantSplit/>
          <w:trHeight w:hRule="exact" w:val="414"/>
        </w:trPr>
        <w:tc>
          <w:tcPr>
            <w:tcW w:w="3397" w:type="dxa"/>
            <w:tcBorders>
              <w:top w:val="single" w:sz="4" w:space="0" w:color="auto"/>
              <w:left w:val="single" w:sz="4" w:space="0" w:color="auto"/>
              <w:bottom w:val="single" w:sz="4" w:space="0" w:color="auto"/>
            </w:tcBorders>
          </w:tcPr>
          <w:p w14:paraId="219C1E90" w14:textId="77777777" w:rsidR="004B6F12" w:rsidRPr="004B6F12" w:rsidRDefault="004B6F12" w:rsidP="004B6F12">
            <w:pPr>
              <w:spacing w:before="0" w:after="0"/>
              <w:jc w:val="left"/>
              <w:rPr>
                <w:rFonts w:eastAsia="Times New Roman"/>
                <w:b/>
                <w:lang w:eastAsia="de-DE"/>
              </w:rPr>
            </w:pPr>
            <w:r w:rsidRPr="004B6F12">
              <w:rPr>
                <w:rFonts w:eastAsia="Times New Roman"/>
                <w:b/>
                <w:lang w:eastAsia="de-DE"/>
              </w:rPr>
              <w:t>Zink</w:t>
            </w:r>
          </w:p>
        </w:tc>
        <w:tc>
          <w:tcPr>
            <w:tcW w:w="768" w:type="dxa"/>
            <w:tcBorders>
              <w:top w:val="single" w:sz="4" w:space="0" w:color="auto"/>
              <w:bottom w:val="single" w:sz="4" w:space="0" w:color="auto"/>
            </w:tcBorders>
          </w:tcPr>
          <w:p w14:paraId="7D4D3893" w14:textId="77777777" w:rsidR="004B6F12" w:rsidRPr="004B6F12" w:rsidRDefault="004B6F12" w:rsidP="004B6F12">
            <w:pPr>
              <w:spacing w:before="0" w:after="0"/>
              <w:jc w:val="left"/>
              <w:rPr>
                <w:rFonts w:eastAsia="Times New Roman"/>
                <w:lang w:eastAsia="de-DE"/>
              </w:rPr>
            </w:pPr>
            <w:r w:rsidRPr="004B6F12">
              <w:rPr>
                <w:rFonts w:eastAsia="Times New Roman"/>
                <w:lang w:eastAsia="de-DE"/>
              </w:rPr>
              <w:t>µg/l</w:t>
            </w:r>
          </w:p>
        </w:tc>
        <w:tc>
          <w:tcPr>
            <w:tcW w:w="837" w:type="dxa"/>
            <w:tcBorders>
              <w:top w:val="single" w:sz="4" w:space="0" w:color="auto"/>
              <w:bottom w:val="single" w:sz="4" w:space="0" w:color="auto"/>
            </w:tcBorders>
            <w:vAlign w:val="center"/>
          </w:tcPr>
          <w:p w14:paraId="16805D6F" w14:textId="77777777" w:rsidR="004B6F12" w:rsidRPr="004B6F12" w:rsidRDefault="004B6F12" w:rsidP="004B6F12">
            <w:pPr>
              <w:spacing w:before="0" w:after="0"/>
              <w:jc w:val="center"/>
              <w:rPr>
                <w:rFonts w:eastAsia="Times New Roman"/>
                <w:lang w:eastAsia="de-DE"/>
              </w:rPr>
            </w:pPr>
          </w:p>
        </w:tc>
        <w:tc>
          <w:tcPr>
            <w:tcW w:w="837" w:type="dxa"/>
            <w:tcBorders>
              <w:top w:val="single" w:sz="4" w:space="0" w:color="auto"/>
              <w:bottom w:val="single" w:sz="4" w:space="0" w:color="auto"/>
            </w:tcBorders>
            <w:vAlign w:val="center"/>
          </w:tcPr>
          <w:p w14:paraId="558D32E1" w14:textId="77777777" w:rsidR="004B6F12" w:rsidRPr="004B6F12" w:rsidRDefault="004B6F12" w:rsidP="004B6F12">
            <w:pPr>
              <w:spacing w:before="0" w:after="0"/>
              <w:jc w:val="center"/>
              <w:rPr>
                <w:rFonts w:eastAsia="Times New Roman"/>
                <w:lang w:eastAsia="de-DE"/>
              </w:rPr>
            </w:pPr>
          </w:p>
        </w:tc>
        <w:tc>
          <w:tcPr>
            <w:tcW w:w="813" w:type="dxa"/>
            <w:tcBorders>
              <w:top w:val="single" w:sz="4" w:space="0" w:color="auto"/>
              <w:bottom w:val="single" w:sz="4" w:space="0" w:color="auto"/>
            </w:tcBorders>
            <w:vAlign w:val="center"/>
          </w:tcPr>
          <w:p w14:paraId="24E5CD7D" w14:textId="77777777" w:rsidR="004B6F12" w:rsidRPr="004B6F12" w:rsidRDefault="004B6F12" w:rsidP="004B6F12">
            <w:pPr>
              <w:spacing w:before="40" w:after="0"/>
              <w:jc w:val="center"/>
              <w:rPr>
                <w:rFonts w:eastAsia="Times New Roman"/>
                <w:lang w:eastAsia="de-DE"/>
              </w:rPr>
            </w:pPr>
            <w:r w:rsidRPr="004B6F12">
              <w:rPr>
                <w:rFonts w:eastAsia="Times New Roman"/>
                <w:lang w:eastAsia="de-DE"/>
              </w:rPr>
              <w:t>160</w:t>
            </w:r>
          </w:p>
        </w:tc>
        <w:tc>
          <w:tcPr>
            <w:tcW w:w="703" w:type="dxa"/>
            <w:tcBorders>
              <w:top w:val="single" w:sz="4" w:space="0" w:color="auto"/>
              <w:bottom w:val="single" w:sz="4" w:space="0" w:color="auto"/>
            </w:tcBorders>
            <w:vAlign w:val="center"/>
          </w:tcPr>
          <w:p w14:paraId="1F08EF88" w14:textId="77777777" w:rsidR="004B6F12" w:rsidRPr="004B6F12" w:rsidRDefault="004B6F12" w:rsidP="004B6F12">
            <w:pPr>
              <w:spacing w:before="40" w:after="0"/>
              <w:jc w:val="center"/>
              <w:rPr>
                <w:rFonts w:eastAsia="Times New Roman"/>
                <w:lang w:eastAsia="de-DE"/>
              </w:rPr>
            </w:pPr>
          </w:p>
        </w:tc>
        <w:tc>
          <w:tcPr>
            <w:tcW w:w="691" w:type="dxa"/>
            <w:tcBorders>
              <w:top w:val="single" w:sz="4" w:space="0" w:color="auto"/>
              <w:bottom w:val="single" w:sz="4" w:space="0" w:color="auto"/>
            </w:tcBorders>
            <w:vAlign w:val="center"/>
          </w:tcPr>
          <w:p w14:paraId="34D9F3F2" w14:textId="77777777" w:rsidR="004B6F12" w:rsidRPr="004B6F12" w:rsidRDefault="004B6F12" w:rsidP="004B6F12">
            <w:pPr>
              <w:spacing w:before="40" w:after="0"/>
              <w:jc w:val="center"/>
              <w:rPr>
                <w:rFonts w:eastAsia="Times New Roman"/>
                <w:lang w:eastAsia="de-DE"/>
              </w:rPr>
            </w:pPr>
          </w:p>
        </w:tc>
        <w:tc>
          <w:tcPr>
            <w:tcW w:w="752" w:type="dxa"/>
            <w:tcBorders>
              <w:top w:val="single" w:sz="4" w:space="0" w:color="auto"/>
              <w:bottom w:val="single" w:sz="4" w:space="0" w:color="auto"/>
            </w:tcBorders>
            <w:vAlign w:val="center"/>
          </w:tcPr>
          <w:p w14:paraId="287065F4" w14:textId="77777777" w:rsidR="004B6F12" w:rsidRPr="004B6F12" w:rsidRDefault="004B6F12" w:rsidP="004B6F12">
            <w:pPr>
              <w:spacing w:before="40" w:after="0"/>
              <w:jc w:val="center"/>
              <w:rPr>
                <w:rFonts w:eastAsia="Times New Roman"/>
                <w:lang w:eastAsia="de-DE"/>
              </w:rPr>
            </w:pPr>
          </w:p>
        </w:tc>
        <w:tc>
          <w:tcPr>
            <w:tcW w:w="813" w:type="dxa"/>
            <w:tcBorders>
              <w:top w:val="single" w:sz="4" w:space="0" w:color="auto"/>
              <w:bottom w:val="single" w:sz="4" w:space="0" w:color="auto"/>
            </w:tcBorders>
            <w:vAlign w:val="center"/>
          </w:tcPr>
          <w:p w14:paraId="7B040FB6" w14:textId="77777777" w:rsidR="004B6F12" w:rsidRPr="004B6F12" w:rsidRDefault="004B6F12" w:rsidP="004B6F12">
            <w:pPr>
              <w:spacing w:before="40" w:after="0"/>
              <w:jc w:val="center"/>
              <w:rPr>
                <w:rFonts w:eastAsia="Times New Roman"/>
                <w:strike/>
                <w:lang w:eastAsia="de-DE"/>
              </w:rPr>
            </w:pPr>
          </w:p>
        </w:tc>
        <w:tc>
          <w:tcPr>
            <w:tcW w:w="984" w:type="dxa"/>
            <w:tcBorders>
              <w:top w:val="single" w:sz="4" w:space="0" w:color="auto"/>
              <w:bottom w:val="single" w:sz="4" w:space="0" w:color="auto"/>
            </w:tcBorders>
            <w:vAlign w:val="center"/>
          </w:tcPr>
          <w:p w14:paraId="65DBC3A8" w14:textId="77777777" w:rsidR="004B6F12" w:rsidRPr="004B6F12" w:rsidRDefault="004B6F12" w:rsidP="004B6F12">
            <w:pPr>
              <w:spacing w:before="40" w:after="0"/>
              <w:jc w:val="center"/>
              <w:rPr>
                <w:rFonts w:eastAsia="Times New Roman"/>
                <w:strike/>
                <w:lang w:eastAsia="de-DE"/>
              </w:rPr>
            </w:pPr>
          </w:p>
        </w:tc>
        <w:tc>
          <w:tcPr>
            <w:tcW w:w="984" w:type="dxa"/>
            <w:tcBorders>
              <w:top w:val="single" w:sz="4" w:space="0" w:color="auto"/>
              <w:bottom w:val="single" w:sz="4" w:space="0" w:color="auto"/>
            </w:tcBorders>
            <w:vAlign w:val="center"/>
          </w:tcPr>
          <w:p w14:paraId="3AEDFEB1" w14:textId="77777777" w:rsidR="004B6F12" w:rsidRPr="004B6F12" w:rsidRDefault="004B6F12" w:rsidP="004B6F12">
            <w:pPr>
              <w:spacing w:before="40" w:after="0"/>
              <w:jc w:val="center"/>
              <w:rPr>
                <w:rFonts w:eastAsia="Times New Roman"/>
                <w:strike/>
                <w:lang w:eastAsia="de-DE"/>
              </w:rPr>
            </w:pPr>
          </w:p>
        </w:tc>
      </w:tr>
    </w:tbl>
    <w:p w14:paraId="483F9013" w14:textId="77777777" w:rsidR="00EE2B72" w:rsidRDefault="00EE2B72" w:rsidP="00EE2B72">
      <w:pPr>
        <w:spacing w:before="0" w:after="0"/>
        <w:jc w:val="left"/>
        <w:rPr>
          <w:rFonts w:eastAsia="Times New Roman"/>
          <w:sz w:val="16"/>
          <w:szCs w:val="16"/>
          <w:vertAlign w:val="superscript"/>
          <w:lang w:eastAsia="de-DE"/>
        </w:rPr>
      </w:pPr>
    </w:p>
    <w:p w14:paraId="498701C4" w14:textId="77777777" w:rsidR="00EE2B72" w:rsidRPr="00EE2B72" w:rsidRDefault="00EE2B72" w:rsidP="00EE2B72">
      <w:pPr>
        <w:spacing w:before="0" w:after="0"/>
        <w:jc w:val="left"/>
        <w:rPr>
          <w:rFonts w:eastAsia="Times New Roman"/>
          <w:sz w:val="16"/>
          <w:szCs w:val="16"/>
          <w:lang w:eastAsia="de-DE"/>
        </w:rPr>
      </w:pPr>
      <w:r w:rsidRPr="00EE2B72">
        <w:rPr>
          <w:rFonts w:eastAsia="Times New Roman"/>
          <w:sz w:val="16"/>
          <w:szCs w:val="16"/>
          <w:vertAlign w:val="superscript"/>
          <w:lang w:eastAsia="de-DE"/>
        </w:rPr>
        <w:t>1</w:t>
      </w:r>
      <w:r w:rsidRPr="00EE2B72">
        <w:rPr>
          <w:rFonts w:eastAsia="Times New Roman"/>
          <w:sz w:val="16"/>
          <w:szCs w:val="16"/>
          <w:lang w:eastAsia="de-DE"/>
        </w:rPr>
        <w:t xml:space="preserve"> Nur bei GRS Grenzwert, ansonsten stoffspezifischer Orientierungswert; bei Abweichungen ist die Ursache zu prüfen.</w:t>
      </w:r>
    </w:p>
    <w:p w14:paraId="5B5BA660" w14:textId="77777777" w:rsidR="00EE2B72" w:rsidRPr="00EE2B72" w:rsidRDefault="00EE2B72" w:rsidP="00EE2B72">
      <w:pPr>
        <w:spacing w:before="0" w:after="0"/>
        <w:jc w:val="left"/>
        <w:rPr>
          <w:rFonts w:eastAsia="Times New Roman"/>
          <w:sz w:val="16"/>
          <w:szCs w:val="16"/>
          <w:lang w:eastAsia="de-DE"/>
        </w:rPr>
      </w:pPr>
      <w:r w:rsidRPr="00EE2B72">
        <w:rPr>
          <w:rFonts w:eastAsia="Times New Roman"/>
          <w:sz w:val="16"/>
          <w:szCs w:val="16"/>
          <w:vertAlign w:val="superscript"/>
          <w:lang w:eastAsia="de-DE"/>
        </w:rPr>
        <w:t xml:space="preserve">2 </w:t>
      </w:r>
      <w:r w:rsidRPr="00EE2B72">
        <w:rPr>
          <w:rFonts w:eastAsia="Times New Roman"/>
          <w:sz w:val="16"/>
          <w:szCs w:val="16"/>
          <w:lang w:eastAsia="de-DE"/>
        </w:rPr>
        <w:t>Stoffspezifischer Orientierungswert; bei Abweichungen ist die Ursache zu prüfen.</w:t>
      </w:r>
    </w:p>
    <w:p w14:paraId="660A9979" w14:textId="77777777" w:rsidR="00EE2B72" w:rsidRDefault="00EE2B72" w:rsidP="00EE2B72">
      <w:pPr>
        <w:spacing w:before="0" w:after="0"/>
        <w:jc w:val="left"/>
        <w:rPr>
          <w:rFonts w:eastAsia="Times New Roman"/>
          <w:sz w:val="16"/>
          <w:szCs w:val="16"/>
          <w:lang w:eastAsia="de-DE"/>
        </w:rPr>
      </w:pPr>
      <w:r w:rsidRPr="00EE2B72">
        <w:rPr>
          <w:rFonts w:eastAsia="Times New Roman"/>
          <w:sz w:val="16"/>
          <w:szCs w:val="16"/>
          <w:vertAlign w:val="superscript"/>
          <w:lang w:eastAsia="de-DE"/>
        </w:rPr>
        <w:t>3</w:t>
      </w:r>
      <w:r w:rsidRPr="00EE2B72">
        <w:rPr>
          <w:rFonts w:eastAsia="Times New Roman"/>
          <w:sz w:val="16"/>
          <w:szCs w:val="16"/>
          <w:lang w:eastAsia="de-DE"/>
        </w:rPr>
        <w:t xml:space="preserve"> </w:t>
      </w:r>
      <w:r w:rsidRPr="00EE2B72">
        <w:rPr>
          <w:rFonts w:eastAsia="Times New Roman"/>
          <w:bCs/>
          <w:sz w:val="16"/>
          <w:szCs w:val="16"/>
          <w:lang w:eastAsia="de-DE"/>
        </w:rPr>
        <w:t>PAK</w:t>
      </w:r>
      <w:proofErr w:type="gramStart"/>
      <w:r w:rsidRPr="00EE2B72">
        <w:rPr>
          <w:rFonts w:eastAsia="Times New Roman"/>
          <w:sz w:val="16"/>
          <w:szCs w:val="16"/>
          <w:vertAlign w:val="subscript"/>
          <w:lang w:eastAsia="de-DE"/>
        </w:rPr>
        <w:t xml:space="preserve">15 </w:t>
      </w:r>
      <w:r w:rsidRPr="00EE2B72">
        <w:rPr>
          <w:rFonts w:eastAsia="Times New Roman"/>
          <w:sz w:val="16"/>
          <w:szCs w:val="16"/>
          <w:lang w:eastAsia="de-DE"/>
        </w:rPr>
        <w:t>:</w:t>
      </w:r>
      <w:proofErr w:type="gramEnd"/>
      <w:r w:rsidRPr="00EE2B72">
        <w:rPr>
          <w:rFonts w:eastAsia="Times New Roman"/>
          <w:sz w:val="16"/>
          <w:szCs w:val="16"/>
          <w:lang w:eastAsia="de-DE"/>
        </w:rPr>
        <w:t xml:space="preserve"> PAK</w:t>
      </w:r>
      <w:r w:rsidRPr="00EE2B72">
        <w:rPr>
          <w:rFonts w:eastAsia="Times New Roman"/>
          <w:sz w:val="16"/>
          <w:szCs w:val="16"/>
          <w:vertAlign w:val="subscript"/>
          <w:lang w:eastAsia="de-DE"/>
        </w:rPr>
        <w:t xml:space="preserve">16 </w:t>
      </w:r>
      <w:r w:rsidRPr="00EE2B72">
        <w:rPr>
          <w:rFonts w:eastAsia="Times New Roman"/>
          <w:sz w:val="16"/>
          <w:szCs w:val="16"/>
          <w:lang w:eastAsia="de-DE"/>
        </w:rPr>
        <w:t xml:space="preserve">ohne Naphthalin und </w:t>
      </w:r>
      <w:proofErr w:type="spellStart"/>
      <w:r w:rsidRPr="00EE2B72">
        <w:rPr>
          <w:rFonts w:eastAsia="Times New Roman"/>
          <w:sz w:val="16"/>
          <w:szCs w:val="16"/>
          <w:lang w:eastAsia="de-DE"/>
        </w:rPr>
        <w:t>Methylnaphthaline</w:t>
      </w:r>
      <w:proofErr w:type="spellEnd"/>
      <w:r w:rsidRPr="00EE2B72">
        <w:rPr>
          <w:rFonts w:eastAsia="Times New Roman"/>
          <w:sz w:val="16"/>
          <w:szCs w:val="16"/>
          <w:lang w:eastAsia="de-DE"/>
        </w:rPr>
        <w:t>.</w:t>
      </w:r>
    </w:p>
    <w:p w14:paraId="3FAEA6AD" w14:textId="77777777" w:rsidR="00EE2B72" w:rsidRDefault="00EE2B72" w:rsidP="00EE2B72">
      <w:pPr>
        <w:spacing w:before="0" w:after="0"/>
        <w:jc w:val="left"/>
        <w:rPr>
          <w:rFonts w:eastAsia="Times New Roman"/>
          <w:sz w:val="16"/>
          <w:szCs w:val="16"/>
          <w:lang w:eastAsia="de-DE"/>
        </w:rPr>
      </w:pPr>
      <w:r w:rsidRPr="00EE2B72">
        <w:rPr>
          <w:rFonts w:eastAsia="Times New Roman"/>
          <w:sz w:val="16"/>
          <w:szCs w:val="16"/>
          <w:vertAlign w:val="superscript"/>
          <w:lang w:eastAsia="de-DE"/>
        </w:rPr>
        <w:t>4</w:t>
      </w:r>
      <w:r w:rsidRPr="00EE2B72">
        <w:rPr>
          <w:rFonts w:eastAsia="Times New Roman"/>
          <w:sz w:val="16"/>
          <w:szCs w:val="16"/>
          <w:lang w:eastAsia="de-DE"/>
        </w:rPr>
        <w:t xml:space="preserve"> PAK</w:t>
      </w:r>
      <w:proofErr w:type="gramStart"/>
      <w:r w:rsidRPr="00EE2B72">
        <w:rPr>
          <w:rFonts w:eastAsia="Times New Roman"/>
          <w:sz w:val="16"/>
          <w:szCs w:val="16"/>
          <w:vertAlign w:val="subscript"/>
          <w:lang w:eastAsia="de-DE"/>
        </w:rPr>
        <w:t>16</w:t>
      </w:r>
      <w:r w:rsidRPr="00EE2B72">
        <w:rPr>
          <w:rFonts w:eastAsia="Times New Roman"/>
          <w:sz w:val="16"/>
          <w:szCs w:val="16"/>
          <w:lang w:eastAsia="de-DE"/>
        </w:rPr>
        <w:t xml:space="preserve"> :</w:t>
      </w:r>
      <w:proofErr w:type="gramEnd"/>
      <w:r w:rsidRPr="00EE2B72">
        <w:rPr>
          <w:rFonts w:eastAsia="Times New Roman"/>
          <w:sz w:val="16"/>
          <w:szCs w:val="16"/>
          <w:lang w:eastAsia="de-DE"/>
        </w:rPr>
        <w:t xml:space="preserve"> stellvertretend für die Gruppe der polyzyklischen aromatischen Kohlenwasserstoffe (PAK) werden nach der Liste der Environmental </w:t>
      </w:r>
      <w:proofErr w:type="spellStart"/>
      <w:r w:rsidRPr="00EE2B72">
        <w:rPr>
          <w:rFonts w:eastAsia="Times New Roman"/>
          <w:sz w:val="16"/>
          <w:szCs w:val="16"/>
          <w:lang w:eastAsia="de-DE"/>
        </w:rPr>
        <w:t>Protection</w:t>
      </w:r>
      <w:proofErr w:type="spellEnd"/>
      <w:r w:rsidRPr="00EE2B72">
        <w:rPr>
          <w:rFonts w:eastAsia="Times New Roman"/>
          <w:sz w:val="16"/>
          <w:szCs w:val="16"/>
          <w:lang w:eastAsia="de-DE"/>
        </w:rPr>
        <w:t xml:space="preserve"> Agency (EPA) 16 ausgewählte PAK untersucht: </w:t>
      </w:r>
      <w:proofErr w:type="spellStart"/>
      <w:r w:rsidRPr="00EE2B72">
        <w:rPr>
          <w:rFonts w:eastAsia="Times New Roman"/>
          <w:sz w:val="16"/>
          <w:szCs w:val="16"/>
          <w:lang w:eastAsia="de-DE"/>
        </w:rPr>
        <w:t>Acenaphthen</w:t>
      </w:r>
      <w:proofErr w:type="spellEnd"/>
      <w:r w:rsidRPr="00EE2B72">
        <w:rPr>
          <w:rFonts w:eastAsia="Times New Roman"/>
          <w:sz w:val="16"/>
          <w:szCs w:val="16"/>
          <w:lang w:eastAsia="de-DE"/>
        </w:rPr>
        <w:t xml:space="preserve">, </w:t>
      </w:r>
      <w:proofErr w:type="spellStart"/>
      <w:r w:rsidRPr="00EE2B72">
        <w:rPr>
          <w:rFonts w:eastAsia="Times New Roman"/>
          <w:sz w:val="16"/>
          <w:szCs w:val="16"/>
          <w:lang w:eastAsia="de-DE"/>
        </w:rPr>
        <w:t>Acenaphthylen</w:t>
      </w:r>
      <w:proofErr w:type="spellEnd"/>
      <w:r w:rsidRPr="00EE2B72">
        <w:rPr>
          <w:rFonts w:eastAsia="Times New Roman"/>
          <w:sz w:val="16"/>
          <w:szCs w:val="16"/>
          <w:lang w:eastAsia="de-DE"/>
        </w:rPr>
        <w:t>, Anthracen, Benzo[a]</w:t>
      </w:r>
      <w:proofErr w:type="spellStart"/>
      <w:r w:rsidRPr="00EE2B72">
        <w:rPr>
          <w:rFonts w:eastAsia="Times New Roman"/>
          <w:sz w:val="16"/>
          <w:szCs w:val="16"/>
          <w:lang w:eastAsia="de-DE"/>
        </w:rPr>
        <w:t>anthracen</w:t>
      </w:r>
      <w:proofErr w:type="spellEnd"/>
      <w:r w:rsidRPr="00EE2B72">
        <w:rPr>
          <w:rFonts w:eastAsia="Times New Roman"/>
          <w:sz w:val="16"/>
          <w:szCs w:val="16"/>
          <w:lang w:eastAsia="de-DE"/>
        </w:rPr>
        <w:t>, Benzo[a]</w:t>
      </w:r>
      <w:proofErr w:type="spellStart"/>
      <w:r w:rsidRPr="00EE2B72">
        <w:rPr>
          <w:rFonts w:eastAsia="Times New Roman"/>
          <w:sz w:val="16"/>
          <w:szCs w:val="16"/>
          <w:lang w:eastAsia="de-DE"/>
        </w:rPr>
        <w:t>pyren</w:t>
      </w:r>
      <w:proofErr w:type="spellEnd"/>
      <w:r w:rsidRPr="00EE2B72">
        <w:rPr>
          <w:rFonts w:eastAsia="Times New Roman"/>
          <w:sz w:val="16"/>
          <w:szCs w:val="16"/>
          <w:lang w:eastAsia="de-DE"/>
        </w:rPr>
        <w:t>, Benzo[b]</w:t>
      </w:r>
      <w:proofErr w:type="spellStart"/>
      <w:r w:rsidRPr="00EE2B72">
        <w:rPr>
          <w:rFonts w:eastAsia="Times New Roman"/>
          <w:sz w:val="16"/>
          <w:szCs w:val="16"/>
          <w:lang w:eastAsia="de-DE"/>
        </w:rPr>
        <w:t>fluoranthen</w:t>
      </w:r>
      <w:proofErr w:type="spellEnd"/>
      <w:r w:rsidRPr="00EE2B72">
        <w:rPr>
          <w:rFonts w:eastAsia="Times New Roman"/>
          <w:sz w:val="16"/>
          <w:szCs w:val="16"/>
          <w:lang w:eastAsia="de-DE"/>
        </w:rPr>
        <w:t>, Benzo[</w:t>
      </w:r>
      <w:proofErr w:type="spellStart"/>
      <w:r w:rsidRPr="00EE2B72">
        <w:rPr>
          <w:rFonts w:eastAsia="Times New Roman"/>
          <w:sz w:val="16"/>
          <w:szCs w:val="16"/>
          <w:lang w:eastAsia="de-DE"/>
        </w:rPr>
        <w:t>g,h,i</w:t>
      </w:r>
      <w:proofErr w:type="spellEnd"/>
      <w:r w:rsidRPr="00EE2B72">
        <w:rPr>
          <w:rFonts w:eastAsia="Times New Roman"/>
          <w:sz w:val="16"/>
          <w:szCs w:val="16"/>
          <w:lang w:eastAsia="de-DE"/>
        </w:rPr>
        <w:t>]</w:t>
      </w:r>
      <w:proofErr w:type="spellStart"/>
      <w:r w:rsidRPr="00EE2B72">
        <w:rPr>
          <w:rFonts w:eastAsia="Times New Roman"/>
          <w:sz w:val="16"/>
          <w:szCs w:val="16"/>
          <w:lang w:eastAsia="de-DE"/>
        </w:rPr>
        <w:t>perylen</w:t>
      </w:r>
      <w:proofErr w:type="spellEnd"/>
      <w:r w:rsidRPr="00EE2B72">
        <w:rPr>
          <w:rFonts w:eastAsia="Times New Roman"/>
          <w:sz w:val="16"/>
          <w:szCs w:val="16"/>
          <w:lang w:eastAsia="de-DE"/>
        </w:rPr>
        <w:t>, Benzo- [k]</w:t>
      </w:r>
      <w:proofErr w:type="spellStart"/>
      <w:r w:rsidRPr="00EE2B72">
        <w:rPr>
          <w:rFonts w:eastAsia="Times New Roman"/>
          <w:sz w:val="16"/>
          <w:szCs w:val="16"/>
          <w:lang w:eastAsia="de-DE"/>
        </w:rPr>
        <w:t>fluoranthen</w:t>
      </w:r>
      <w:proofErr w:type="spellEnd"/>
      <w:r w:rsidRPr="00EE2B72">
        <w:rPr>
          <w:rFonts w:eastAsia="Times New Roman"/>
          <w:sz w:val="16"/>
          <w:szCs w:val="16"/>
          <w:lang w:eastAsia="de-DE"/>
        </w:rPr>
        <w:t xml:space="preserve">, </w:t>
      </w:r>
      <w:proofErr w:type="spellStart"/>
      <w:r w:rsidRPr="00EE2B72">
        <w:rPr>
          <w:rFonts w:eastAsia="Times New Roman"/>
          <w:sz w:val="16"/>
          <w:szCs w:val="16"/>
          <w:lang w:eastAsia="de-DE"/>
        </w:rPr>
        <w:t>Chrysen</w:t>
      </w:r>
      <w:proofErr w:type="spellEnd"/>
      <w:r w:rsidRPr="00EE2B72">
        <w:rPr>
          <w:rFonts w:eastAsia="Times New Roman"/>
          <w:sz w:val="16"/>
          <w:szCs w:val="16"/>
          <w:lang w:eastAsia="de-DE"/>
        </w:rPr>
        <w:t xml:space="preserve">, </w:t>
      </w:r>
      <w:proofErr w:type="spellStart"/>
      <w:r w:rsidRPr="00EE2B72">
        <w:rPr>
          <w:rFonts w:eastAsia="Times New Roman"/>
          <w:sz w:val="16"/>
          <w:szCs w:val="16"/>
          <w:lang w:eastAsia="de-DE"/>
        </w:rPr>
        <w:t>Dibenzo</w:t>
      </w:r>
      <w:proofErr w:type="spellEnd"/>
      <w:r w:rsidRPr="00EE2B72">
        <w:rPr>
          <w:rFonts w:eastAsia="Times New Roman"/>
          <w:sz w:val="16"/>
          <w:szCs w:val="16"/>
          <w:lang w:eastAsia="de-DE"/>
        </w:rPr>
        <w:t>[</w:t>
      </w:r>
      <w:proofErr w:type="spellStart"/>
      <w:r w:rsidRPr="00EE2B72">
        <w:rPr>
          <w:rFonts w:eastAsia="Times New Roman"/>
          <w:sz w:val="16"/>
          <w:szCs w:val="16"/>
          <w:lang w:eastAsia="de-DE"/>
        </w:rPr>
        <w:t>a,h</w:t>
      </w:r>
      <w:proofErr w:type="spellEnd"/>
      <w:r w:rsidRPr="00EE2B72">
        <w:rPr>
          <w:rFonts w:eastAsia="Times New Roman"/>
          <w:sz w:val="16"/>
          <w:szCs w:val="16"/>
          <w:lang w:eastAsia="de-DE"/>
        </w:rPr>
        <w:t>]</w:t>
      </w:r>
      <w:proofErr w:type="spellStart"/>
      <w:r w:rsidRPr="00EE2B72">
        <w:rPr>
          <w:rFonts w:eastAsia="Times New Roman"/>
          <w:sz w:val="16"/>
          <w:szCs w:val="16"/>
          <w:lang w:eastAsia="de-DE"/>
        </w:rPr>
        <w:t>anthracen</w:t>
      </w:r>
      <w:proofErr w:type="spellEnd"/>
      <w:r w:rsidRPr="00EE2B72">
        <w:rPr>
          <w:rFonts w:eastAsia="Times New Roman"/>
          <w:sz w:val="16"/>
          <w:szCs w:val="16"/>
          <w:lang w:eastAsia="de-DE"/>
        </w:rPr>
        <w:t xml:space="preserve">, </w:t>
      </w:r>
      <w:proofErr w:type="spellStart"/>
      <w:r w:rsidRPr="00EE2B72">
        <w:rPr>
          <w:rFonts w:eastAsia="Times New Roman"/>
          <w:sz w:val="16"/>
          <w:szCs w:val="16"/>
          <w:lang w:eastAsia="de-DE"/>
        </w:rPr>
        <w:t>Fluoranthen</w:t>
      </w:r>
      <w:proofErr w:type="spellEnd"/>
      <w:r w:rsidRPr="00EE2B72">
        <w:rPr>
          <w:rFonts w:eastAsia="Times New Roman"/>
          <w:sz w:val="16"/>
          <w:szCs w:val="16"/>
          <w:lang w:eastAsia="de-DE"/>
        </w:rPr>
        <w:t xml:space="preserve">, Fluoren, </w:t>
      </w:r>
      <w:proofErr w:type="spellStart"/>
      <w:r w:rsidRPr="00EE2B72">
        <w:rPr>
          <w:rFonts w:eastAsia="Times New Roman"/>
          <w:sz w:val="16"/>
          <w:szCs w:val="16"/>
          <w:lang w:eastAsia="de-DE"/>
        </w:rPr>
        <w:t>Indeno</w:t>
      </w:r>
      <w:proofErr w:type="spellEnd"/>
      <w:r w:rsidRPr="00EE2B72">
        <w:rPr>
          <w:rFonts w:eastAsia="Times New Roman"/>
          <w:sz w:val="16"/>
          <w:szCs w:val="16"/>
          <w:lang w:eastAsia="de-DE"/>
        </w:rPr>
        <w:t>[1,2,3- cd]</w:t>
      </w:r>
      <w:proofErr w:type="spellStart"/>
      <w:r w:rsidRPr="00EE2B72">
        <w:rPr>
          <w:rFonts w:eastAsia="Times New Roman"/>
          <w:sz w:val="16"/>
          <w:szCs w:val="16"/>
          <w:lang w:eastAsia="de-DE"/>
        </w:rPr>
        <w:t>pyren</w:t>
      </w:r>
      <w:proofErr w:type="spellEnd"/>
      <w:r w:rsidRPr="00EE2B72">
        <w:rPr>
          <w:rFonts w:eastAsia="Times New Roman"/>
          <w:sz w:val="16"/>
          <w:szCs w:val="16"/>
          <w:lang w:eastAsia="de-DE"/>
        </w:rPr>
        <w:t xml:space="preserve">, Naphthalin, </w:t>
      </w:r>
      <w:proofErr w:type="spellStart"/>
      <w:r w:rsidRPr="00EE2B72">
        <w:rPr>
          <w:rFonts w:eastAsia="Times New Roman"/>
          <w:sz w:val="16"/>
          <w:szCs w:val="16"/>
          <w:lang w:eastAsia="de-DE"/>
        </w:rPr>
        <w:t>Phenanthren</w:t>
      </w:r>
      <w:proofErr w:type="spellEnd"/>
      <w:r w:rsidRPr="00EE2B72">
        <w:rPr>
          <w:rFonts w:eastAsia="Times New Roman"/>
          <w:sz w:val="16"/>
          <w:szCs w:val="16"/>
          <w:lang w:eastAsia="de-DE"/>
        </w:rPr>
        <w:t xml:space="preserve"> und </w:t>
      </w:r>
      <w:proofErr w:type="spellStart"/>
      <w:r w:rsidRPr="00EE2B72">
        <w:rPr>
          <w:rFonts w:eastAsia="Times New Roman"/>
          <w:sz w:val="16"/>
          <w:szCs w:val="16"/>
          <w:lang w:eastAsia="de-DE"/>
        </w:rPr>
        <w:t>Pyren</w:t>
      </w:r>
      <w:proofErr w:type="spellEnd"/>
      <w:r w:rsidRPr="00EE2B72">
        <w:rPr>
          <w:rFonts w:eastAsia="Times New Roman"/>
          <w:sz w:val="16"/>
          <w:szCs w:val="16"/>
          <w:lang w:eastAsia="de-DE"/>
        </w:rPr>
        <w:t>.</w:t>
      </w:r>
    </w:p>
    <w:p w14:paraId="034FA120" w14:textId="6AD20A29" w:rsidR="004B6F12" w:rsidRPr="004B6F12" w:rsidRDefault="00EE2B72" w:rsidP="004B6F12">
      <w:pPr>
        <w:pStyle w:val="berschrift1"/>
      </w:pPr>
      <w:r>
        <w:rPr>
          <w:lang w:eastAsia="de-DE"/>
        </w:rPr>
        <w:br w:type="page"/>
      </w:r>
      <w:r w:rsidRPr="008D0377">
        <w:lastRenderedPageBreak/>
        <w:t>T</w:t>
      </w:r>
      <w:r w:rsidR="004B6F12" w:rsidRPr="008D0377">
        <w:t>abelle 2</w:t>
      </w:r>
    </w:p>
    <w:p w14:paraId="20E4EACB" w14:textId="77777777" w:rsidR="00EE2B72" w:rsidRPr="00EE2B72" w:rsidRDefault="004B6F12" w:rsidP="00EE2B72">
      <w:pPr>
        <w:rPr>
          <w:rFonts w:eastAsia="Times New Roman"/>
          <w:b/>
          <w:highlight w:val="yellow"/>
          <w:lang w:eastAsia="de-DE"/>
        </w:rPr>
      </w:pPr>
      <w:r w:rsidRPr="008D0377">
        <w:t>Materialwerte für Gleisschotter</w:t>
      </w:r>
      <w:r w:rsidR="00EE2B72" w:rsidRPr="00EE2B72">
        <w:rPr>
          <w:rFonts w:eastAsia="Times New Roman"/>
          <w:b/>
          <w:highlight w:val="yellow"/>
          <w:lang w:eastAsia="de-D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559"/>
        <w:gridCol w:w="992"/>
        <w:gridCol w:w="992"/>
        <w:gridCol w:w="1134"/>
        <w:gridCol w:w="1418"/>
      </w:tblGrid>
      <w:tr w:rsidR="00EE2B72" w:rsidRPr="00EE2B72" w14:paraId="05021495" w14:textId="77777777" w:rsidTr="00F43C5E">
        <w:tc>
          <w:tcPr>
            <w:tcW w:w="3148" w:type="dxa"/>
          </w:tcPr>
          <w:p w14:paraId="091040FF" w14:textId="77777777" w:rsidR="00EE2B72" w:rsidRPr="00EE2B72" w:rsidRDefault="00EE2B72" w:rsidP="00EE2B72">
            <w:pPr>
              <w:spacing w:before="0" w:after="0"/>
              <w:jc w:val="left"/>
              <w:rPr>
                <w:rFonts w:eastAsia="Times New Roman"/>
                <w:b/>
                <w:lang w:eastAsia="de-DE"/>
              </w:rPr>
            </w:pPr>
            <w:r w:rsidRPr="00EE2B72">
              <w:rPr>
                <w:rFonts w:eastAsia="Times New Roman"/>
                <w:b/>
                <w:lang w:eastAsia="de-DE"/>
              </w:rPr>
              <w:t>Parameter</w:t>
            </w:r>
          </w:p>
        </w:tc>
        <w:tc>
          <w:tcPr>
            <w:tcW w:w="1559" w:type="dxa"/>
          </w:tcPr>
          <w:p w14:paraId="4F9A398C" w14:textId="77777777" w:rsidR="00EE2B72" w:rsidRPr="00EE2B72" w:rsidRDefault="00EE2B72" w:rsidP="00EE2B72">
            <w:pPr>
              <w:spacing w:before="0" w:after="0"/>
              <w:jc w:val="center"/>
              <w:rPr>
                <w:rFonts w:eastAsia="Times New Roman"/>
                <w:b/>
                <w:lang w:eastAsia="de-DE"/>
              </w:rPr>
            </w:pPr>
            <w:r w:rsidRPr="00EE2B72">
              <w:rPr>
                <w:rFonts w:eastAsia="Times New Roman"/>
                <w:b/>
                <w:lang w:eastAsia="de-DE"/>
              </w:rPr>
              <w:t>Dimension</w:t>
            </w:r>
          </w:p>
        </w:tc>
        <w:tc>
          <w:tcPr>
            <w:tcW w:w="992" w:type="dxa"/>
            <w:vAlign w:val="center"/>
          </w:tcPr>
          <w:p w14:paraId="6A9E9190" w14:textId="77777777" w:rsidR="00EE2B72" w:rsidRPr="00EE2B72" w:rsidRDefault="00EE2B72" w:rsidP="00EE2B72">
            <w:pPr>
              <w:spacing w:before="0" w:after="0"/>
              <w:jc w:val="center"/>
              <w:rPr>
                <w:rFonts w:eastAsia="Times New Roman"/>
                <w:b/>
                <w:vertAlign w:val="subscript"/>
                <w:lang w:eastAsia="de-DE"/>
              </w:rPr>
            </w:pPr>
            <w:r w:rsidRPr="00EE2B72">
              <w:rPr>
                <w:rFonts w:eastAsia="Times New Roman"/>
                <w:b/>
                <w:lang w:eastAsia="de-DE"/>
              </w:rPr>
              <w:t>GS-0</w:t>
            </w:r>
          </w:p>
        </w:tc>
        <w:tc>
          <w:tcPr>
            <w:tcW w:w="992" w:type="dxa"/>
            <w:vAlign w:val="center"/>
          </w:tcPr>
          <w:p w14:paraId="60433C1E" w14:textId="77777777" w:rsidR="00EE2B72" w:rsidRPr="00EE2B72" w:rsidRDefault="00EE2B72" w:rsidP="00EE2B72">
            <w:pPr>
              <w:spacing w:before="0" w:after="0"/>
              <w:jc w:val="center"/>
              <w:rPr>
                <w:rFonts w:eastAsia="Times New Roman"/>
                <w:b/>
                <w:lang w:eastAsia="de-DE"/>
              </w:rPr>
            </w:pPr>
            <w:r w:rsidRPr="00EE2B72">
              <w:rPr>
                <w:rFonts w:eastAsia="Times New Roman"/>
                <w:b/>
                <w:lang w:eastAsia="de-DE"/>
              </w:rPr>
              <w:t>GS-1</w:t>
            </w:r>
          </w:p>
        </w:tc>
        <w:tc>
          <w:tcPr>
            <w:tcW w:w="1134" w:type="dxa"/>
            <w:vAlign w:val="center"/>
          </w:tcPr>
          <w:p w14:paraId="0E663FF1" w14:textId="77777777" w:rsidR="00EE2B72" w:rsidRPr="00EE2B72" w:rsidRDefault="00EE2B72" w:rsidP="00EE2B72">
            <w:pPr>
              <w:spacing w:before="0" w:after="0"/>
              <w:jc w:val="center"/>
              <w:rPr>
                <w:rFonts w:eastAsia="Times New Roman"/>
                <w:b/>
                <w:lang w:eastAsia="de-DE"/>
              </w:rPr>
            </w:pPr>
            <w:r w:rsidRPr="00EE2B72">
              <w:rPr>
                <w:rFonts w:eastAsia="Times New Roman"/>
                <w:b/>
                <w:lang w:eastAsia="de-DE"/>
              </w:rPr>
              <w:t>GS-2</w:t>
            </w:r>
          </w:p>
        </w:tc>
        <w:tc>
          <w:tcPr>
            <w:tcW w:w="1418" w:type="dxa"/>
            <w:vAlign w:val="center"/>
          </w:tcPr>
          <w:p w14:paraId="03AFA964" w14:textId="77777777" w:rsidR="00EE2B72" w:rsidRPr="00EE2B72" w:rsidRDefault="00EE2B72" w:rsidP="00EE2B72">
            <w:pPr>
              <w:spacing w:before="0" w:after="0"/>
              <w:jc w:val="center"/>
              <w:rPr>
                <w:rFonts w:eastAsia="Times New Roman"/>
                <w:b/>
                <w:lang w:eastAsia="de-DE"/>
              </w:rPr>
            </w:pPr>
            <w:r w:rsidRPr="00EE2B72">
              <w:rPr>
                <w:rFonts w:eastAsia="Times New Roman"/>
                <w:b/>
                <w:lang w:eastAsia="de-DE"/>
              </w:rPr>
              <w:t>GS-3</w:t>
            </w:r>
          </w:p>
        </w:tc>
      </w:tr>
      <w:tr w:rsidR="00EE2B72" w:rsidRPr="00EE2B72" w14:paraId="6B586D88" w14:textId="77777777" w:rsidTr="00F43C5E">
        <w:tc>
          <w:tcPr>
            <w:tcW w:w="3148" w:type="dxa"/>
          </w:tcPr>
          <w:p w14:paraId="3BDC54E5"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pH</w:t>
            </w:r>
            <w:r w:rsidRPr="00EE2B72">
              <w:rPr>
                <w:rFonts w:eastAsia="Times New Roman"/>
                <w:b/>
                <w:vertAlign w:val="superscript"/>
                <w:lang w:eastAsia="de-DE"/>
              </w:rPr>
              <w:t>1</w:t>
            </w:r>
          </w:p>
        </w:tc>
        <w:tc>
          <w:tcPr>
            <w:tcW w:w="1559" w:type="dxa"/>
          </w:tcPr>
          <w:p w14:paraId="0EB1BAF3" w14:textId="77777777" w:rsidR="00EE2B72" w:rsidRPr="00EE2B72" w:rsidRDefault="00EE2B72" w:rsidP="00EE2B72">
            <w:pPr>
              <w:spacing w:before="0" w:after="0"/>
              <w:jc w:val="center"/>
              <w:rPr>
                <w:rFonts w:eastAsia="Times New Roman"/>
                <w:lang w:eastAsia="de-DE"/>
              </w:rPr>
            </w:pPr>
          </w:p>
        </w:tc>
        <w:tc>
          <w:tcPr>
            <w:tcW w:w="992" w:type="dxa"/>
            <w:vAlign w:val="center"/>
          </w:tcPr>
          <w:p w14:paraId="535DA304"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6,5–10</w:t>
            </w:r>
          </w:p>
        </w:tc>
        <w:tc>
          <w:tcPr>
            <w:tcW w:w="992" w:type="dxa"/>
            <w:vAlign w:val="center"/>
          </w:tcPr>
          <w:p w14:paraId="4A43A6C5"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6,5–10</w:t>
            </w:r>
          </w:p>
        </w:tc>
        <w:tc>
          <w:tcPr>
            <w:tcW w:w="1134" w:type="dxa"/>
            <w:vAlign w:val="center"/>
          </w:tcPr>
          <w:p w14:paraId="2061B700"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6,5–10</w:t>
            </w:r>
          </w:p>
        </w:tc>
        <w:tc>
          <w:tcPr>
            <w:tcW w:w="1418" w:type="dxa"/>
            <w:vAlign w:val="center"/>
          </w:tcPr>
          <w:p w14:paraId="5FB62FE6"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5–12</w:t>
            </w:r>
          </w:p>
        </w:tc>
      </w:tr>
      <w:tr w:rsidR="00EE2B72" w:rsidRPr="00EE2B72" w14:paraId="1423FD50" w14:textId="77777777" w:rsidTr="00F43C5E">
        <w:tc>
          <w:tcPr>
            <w:tcW w:w="3148" w:type="dxa"/>
            <w:tcBorders>
              <w:left w:val="single" w:sz="4" w:space="0" w:color="auto"/>
            </w:tcBorders>
          </w:tcPr>
          <w:p w14:paraId="3A6EF896"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Elektrische Leitfähigkeit.</w:t>
            </w:r>
            <w:r w:rsidRPr="00EE2B72">
              <w:rPr>
                <w:rFonts w:eastAsia="Times New Roman"/>
                <w:b/>
                <w:vertAlign w:val="superscript"/>
                <w:lang w:eastAsia="de-DE"/>
              </w:rPr>
              <w:t>2</w:t>
            </w:r>
          </w:p>
        </w:tc>
        <w:tc>
          <w:tcPr>
            <w:tcW w:w="1559" w:type="dxa"/>
          </w:tcPr>
          <w:p w14:paraId="4E4367D6"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µS/cm</w:t>
            </w:r>
          </w:p>
        </w:tc>
        <w:tc>
          <w:tcPr>
            <w:tcW w:w="992" w:type="dxa"/>
            <w:vAlign w:val="center"/>
          </w:tcPr>
          <w:p w14:paraId="0AF35250"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500</w:t>
            </w:r>
          </w:p>
        </w:tc>
        <w:tc>
          <w:tcPr>
            <w:tcW w:w="992" w:type="dxa"/>
            <w:vAlign w:val="center"/>
          </w:tcPr>
          <w:p w14:paraId="33A98B2C"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500</w:t>
            </w:r>
          </w:p>
        </w:tc>
        <w:tc>
          <w:tcPr>
            <w:tcW w:w="1134" w:type="dxa"/>
            <w:vAlign w:val="center"/>
          </w:tcPr>
          <w:p w14:paraId="0A4CF519"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500</w:t>
            </w:r>
          </w:p>
        </w:tc>
        <w:tc>
          <w:tcPr>
            <w:tcW w:w="1418" w:type="dxa"/>
            <w:vAlign w:val="center"/>
          </w:tcPr>
          <w:p w14:paraId="456378F4"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1 000</w:t>
            </w:r>
          </w:p>
        </w:tc>
      </w:tr>
      <w:tr w:rsidR="00EE2B72" w:rsidRPr="00EE2B72" w14:paraId="52EEBACD" w14:textId="77777777" w:rsidTr="00F43C5E">
        <w:tc>
          <w:tcPr>
            <w:tcW w:w="3148" w:type="dxa"/>
          </w:tcPr>
          <w:p w14:paraId="43B9A347"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Atrazin</w:t>
            </w:r>
          </w:p>
        </w:tc>
        <w:tc>
          <w:tcPr>
            <w:tcW w:w="1559" w:type="dxa"/>
          </w:tcPr>
          <w:p w14:paraId="43B9C3FE" w14:textId="77777777" w:rsidR="00EE2B72" w:rsidRPr="00EE2B72" w:rsidRDefault="00EE2B72" w:rsidP="00EE2B72">
            <w:pPr>
              <w:spacing w:before="0" w:after="0"/>
              <w:jc w:val="center"/>
              <w:rPr>
                <w:rFonts w:eastAsia="Times New Roman"/>
                <w:lang w:eastAsia="de-DE"/>
              </w:rPr>
            </w:pPr>
            <w:r w:rsidRPr="00EE2B72">
              <w:rPr>
                <w:rFonts w:eastAsia="Times New Roman"/>
                <w:bCs/>
                <w:lang w:eastAsia="de-DE"/>
              </w:rPr>
              <w:t>µg/l</w:t>
            </w:r>
          </w:p>
        </w:tc>
        <w:tc>
          <w:tcPr>
            <w:tcW w:w="992" w:type="dxa"/>
            <w:vAlign w:val="center"/>
          </w:tcPr>
          <w:p w14:paraId="48A0C203"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0,2</w:t>
            </w:r>
          </w:p>
        </w:tc>
        <w:tc>
          <w:tcPr>
            <w:tcW w:w="992" w:type="dxa"/>
            <w:vAlign w:val="center"/>
          </w:tcPr>
          <w:p w14:paraId="5A3FC5A7"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0,7</w:t>
            </w:r>
          </w:p>
        </w:tc>
        <w:tc>
          <w:tcPr>
            <w:tcW w:w="1134" w:type="dxa"/>
            <w:vAlign w:val="center"/>
          </w:tcPr>
          <w:p w14:paraId="5B8E8C54" w14:textId="77777777" w:rsidR="00EE2B72" w:rsidRPr="00EE2B72" w:rsidRDefault="00EE2B72" w:rsidP="00EE2B72">
            <w:pPr>
              <w:spacing w:before="0" w:after="0"/>
              <w:jc w:val="center"/>
              <w:rPr>
                <w:rFonts w:eastAsia="Times New Roman"/>
                <w:strike/>
                <w:lang w:eastAsia="de-DE"/>
              </w:rPr>
            </w:pPr>
            <w:r w:rsidRPr="00EE2B72">
              <w:rPr>
                <w:rFonts w:eastAsia="Times New Roman"/>
                <w:lang w:eastAsia="de-DE"/>
              </w:rPr>
              <w:t>3,5</w:t>
            </w:r>
          </w:p>
        </w:tc>
        <w:tc>
          <w:tcPr>
            <w:tcW w:w="1418" w:type="dxa"/>
            <w:vAlign w:val="center"/>
          </w:tcPr>
          <w:p w14:paraId="06AA6B9B"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14</w:t>
            </w:r>
          </w:p>
        </w:tc>
      </w:tr>
      <w:tr w:rsidR="00EE2B72" w:rsidRPr="00EE2B72" w14:paraId="0F86E35A" w14:textId="77777777" w:rsidTr="00F43C5E">
        <w:tc>
          <w:tcPr>
            <w:tcW w:w="3148" w:type="dxa"/>
          </w:tcPr>
          <w:p w14:paraId="2B812BBB" w14:textId="77777777" w:rsidR="00EE2B72" w:rsidRPr="00EE2B72" w:rsidRDefault="00EE2B72" w:rsidP="00EE2B72">
            <w:pPr>
              <w:spacing w:before="0" w:after="0"/>
              <w:jc w:val="left"/>
              <w:rPr>
                <w:rFonts w:eastAsia="Times New Roman"/>
                <w:b/>
                <w:bCs/>
                <w:lang w:eastAsia="de-DE"/>
              </w:rPr>
            </w:pPr>
            <w:proofErr w:type="spellStart"/>
            <w:r w:rsidRPr="00EE2B72">
              <w:rPr>
                <w:rFonts w:eastAsia="Times New Roman"/>
                <w:b/>
                <w:bCs/>
                <w:lang w:eastAsia="de-DE"/>
              </w:rPr>
              <w:t>Bromacil</w:t>
            </w:r>
            <w:proofErr w:type="spellEnd"/>
          </w:p>
        </w:tc>
        <w:tc>
          <w:tcPr>
            <w:tcW w:w="1559" w:type="dxa"/>
          </w:tcPr>
          <w:p w14:paraId="157775EF" w14:textId="77777777" w:rsidR="00EE2B72" w:rsidRPr="00EE2B72" w:rsidRDefault="00EE2B72" w:rsidP="00EE2B72">
            <w:pPr>
              <w:spacing w:before="0" w:after="0"/>
              <w:jc w:val="center"/>
              <w:rPr>
                <w:rFonts w:eastAsia="Times New Roman"/>
                <w:lang w:eastAsia="de-DE"/>
              </w:rPr>
            </w:pPr>
            <w:r w:rsidRPr="00EE2B72">
              <w:rPr>
                <w:rFonts w:eastAsia="Times New Roman"/>
                <w:bCs/>
                <w:lang w:eastAsia="de-DE"/>
              </w:rPr>
              <w:t>µg/l</w:t>
            </w:r>
          </w:p>
        </w:tc>
        <w:tc>
          <w:tcPr>
            <w:tcW w:w="992" w:type="dxa"/>
            <w:vAlign w:val="center"/>
          </w:tcPr>
          <w:p w14:paraId="22F412DD" w14:textId="77777777" w:rsidR="00EE2B72" w:rsidRPr="00EE2B72" w:rsidRDefault="00EE2B72" w:rsidP="00EE2B72">
            <w:pPr>
              <w:spacing w:before="0" w:after="0"/>
              <w:jc w:val="center"/>
              <w:rPr>
                <w:rFonts w:eastAsia="Times New Roman"/>
                <w:lang w:eastAsia="de-DE"/>
              </w:rPr>
            </w:pPr>
            <w:r w:rsidRPr="00EE2B72">
              <w:rPr>
                <w:rFonts w:eastAsia="Times New Roman"/>
                <w:bCs/>
                <w:lang w:eastAsia="de-DE"/>
              </w:rPr>
              <w:t>0,2</w:t>
            </w:r>
          </w:p>
        </w:tc>
        <w:tc>
          <w:tcPr>
            <w:tcW w:w="992" w:type="dxa"/>
            <w:vAlign w:val="center"/>
          </w:tcPr>
          <w:p w14:paraId="0884753D"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0,4</w:t>
            </w:r>
          </w:p>
        </w:tc>
        <w:tc>
          <w:tcPr>
            <w:tcW w:w="1134" w:type="dxa"/>
            <w:vAlign w:val="center"/>
          </w:tcPr>
          <w:p w14:paraId="5C926D8A"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1,2</w:t>
            </w:r>
          </w:p>
        </w:tc>
        <w:tc>
          <w:tcPr>
            <w:tcW w:w="1418" w:type="dxa"/>
            <w:vAlign w:val="center"/>
          </w:tcPr>
          <w:p w14:paraId="788132CD"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5,3</w:t>
            </w:r>
          </w:p>
        </w:tc>
      </w:tr>
      <w:tr w:rsidR="00EE2B72" w:rsidRPr="00EE2B72" w14:paraId="724D8D1B" w14:textId="77777777" w:rsidTr="00F43C5E">
        <w:tc>
          <w:tcPr>
            <w:tcW w:w="3148" w:type="dxa"/>
          </w:tcPr>
          <w:p w14:paraId="44CCB75B" w14:textId="77777777" w:rsidR="00EE2B72" w:rsidRPr="00EE2B72" w:rsidRDefault="00EE2B72" w:rsidP="00EE2B72">
            <w:pPr>
              <w:spacing w:before="0" w:after="0"/>
              <w:jc w:val="left"/>
              <w:rPr>
                <w:rFonts w:eastAsia="Times New Roman"/>
                <w:b/>
                <w:bCs/>
                <w:lang w:eastAsia="de-DE"/>
              </w:rPr>
            </w:pPr>
            <w:proofErr w:type="spellStart"/>
            <w:r w:rsidRPr="00EE2B72">
              <w:rPr>
                <w:rFonts w:eastAsia="Times New Roman"/>
                <w:b/>
                <w:bCs/>
                <w:lang w:eastAsia="de-DE"/>
              </w:rPr>
              <w:t>Diuron</w:t>
            </w:r>
            <w:proofErr w:type="spellEnd"/>
          </w:p>
        </w:tc>
        <w:tc>
          <w:tcPr>
            <w:tcW w:w="1559" w:type="dxa"/>
          </w:tcPr>
          <w:p w14:paraId="7CA2F8B8" w14:textId="77777777" w:rsidR="00EE2B72" w:rsidRPr="00EE2B72" w:rsidRDefault="00EE2B72" w:rsidP="00EE2B72">
            <w:pPr>
              <w:spacing w:before="0" w:after="0"/>
              <w:jc w:val="center"/>
              <w:rPr>
                <w:rFonts w:eastAsia="Times New Roman"/>
                <w:lang w:eastAsia="de-DE"/>
              </w:rPr>
            </w:pPr>
            <w:r w:rsidRPr="00EE2B72">
              <w:rPr>
                <w:rFonts w:eastAsia="Times New Roman"/>
                <w:bCs/>
                <w:lang w:eastAsia="de-DE"/>
              </w:rPr>
              <w:t>µg/l</w:t>
            </w:r>
          </w:p>
        </w:tc>
        <w:tc>
          <w:tcPr>
            <w:tcW w:w="992" w:type="dxa"/>
            <w:vAlign w:val="center"/>
          </w:tcPr>
          <w:p w14:paraId="132CA2CF"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0,1</w:t>
            </w:r>
          </w:p>
        </w:tc>
        <w:tc>
          <w:tcPr>
            <w:tcW w:w="992" w:type="dxa"/>
            <w:vAlign w:val="center"/>
          </w:tcPr>
          <w:p w14:paraId="326E8B55"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0,2</w:t>
            </w:r>
          </w:p>
        </w:tc>
        <w:tc>
          <w:tcPr>
            <w:tcW w:w="1134" w:type="dxa"/>
            <w:vAlign w:val="center"/>
          </w:tcPr>
          <w:p w14:paraId="55E41531"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0,8</w:t>
            </w:r>
          </w:p>
        </w:tc>
        <w:tc>
          <w:tcPr>
            <w:tcW w:w="1418" w:type="dxa"/>
            <w:vAlign w:val="center"/>
          </w:tcPr>
          <w:p w14:paraId="2A0DE66C"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4,6</w:t>
            </w:r>
          </w:p>
        </w:tc>
      </w:tr>
      <w:tr w:rsidR="00EE2B72" w:rsidRPr="00EE2B72" w14:paraId="09ADDB1A" w14:textId="77777777" w:rsidTr="00F43C5E">
        <w:tc>
          <w:tcPr>
            <w:tcW w:w="3148" w:type="dxa"/>
          </w:tcPr>
          <w:p w14:paraId="242B36C7"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Glyphosat</w:t>
            </w:r>
          </w:p>
        </w:tc>
        <w:tc>
          <w:tcPr>
            <w:tcW w:w="1559" w:type="dxa"/>
          </w:tcPr>
          <w:p w14:paraId="28E12E69" w14:textId="77777777" w:rsidR="00EE2B72" w:rsidRPr="00EE2B72" w:rsidRDefault="00EE2B72" w:rsidP="00EE2B72">
            <w:pPr>
              <w:spacing w:before="0" w:after="0"/>
              <w:jc w:val="center"/>
              <w:rPr>
                <w:rFonts w:eastAsia="Times New Roman"/>
                <w:lang w:eastAsia="de-DE"/>
              </w:rPr>
            </w:pPr>
            <w:r w:rsidRPr="00EE2B72">
              <w:rPr>
                <w:rFonts w:eastAsia="Times New Roman"/>
                <w:bCs/>
                <w:lang w:eastAsia="de-DE"/>
              </w:rPr>
              <w:t>µg/l</w:t>
            </w:r>
          </w:p>
        </w:tc>
        <w:tc>
          <w:tcPr>
            <w:tcW w:w="992" w:type="dxa"/>
            <w:vAlign w:val="center"/>
          </w:tcPr>
          <w:p w14:paraId="61BE3BDF" w14:textId="77777777" w:rsidR="00EE2B72" w:rsidRPr="00EE2B72" w:rsidRDefault="00EE2B72" w:rsidP="00EE2B72">
            <w:pPr>
              <w:spacing w:before="0" w:after="0"/>
              <w:jc w:val="center"/>
              <w:rPr>
                <w:rFonts w:eastAsia="Times New Roman"/>
                <w:lang w:eastAsia="de-DE"/>
              </w:rPr>
            </w:pPr>
            <w:r w:rsidRPr="00EE2B72">
              <w:rPr>
                <w:rFonts w:eastAsia="Times New Roman"/>
                <w:bCs/>
                <w:lang w:eastAsia="de-DE"/>
              </w:rPr>
              <w:t>0,2</w:t>
            </w:r>
          </w:p>
        </w:tc>
        <w:tc>
          <w:tcPr>
            <w:tcW w:w="992" w:type="dxa"/>
            <w:vAlign w:val="center"/>
          </w:tcPr>
          <w:p w14:paraId="5A0BD006"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1,7</w:t>
            </w:r>
          </w:p>
        </w:tc>
        <w:tc>
          <w:tcPr>
            <w:tcW w:w="1134" w:type="dxa"/>
            <w:vAlign w:val="center"/>
          </w:tcPr>
          <w:p w14:paraId="1238533E"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17</w:t>
            </w:r>
          </w:p>
        </w:tc>
        <w:tc>
          <w:tcPr>
            <w:tcW w:w="1418" w:type="dxa"/>
            <w:vAlign w:val="center"/>
          </w:tcPr>
          <w:p w14:paraId="15DE3BEE"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27</w:t>
            </w:r>
          </w:p>
        </w:tc>
      </w:tr>
      <w:tr w:rsidR="00EE2B72" w:rsidRPr="00EE2B72" w14:paraId="2747462C" w14:textId="77777777" w:rsidTr="00F43C5E">
        <w:tc>
          <w:tcPr>
            <w:tcW w:w="3148" w:type="dxa"/>
          </w:tcPr>
          <w:p w14:paraId="6DBB2C6A" w14:textId="77777777" w:rsidR="00EE2B72" w:rsidRPr="00EE2B72" w:rsidRDefault="00EE2B72" w:rsidP="00EE2B72">
            <w:pPr>
              <w:spacing w:before="0" w:after="0"/>
              <w:jc w:val="left"/>
              <w:rPr>
                <w:rFonts w:eastAsia="Times New Roman"/>
                <w:b/>
                <w:vertAlign w:val="superscript"/>
                <w:lang w:eastAsia="de-DE"/>
              </w:rPr>
            </w:pPr>
            <w:r w:rsidRPr="00EE2B72">
              <w:rPr>
                <w:rFonts w:eastAsia="Times New Roman"/>
                <w:b/>
                <w:bCs/>
                <w:lang w:eastAsia="de-DE"/>
              </w:rPr>
              <w:t>AMPA</w:t>
            </w:r>
          </w:p>
        </w:tc>
        <w:tc>
          <w:tcPr>
            <w:tcW w:w="1559" w:type="dxa"/>
          </w:tcPr>
          <w:p w14:paraId="40A3D2A6" w14:textId="77777777" w:rsidR="00EE2B72" w:rsidRPr="00EE2B72" w:rsidRDefault="00EE2B72" w:rsidP="00EE2B72">
            <w:pPr>
              <w:spacing w:before="0" w:after="0"/>
              <w:jc w:val="center"/>
              <w:rPr>
                <w:rFonts w:eastAsia="Times New Roman"/>
                <w:lang w:eastAsia="de-DE"/>
              </w:rPr>
            </w:pPr>
            <w:r w:rsidRPr="00EE2B72">
              <w:rPr>
                <w:rFonts w:eastAsia="Times New Roman"/>
                <w:bCs/>
                <w:lang w:eastAsia="de-DE"/>
              </w:rPr>
              <w:t>µg/l</w:t>
            </w:r>
          </w:p>
        </w:tc>
        <w:tc>
          <w:tcPr>
            <w:tcW w:w="992" w:type="dxa"/>
            <w:vAlign w:val="center"/>
          </w:tcPr>
          <w:p w14:paraId="67D4F2C2" w14:textId="77777777" w:rsidR="00EE2B72" w:rsidRPr="00EE2B72" w:rsidRDefault="00EE2B72" w:rsidP="00EE2B72">
            <w:pPr>
              <w:spacing w:before="0" w:after="0"/>
              <w:jc w:val="center"/>
              <w:rPr>
                <w:rFonts w:eastAsia="Times New Roman"/>
                <w:lang w:eastAsia="de-DE"/>
              </w:rPr>
            </w:pPr>
            <w:r w:rsidRPr="00EE2B72">
              <w:rPr>
                <w:rFonts w:eastAsia="Times New Roman"/>
                <w:bCs/>
                <w:lang w:eastAsia="de-DE"/>
              </w:rPr>
              <w:t>2,5</w:t>
            </w:r>
          </w:p>
        </w:tc>
        <w:tc>
          <w:tcPr>
            <w:tcW w:w="992" w:type="dxa"/>
            <w:vAlign w:val="center"/>
          </w:tcPr>
          <w:p w14:paraId="6F71EF1D"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4,5</w:t>
            </w:r>
          </w:p>
        </w:tc>
        <w:tc>
          <w:tcPr>
            <w:tcW w:w="1134" w:type="dxa"/>
            <w:vAlign w:val="center"/>
          </w:tcPr>
          <w:p w14:paraId="00EF284C"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17</w:t>
            </w:r>
          </w:p>
        </w:tc>
        <w:tc>
          <w:tcPr>
            <w:tcW w:w="1418" w:type="dxa"/>
            <w:vAlign w:val="center"/>
          </w:tcPr>
          <w:p w14:paraId="71E9895A"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50</w:t>
            </w:r>
          </w:p>
        </w:tc>
      </w:tr>
      <w:tr w:rsidR="00EE2B72" w:rsidRPr="00EE2B72" w14:paraId="70735AD6" w14:textId="77777777" w:rsidTr="00F43C5E">
        <w:tc>
          <w:tcPr>
            <w:tcW w:w="3148" w:type="dxa"/>
          </w:tcPr>
          <w:p w14:paraId="745BCA64" w14:textId="77777777" w:rsidR="00EE2B72" w:rsidRPr="00EE2B72" w:rsidRDefault="00EE2B72" w:rsidP="00EE2B72">
            <w:pPr>
              <w:spacing w:before="0" w:after="0"/>
              <w:jc w:val="left"/>
              <w:rPr>
                <w:rFonts w:eastAsia="Times New Roman"/>
                <w:b/>
                <w:vertAlign w:val="superscript"/>
                <w:lang w:eastAsia="de-DE"/>
              </w:rPr>
            </w:pPr>
            <w:proofErr w:type="spellStart"/>
            <w:r w:rsidRPr="00EE2B72">
              <w:rPr>
                <w:rFonts w:eastAsia="Times New Roman"/>
                <w:b/>
                <w:bCs/>
                <w:lang w:eastAsia="de-DE"/>
              </w:rPr>
              <w:t>Simazin</w:t>
            </w:r>
            <w:proofErr w:type="spellEnd"/>
          </w:p>
        </w:tc>
        <w:tc>
          <w:tcPr>
            <w:tcW w:w="1559" w:type="dxa"/>
          </w:tcPr>
          <w:p w14:paraId="00705851" w14:textId="77777777" w:rsidR="00EE2B72" w:rsidRPr="00EE2B72" w:rsidRDefault="00EE2B72" w:rsidP="00EE2B72">
            <w:pPr>
              <w:spacing w:before="0" w:after="0"/>
              <w:jc w:val="center"/>
              <w:rPr>
                <w:rFonts w:eastAsia="Times New Roman"/>
                <w:lang w:eastAsia="de-DE"/>
              </w:rPr>
            </w:pPr>
            <w:r w:rsidRPr="00EE2B72">
              <w:rPr>
                <w:rFonts w:eastAsia="Times New Roman"/>
                <w:bCs/>
                <w:lang w:eastAsia="de-DE"/>
              </w:rPr>
              <w:t>µg/l</w:t>
            </w:r>
          </w:p>
        </w:tc>
        <w:tc>
          <w:tcPr>
            <w:tcW w:w="992" w:type="dxa"/>
            <w:vAlign w:val="center"/>
          </w:tcPr>
          <w:p w14:paraId="70F8C3CF" w14:textId="77777777" w:rsidR="00EE2B72" w:rsidRPr="00EE2B72" w:rsidRDefault="00EE2B72" w:rsidP="00EE2B72">
            <w:pPr>
              <w:spacing w:before="0" w:after="0"/>
              <w:jc w:val="center"/>
              <w:rPr>
                <w:rFonts w:eastAsia="Times New Roman"/>
                <w:lang w:eastAsia="de-DE"/>
              </w:rPr>
            </w:pPr>
            <w:r w:rsidRPr="00EE2B72">
              <w:rPr>
                <w:rFonts w:eastAsia="Times New Roman"/>
                <w:bCs/>
                <w:lang w:eastAsia="de-DE"/>
              </w:rPr>
              <w:t>0,2</w:t>
            </w:r>
          </w:p>
        </w:tc>
        <w:tc>
          <w:tcPr>
            <w:tcW w:w="992" w:type="dxa"/>
            <w:vAlign w:val="center"/>
          </w:tcPr>
          <w:p w14:paraId="127CD8BC"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1,5</w:t>
            </w:r>
          </w:p>
        </w:tc>
        <w:tc>
          <w:tcPr>
            <w:tcW w:w="1134" w:type="dxa"/>
            <w:vAlign w:val="center"/>
          </w:tcPr>
          <w:p w14:paraId="5A935EF7" w14:textId="77777777" w:rsidR="00EE2B72" w:rsidRPr="00EE2B72" w:rsidRDefault="00EE2B72" w:rsidP="00EE2B72">
            <w:pPr>
              <w:spacing w:before="0" w:after="0"/>
              <w:jc w:val="center"/>
              <w:rPr>
                <w:rFonts w:eastAsia="Times New Roman"/>
                <w:strike/>
                <w:lang w:eastAsia="de-DE"/>
              </w:rPr>
            </w:pPr>
            <w:r w:rsidRPr="00EE2B72">
              <w:rPr>
                <w:rFonts w:eastAsia="Times New Roman"/>
                <w:lang w:eastAsia="de-DE"/>
              </w:rPr>
              <w:t>12</w:t>
            </w:r>
          </w:p>
        </w:tc>
        <w:tc>
          <w:tcPr>
            <w:tcW w:w="1418" w:type="dxa"/>
            <w:vAlign w:val="center"/>
          </w:tcPr>
          <w:p w14:paraId="62AF0C2F"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27</w:t>
            </w:r>
          </w:p>
        </w:tc>
      </w:tr>
      <w:tr w:rsidR="00EE2B72" w:rsidRPr="00EE2B72" w14:paraId="08543A36" w14:textId="77777777" w:rsidTr="00F43C5E">
        <w:tc>
          <w:tcPr>
            <w:tcW w:w="3148" w:type="dxa"/>
          </w:tcPr>
          <w:p w14:paraId="1470B5F0"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sonst. Herbizide</w:t>
            </w:r>
            <w:r w:rsidRPr="00EE2B72">
              <w:rPr>
                <w:rFonts w:eastAsia="Times New Roman"/>
                <w:b/>
                <w:bCs/>
                <w:vertAlign w:val="superscript"/>
                <w:lang w:eastAsia="de-DE"/>
              </w:rPr>
              <w:t>2</w:t>
            </w:r>
            <w:r w:rsidRPr="00EE2B72">
              <w:rPr>
                <w:rFonts w:eastAsia="Times New Roman"/>
                <w:b/>
                <w:bCs/>
                <w:lang w:eastAsia="de-DE"/>
              </w:rPr>
              <w:t xml:space="preserve"> </w:t>
            </w:r>
          </w:p>
        </w:tc>
        <w:tc>
          <w:tcPr>
            <w:tcW w:w="1559" w:type="dxa"/>
          </w:tcPr>
          <w:p w14:paraId="430064C5" w14:textId="77777777" w:rsidR="00EE2B72" w:rsidRPr="00EE2B72" w:rsidRDefault="00EE2B72" w:rsidP="00EE2B72">
            <w:pPr>
              <w:spacing w:before="0" w:after="0"/>
              <w:jc w:val="center"/>
              <w:rPr>
                <w:rFonts w:eastAsia="Times New Roman"/>
                <w:lang w:eastAsia="de-DE"/>
              </w:rPr>
            </w:pPr>
            <w:r w:rsidRPr="00EE2B72">
              <w:rPr>
                <w:rFonts w:eastAsia="Times New Roman"/>
                <w:bCs/>
                <w:lang w:eastAsia="de-DE"/>
              </w:rPr>
              <w:t>µg/l</w:t>
            </w:r>
          </w:p>
        </w:tc>
        <w:tc>
          <w:tcPr>
            <w:tcW w:w="992" w:type="dxa"/>
            <w:vAlign w:val="center"/>
          </w:tcPr>
          <w:p w14:paraId="0126B655"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0,2</w:t>
            </w:r>
          </w:p>
        </w:tc>
        <w:tc>
          <w:tcPr>
            <w:tcW w:w="992" w:type="dxa"/>
            <w:vAlign w:val="center"/>
          </w:tcPr>
          <w:p w14:paraId="452D8969"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2,1</w:t>
            </w:r>
          </w:p>
        </w:tc>
        <w:tc>
          <w:tcPr>
            <w:tcW w:w="1134" w:type="dxa"/>
            <w:vAlign w:val="center"/>
          </w:tcPr>
          <w:p w14:paraId="7EFD5343"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17</w:t>
            </w:r>
          </w:p>
        </w:tc>
        <w:tc>
          <w:tcPr>
            <w:tcW w:w="1418" w:type="dxa"/>
            <w:vAlign w:val="center"/>
          </w:tcPr>
          <w:p w14:paraId="57704001"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27</w:t>
            </w:r>
          </w:p>
        </w:tc>
      </w:tr>
      <w:tr w:rsidR="00EE2B72" w:rsidRPr="00EE2B72" w14:paraId="01C373D4" w14:textId="77777777" w:rsidTr="00F43C5E">
        <w:tc>
          <w:tcPr>
            <w:tcW w:w="3148" w:type="dxa"/>
          </w:tcPr>
          <w:p w14:paraId="2249E6E9"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MKW</w:t>
            </w:r>
          </w:p>
        </w:tc>
        <w:tc>
          <w:tcPr>
            <w:tcW w:w="1559" w:type="dxa"/>
          </w:tcPr>
          <w:p w14:paraId="082C4274" w14:textId="77777777" w:rsidR="00EE2B72" w:rsidRPr="00EE2B72" w:rsidRDefault="00EE2B72" w:rsidP="00EE2B72">
            <w:pPr>
              <w:spacing w:before="0" w:after="0"/>
              <w:jc w:val="center"/>
              <w:rPr>
                <w:rFonts w:eastAsia="Times New Roman"/>
                <w:lang w:eastAsia="de-DE"/>
              </w:rPr>
            </w:pPr>
            <w:r w:rsidRPr="00EE2B72">
              <w:rPr>
                <w:rFonts w:eastAsia="Times New Roman"/>
                <w:bCs/>
                <w:lang w:eastAsia="de-DE"/>
              </w:rPr>
              <w:t>µg/l</w:t>
            </w:r>
          </w:p>
        </w:tc>
        <w:tc>
          <w:tcPr>
            <w:tcW w:w="992" w:type="dxa"/>
            <w:vAlign w:val="center"/>
          </w:tcPr>
          <w:p w14:paraId="24FE0C65"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150</w:t>
            </w:r>
          </w:p>
        </w:tc>
        <w:tc>
          <w:tcPr>
            <w:tcW w:w="992" w:type="dxa"/>
            <w:vAlign w:val="center"/>
          </w:tcPr>
          <w:p w14:paraId="412E57A2" w14:textId="77777777" w:rsidR="00EE2B72" w:rsidRPr="00EE2B72" w:rsidRDefault="00EE2B72" w:rsidP="00EE2B72">
            <w:pPr>
              <w:spacing w:before="0" w:after="0"/>
              <w:jc w:val="center"/>
              <w:rPr>
                <w:rFonts w:eastAsia="Times New Roman"/>
                <w:lang w:eastAsia="de-DE"/>
              </w:rPr>
            </w:pPr>
            <w:r w:rsidRPr="00EE2B72">
              <w:rPr>
                <w:rFonts w:eastAsia="Times New Roman"/>
                <w:bCs/>
                <w:lang w:eastAsia="de-DE"/>
              </w:rPr>
              <w:t>160</w:t>
            </w:r>
          </w:p>
        </w:tc>
        <w:tc>
          <w:tcPr>
            <w:tcW w:w="1134" w:type="dxa"/>
            <w:vAlign w:val="center"/>
          </w:tcPr>
          <w:p w14:paraId="29E4ACA2"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310</w:t>
            </w:r>
          </w:p>
        </w:tc>
        <w:tc>
          <w:tcPr>
            <w:tcW w:w="1418" w:type="dxa"/>
            <w:vAlign w:val="center"/>
          </w:tcPr>
          <w:p w14:paraId="44BF80F8"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500</w:t>
            </w:r>
          </w:p>
        </w:tc>
      </w:tr>
      <w:tr w:rsidR="00EE2B72" w:rsidRPr="00EE2B72" w14:paraId="7BE8CCD3" w14:textId="77777777" w:rsidTr="00F43C5E">
        <w:tc>
          <w:tcPr>
            <w:tcW w:w="3148" w:type="dxa"/>
          </w:tcPr>
          <w:p w14:paraId="423F354D" w14:textId="77777777" w:rsidR="00EE2B72" w:rsidRPr="00EE2B72" w:rsidRDefault="00EE2B72" w:rsidP="00EE2B72">
            <w:pPr>
              <w:spacing w:before="0" w:after="0"/>
              <w:jc w:val="left"/>
              <w:rPr>
                <w:rFonts w:eastAsia="Times New Roman"/>
                <w:b/>
                <w:vertAlign w:val="superscript"/>
                <w:lang w:eastAsia="de-DE"/>
              </w:rPr>
            </w:pPr>
            <w:r w:rsidRPr="00EE2B72">
              <w:rPr>
                <w:rFonts w:eastAsia="Times New Roman"/>
                <w:b/>
                <w:bCs/>
                <w:lang w:eastAsia="de-DE"/>
              </w:rPr>
              <w:t>PAK</w:t>
            </w:r>
            <w:r w:rsidRPr="00EE2B72">
              <w:rPr>
                <w:rFonts w:eastAsia="Times New Roman"/>
                <w:b/>
                <w:bCs/>
                <w:vertAlign w:val="subscript"/>
                <w:lang w:eastAsia="de-DE"/>
              </w:rPr>
              <w:t>15</w:t>
            </w:r>
            <w:r w:rsidRPr="00EE2B72">
              <w:rPr>
                <w:rFonts w:eastAsia="Times New Roman"/>
                <w:b/>
                <w:bCs/>
                <w:vertAlign w:val="superscript"/>
                <w:lang w:eastAsia="de-DE"/>
              </w:rPr>
              <w:t>3</w:t>
            </w:r>
          </w:p>
        </w:tc>
        <w:tc>
          <w:tcPr>
            <w:tcW w:w="1559" w:type="dxa"/>
          </w:tcPr>
          <w:p w14:paraId="0DECA80A"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µg/l</w:t>
            </w:r>
          </w:p>
        </w:tc>
        <w:tc>
          <w:tcPr>
            <w:tcW w:w="992" w:type="dxa"/>
            <w:vAlign w:val="center"/>
          </w:tcPr>
          <w:p w14:paraId="4AF742AD"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0,3</w:t>
            </w:r>
          </w:p>
        </w:tc>
        <w:tc>
          <w:tcPr>
            <w:tcW w:w="992" w:type="dxa"/>
            <w:vAlign w:val="center"/>
          </w:tcPr>
          <w:p w14:paraId="0AC5C5C9"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2,3</w:t>
            </w:r>
          </w:p>
        </w:tc>
        <w:tc>
          <w:tcPr>
            <w:tcW w:w="1134" w:type="dxa"/>
            <w:vAlign w:val="center"/>
          </w:tcPr>
          <w:p w14:paraId="604168D0"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42</w:t>
            </w:r>
          </w:p>
        </w:tc>
        <w:tc>
          <w:tcPr>
            <w:tcW w:w="1418" w:type="dxa"/>
            <w:vAlign w:val="center"/>
          </w:tcPr>
          <w:p w14:paraId="485EE7A0" w14:textId="77777777" w:rsidR="00EE2B72" w:rsidRPr="00EE2B72" w:rsidRDefault="00EE2B72" w:rsidP="00EE2B72">
            <w:pPr>
              <w:spacing w:before="0" w:after="0"/>
              <w:jc w:val="center"/>
              <w:rPr>
                <w:rFonts w:eastAsia="Times New Roman"/>
                <w:lang w:eastAsia="de-DE"/>
              </w:rPr>
            </w:pPr>
            <w:r w:rsidRPr="00EE2B72">
              <w:rPr>
                <w:rFonts w:eastAsia="Times New Roman"/>
                <w:lang w:eastAsia="de-DE"/>
              </w:rPr>
              <w:t>50</w:t>
            </w:r>
          </w:p>
        </w:tc>
      </w:tr>
    </w:tbl>
    <w:p w14:paraId="2D06A37A" w14:textId="77777777" w:rsidR="00EE2B72" w:rsidRPr="00EE2B72" w:rsidRDefault="00EE2B72" w:rsidP="00EE2B72">
      <w:pPr>
        <w:tabs>
          <w:tab w:val="left" w:pos="7088"/>
          <w:tab w:val="left" w:pos="7371"/>
        </w:tabs>
        <w:spacing w:before="0" w:after="0"/>
        <w:jc w:val="left"/>
        <w:rPr>
          <w:rFonts w:eastAsia="Times New Roman"/>
          <w:iCs/>
          <w:lang w:eastAsia="de-DE"/>
        </w:rPr>
      </w:pPr>
    </w:p>
    <w:p w14:paraId="72BA5DA7" w14:textId="6D61A4FB" w:rsidR="00EE2B72" w:rsidRPr="00EE2B72" w:rsidRDefault="00EE2B72" w:rsidP="00EE2B72">
      <w:pPr>
        <w:tabs>
          <w:tab w:val="left" w:pos="142"/>
        </w:tabs>
        <w:spacing w:before="0" w:after="0"/>
        <w:ind w:left="142" w:hanging="142"/>
        <w:jc w:val="left"/>
        <w:rPr>
          <w:rFonts w:eastAsia="Times New Roman"/>
          <w:bCs/>
          <w:sz w:val="16"/>
          <w:szCs w:val="16"/>
          <w:lang w:eastAsia="de-DE"/>
        </w:rPr>
      </w:pPr>
      <w:r w:rsidRPr="00EE2B72">
        <w:rPr>
          <w:rFonts w:eastAsia="Times New Roman"/>
          <w:bCs/>
          <w:vertAlign w:val="superscript"/>
          <w:lang w:eastAsia="de-DE"/>
        </w:rPr>
        <w:t>1</w:t>
      </w:r>
      <w:r w:rsidRPr="00EE2B72">
        <w:rPr>
          <w:rFonts w:eastAsia="Times New Roman"/>
          <w:bCs/>
          <w:sz w:val="16"/>
          <w:szCs w:val="16"/>
          <w:lang w:eastAsia="de-DE"/>
        </w:rPr>
        <w:t xml:space="preserve">Stoffspezifischer Orientierungswert, bei Abweichungen ist die Ursache zu prüfen. </w:t>
      </w:r>
    </w:p>
    <w:p w14:paraId="72A7C3CE" w14:textId="77777777" w:rsidR="00EE2B72" w:rsidRPr="00EE2B72" w:rsidRDefault="00EE2B72" w:rsidP="00EE2B72">
      <w:pPr>
        <w:spacing w:before="0" w:after="0"/>
        <w:ind w:left="142" w:hanging="142"/>
        <w:jc w:val="left"/>
        <w:rPr>
          <w:rFonts w:eastAsia="Times New Roman"/>
          <w:bCs/>
          <w:sz w:val="16"/>
          <w:szCs w:val="16"/>
          <w:lang w:eastAsia="de-DE"/>
        </w:rPr>
      </w:pPr>
      <w:r w:rsidRPr="00EE2B72">
        <w:rPr>
          <w:rFonts w:eastAsia="Times New Roman"/>
          <w:b/>
          <w:bCs/>
          <w:sz w:val="16"/>
          <w:szCs w:val="16"/>
          <w:vertAlign w:val="superscript"/>
          <w:lang w:eastAsia="de-DE"/>
        </w:rPr>
        <w:t xml:space="preserve">2 </w:t>
      </w:r>
      <w:r w:rsidRPr="00EE2B72">
        <w:rPr>
          <w:rFonts w:eastAsia="Times New Roman"/>
          <w:bCs/>
          <w:sz w:val="16"/>
          <w:szCs w:val="16"/>
          <w:lang w:eastAsia="de-DE"/>
        </w:rPr>
        <w:t xml:space="preserve">Einzelwerte jeweils für </w:t>
      </w:r>
      <w:proofErr w:type="spellStart"/>
      <w:r w:rsidRPr="00EE2B72">
        <w:rPr>
          <w:rFonts w:eastAsia="Times New Roman"/>
          <w:bCs/>
          <w:sz w:val="16"/>
          <w:szCs w:val="16"/>
          <w:lang w:eastAsia="de-DE"/>
        </w:rPr>
        <w:t>Dimefuron</w:t>
      </w:r>
      <w:proofErr w:type="spellEnd"/>
      <w:r w:rsidRPr="00EE2B72">
        <w:rPr>
          <w:rFonts w:eastAsia="Times New Roman"/>
          <w:bCs/>
          <w:sz w:val="16"/>
          <w:szCs w:val="16"/>
          <w:lang w:eastAsia="de-DE"/>
        </w:rPr>
        <w:t xml:space="preserve">, </w:t>
      </w:r>
      <w:proofErr w:type="spellStart"/>
      <w:r w:rsidRPr="00EE2B72">
        <w:rPr>
          <w:rFonts w:eastAsia="Times New Roman"/>
          <w:bCs/>
          <w:sz w:val="16"/>
          <w:szCs w:val="16"/>
          <w:lang w:eastAsia="de-DE"/>
        </w:rPr>
        <w:t>Flazasulfuron</w:t>
      </w:r>
      <w:proofErr w:type="spellEnd"/>
      <w:r w:rsidRPr="00EE2B72">
        <w:rPr>
          <w:rFonts w:eastAsia="Times New Roman"/>
          <w:bCs/>
          <w:sz w:val="16"/>
          <w:szCs w:val="16"/>
          <w:lang w:eastAsia="de-DE"/>
        </w:rPr>
        <w:t xml:space="preserve">, </w:t>
      </w:r>
      <w:proofErr w:type="spellStart"/>
      <w:r w:rsidRPr="00EE2B72">
        <w:rPr>
          <w:rFonts w:eastAsia="Times New Roman"/>
          <w:bCs/>
          <w:sz w:val="16"/>
          <w:szCs w:val="16"/>
          <w:lang w:eastAsia="de-DE"/>
        </w:rPr>
        <w:t>Flumioxazin</w:t>
      </w:r>
      <w:proofErr w:type="spellEnd"/>
      <w:r w:rsidRPr="00EE2B72">
        <w:rPr>
          <w:rFonts w:eastAsia="Times New Roman"/>
          <w:bCs/>
          <w:sz w:val="16"/>
          <w:szCs w:val="16"/>
          <w:lang w:eastAsia="de-DE"/>
        </w:rPr>
        <w:t xml:space="preserve">, </w:t>
      </w:r>
      <w:proofErr w:type="spellStart"/>
      <w:r w:rsidRPr="00EE2B72">
        <w:rPr>
          <w:rFonts w:eastAsia="Times New Roman"/>
          <w:bCs/>
          <w:sz w:val="16"/>
          <w:szCs w:val="16"/>
          <w:lang w:eastAsia="de-DE"/>
        </w:rPr>
        <w:t>Ethidimuron</w:t>
      </w:r>
      <w:proofErr w:type="spellEnd"/>
      <w:r w:rsidRPr="00EE2B72">
        <w:rPr>
          <w:rFonts w:eastAsia="Times New Roman"/>
          <w:bCs/>
          <w:sz w:val="16"/>
          <w:szCs w:val="16"/>
          <w:lang w:eastAsia="de-DE"/>
        </w:rPr>
        <w:t xml:space="preserve">, </w:t>
      </w:r>
      <w:proofErr w:type="spellStart"/>
      <w:r w:rsidRPr="00EE2B72">
        <w:rPr>
          <w:rFonts w:eastAsia="Times New Roman"/>
          <w:bCs/>
          <w:sz w:val="16"/>
          <w:szCs w:val="16"/>
          <w:lang w:eastAsia="de-DE"/>
        </w:rPr>
        <w:t>Thiazafluron</w:t>
      </w:r>
      <w:proofErr w:type="spellEnd"/>
      <w:r w:rsidRPr="00EE2B72">
        <w:rPr>
          <w:rFonts w:eastAsia="Times New Roman"/>
          <w:bCs/>
          <w:sz w:val="16"/>
          <w:szCs w:val="16"/>
          <w:lang w:eastAsia="de-DE"/>
        </w:rPr>
        <w:t xml:space="preserve"> sowie für neu zugelassene Wirkstoffe.</w:t>
      </w:r>
    </w:p>
    <w:p w14:paraId="290FA4A8" w14:textId="77777777" w:rsidR="00EE2B72" w:rsidRPr="00EE2B72" w:rsidRDefault="00EE2B72" w:rsidP="00EE2B72">
      <w:pPr>
        <w:spacing w:before="0" w:after="0"/>
        <w:jc w:val="left"/>
        <w:rPr>
          <w:rFonts w:eastAsia="Times New Roman"/>
          <w:sz w:val="16"/>
          <w:szCs w:val="16"/>
          <w:lang w:eastAsia="de-DE"/>
        </w:rPr>
      </w:pPr>
      <w:r w:rsidRPr="00EE2B72">
        <w:rPr>
          <w:rFonts w:eastAsia="Times New Roman"/>
          <w:sz w:val="16"/>
          <w:szCs w:val="16"/>
          <w:vertAlign w:val="superscript"/>
          <w:lang w:eastAsia="de-DE"/>
        </w:rPr>
        <w:t>3</w:t>
      </w:r>
      <w:r w:rsidRPr="00EE2B72">
        <w:rPr>
          <w:rFonts w:eastAsia="Times New Roman"/>
          <w:sz w:val="16"/>
          <w:szCs w:val="16"/>
          <w:lang w:eastAsia="de-DE"/>
        </w:rPr>
        <w:t xml:space="preserve"> </w:t>
      </w:r>
      <w:r w:rsidRPr="00EE2B72">
        <w:rPr>
          <w:rFonts w:eastAsia="Times New Roman"/>
          <w:bCs/>
          <w:sz w:val="16"/>
          <w:szCs w:val="16"/>
          <w:lang w:eastAsia="de-DE"/>
        </w:rPr>
        <w:t>PAK</w:t>
      </w:r>
      <w:r w:rsidRPr="00EE2B72">
        <w:rPr>
          <w:rFonts w:eastAsia="Times New Roman"/>
          <w:sz w:val="16"/>
          <w:szCs w:val="16"/>
          <w:vertAlign w:val="subscript"/>
          <w:lang w:eastAsia="de-DE"/>
        </w:rPr>
        <w:t>15</w:t>
      </w:r>
      <w:r w:rsidRPr="00EE2B72">
        <w:rPr>
          <w:rFonts w:eastAsia="Times New Roman"/>
          <w:bCs/>
          <w:sz w:val="16"/>
          <w:szCs w:val="16"/>
          <w:lang w:eastAsia="de-DE"/>
        </w:rPr>
        <w:t>: PAK</w:t>
      </w:r>
      <w:r w:rsidRPr="00EE2B72">
        <w:rPr>
          <w:rFonts w:eastAsia="Times New Roman"/>
          <w:sz w:val="16"/>
          <w:szCs w:val="16"/>
          <w:vertAlign w:val="subscript"/>
          <w:lang w:eastAsia="de-DE"/>
        </w:rPr>
        <w:t xml:space="preserve">16 </w:t>
      </w:r>
      <w:r w:rsidRPr="00EE2B72">
        <w:rPr>
          <w:rFonts w:eastAsia="Times New Roman"/>
          <w:sz w:val="16"/>
          <w:szCs w:val="16"/>
          <w:lang w:eastAsia="de-DE"/>
        </w:rPr>
        <w:t xml:space="preserve">ohne Naphthalin und </w:t>
      </w:r>
      <w:proofErr w:type="spellStart"/>
      <w:r w:rsidRPr="00EE2B72">
        <w:rPr>
          <w:rFonts w:eastAsia="Times New Roman"/>
          <w:sz w:val="16"/>
          <w:szCs w:val="16"/>
          <w:lang w:eastAsia="de-DE"/>
        </w:rPr>
        <w:t>Methylnaphthaline</w:t>
      </w:r>
      <w:proofErr w:type="spellEnd"/>
      <w:r w:rsidRPr="00EE2B72">
        <w:rPr>
          <w:rFonts w:eastAsia="Times New Roman"/>
          <w:sz w:val="16"/>
          <w:szCs w:val="16"/>
          <w:lang w:eastAsia="de-DE"/>
        </w:rPr>
        <w:t>.</w:t>
      </w:r>
    </w:p>
    <w:p w14:paraId="582C8D62" w14:textId="16DCA7DB" w:rsidR="004B6F12" w:rsidRPr="003006DB" w:rsidRDefault="003006DB" w:rsidP="004B6F12">
      <w:pPr>
        <w:pStyle w:val="berschrift1"/>
      </w:pPr>
      <w:r>
        <w:br w:type="page"/>
      </w:r>
      <w:r w:rsidR="004B6F12" w:rsidRPr="008D0377">
        <w:lastRenderedPageBreak/>
        <w:t>Tabelle 3</w:t>
      </w:r>
    </w:p>
    <w:p w14:paraId="4038C5F6" w14:textId="77777777" w:rsidR="004B6F12" w:rsidRPr="008D0377" w:rsidRDefault="004B6F12" w:rsidP="004B6F12">
      <w:pPr>
        <w:pStyle w:val="Text"/>
      </w:pPr>
      <w:r w:rsidRPr="008D0377">
        <w:t>Materialwerte für Bodenmaterial</w:t>
      </w:r>
      <w:r w:rsidR="00EE2B72" w:rsidRPr="00EE2B72">
        <w:rPr>
          <w:b/>
          <w:color w:val="0000FF"/>
          <w:vertAlign w:val="superscript"/>
        </w:rPr>
        <w:t>1</w:t>
      </w:r>
      <w:r w:rsidRPr="008D0377">
        <w:t xml:space="preserve"> und Baggergut</w:t>
      </w:r>
    </w:p>
    <w:p w14:paraId="5D0F54A5" w14:textId="77777777" w:rsidR="00EE2B72" w:rsidRPr="00EE2B72" w:rsidRDefault="00EE2B72" w:rsidP="00EE2B72">
      <w:pPr>
        <w:spacing w:before="0" w:after="0"/>
        <w:jc w:val="left"/>
        <w:rPr>
          <w:rFonts w:eastAsia="Times New Roman"/>
          <w:b/>
          <w:lang w:eastAsia="de-DE"/>
        </w:rPr>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1"/>
        <w:gridCol w:w="844"/>
        <w:gridCol w:w="833"/>
        <w:gridCol w:w="1689"/>
        <w:gridCol w:w="698"/>
        <w:gridCol w:w="1097"/>
        <w:gridCol w:w="1097"/>
        <w:gridCol w:w="1097"/>
        <w:gridCol w:w="1097"/>
        <w:gridCol w:w="1294"/>
      </w:tblGrid>
      <w:tr w:rsidR="00EE2B72" w:rsidRPr="00EE2B72" w14:paraId="0F4B609A" w14:textId="77777777" w:rsidTr="00F43C5E">
        <w:tc>
          <w:tcPr>
            <w:tcW w:w="1491" w:type="pct"/>
            <w:shd w:val="clear" w:color="auto" w:fill="auto"/>
            <w:vAlign w:val="center"/>
          </w:tcPr>
          <w:p w14:paraId="302F1575"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Parameter</w:t>
            </w:r>
          </w:p>
        </w:tc>
        <w:tc>
          <w:tcPr>
            <w:tcW w:w="304" w:type="pct"/>
            <w:shd w:val="clear" w:color="auto" w:fill="auto"/>
            <w:vAlign w:val="center"/>
          </w:tcPr>
          <w:p w14:paraId="19570957"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Dim.</w:t>
            </w:r>
          </w:p>
        </w:tc>
        <w:tc>
          <w:tcPr>
            <w:tcW w:w="300" w:type="pct"/>
            <w:shd w:val="clear" w:color="auto" w:fill="auto"/>
            <w:vAlign w:val="center"/>
          </w:tcPr>
          <w:p w14:paraId="3B0E0E4C" w14:textId="77777777" w:rsidR="00EE2B72" w:rsidRPr="00EE2B72" w:rsidRDefault="00EE2B72" w:rsidP="00EE2B72">
            <w:pPr>
              <w:spacing w:before="0" w:after="0"/>
              <w:jc w:val="center"/>
              <w:rPr>
                <w:rFonts w:eastAsia="Times New Roman"/>
                <w:b/>
                <w:bCs/>
                <w:lang w:eastAsia="de-DE"/>
              </w:rPr>
            </w:pPr>
            <w:r w:rsidRPr="00EE2B72">
              <w:rPr>
                <w:rFonts w:eastAsia="Times New Roman"/>
                <w:b/>
                <w:bCs/>
                <w:lang w:eastAsia="de-DE"/>
              </w:rPr>
              <w:t>BM-0</w:t>
            </w:r>
          </w:p>
          <w:p w14:paraId="25473C39" w14:textId="77777777" w:rsidR="00EE2B72" w:rsidRPr="00EE2B72" w:rsidRDefault="00EE2B72" w:rsidP="00EE2B72">
            <w:pPr>
              <w:spacing w:before="0" w:after="0"/>
              <w:jc w:val="center"/>
              <w:rPr>
                <w:rFonts w:eastAsia="Times New Roman"/>
                <w:b/>
                <w:bCs/>
                <w:lang w:eastAsia="de-DE"/>
              </w:rPr>
            </w:pPr>
            <w:r w:rsidRPr="00EE2B72">
              <w:rPr>
                <w:rFonts w:eastAsia="Times New Roman"/>
                <w:b/>
                <w:bCs/>
                <w:lang w:eastAsia="de-DE"/>
              </w:rPr>
              <w:t>BG-0</w:t>
            </w:r>
          </w:p>
          <w:p w14:paraId="38DE1C8A" w14:textId="77777777" w:rsidR="00EE2B72" w:rsidRPr="00EE2B72" w:rsidRDefault="00EE2B72" w:rsidP="00EE2B72">
            <w:pPr>
              <w:spacing w:before="0" w:after="0"/>
              <w:jc w:val="center"/>
              <w:rPr>
                <w:rFonts w:eastAsia="Times New Roman"/>
                <w:b/>
                <w:bCs/>
                <w:lang w:eastAsia="de-DE"/>
              </w:rPr>
            </w:pPr>
            <w:r w:rsidRPr="00EE2B72">
              <w:rPr>
                <w:rFonts w:eastAsia="Times New Roman"/>
                <w:b/>
                <w:bCs/>
                <w:lang w:eastAsia="de-DE"/>
              </w:rPr>
              <w:t xml:space="preserve"> Sand</w:t>
            </w:r>
            <w:r w:rsidRPr="00EE2B72">
              <w:rPr>
                <w:rFonts w:eastAsia="Times New Roman"/>
                <w:b/>
                <w:bCs/>
                <w:vertAlign w:val="superscript"/>
                <w:lang w:eastAsia="de-DE"/>
              </w:rPr>
              <w:t>2</w:t>
            </w:r>
            <w:r w:rsidRPr="00EE2B72">
              <w:rPr>
                <w:rFonts w:eastAsia="Times New Roman"/>
                <w:b/>
                <w:bCs/>
                <w:lang w:eastAsia="de-DE"/>
              </w:rPr>
              <w:t xml:space="preserve"> </w:t>
            </w:r>
          </w:p>
        </w:tc>
        <w:tc>
          <w:tcPr>
            <w:tcW w:w="608" w:type="pct"/>
            <w:shd w:val="clear" w:color="auto" w:fill="auto"/>
            <w:vAlign w:val="center"/>
          </w:tcPr>
          <w:p w14:paraId="3BF9BF10" w14:textId="77777777" w:rsidR="00EE2B72" w:rsidRPr="00EE2B72" w:rsidRDefault="00EE2B72" w:rsidP="00EE2B72">
            <w:pPr>
              <w:spacing w:before="0" w:after="0"/>
              <w:jc w:val="center"/>
              <w:rPr>
                <w:rFonts w:eastAsia="Times New Roman"/>
                <w:b/>
                <w:bCs/>
                <w:lang w:eastAsia="de-DE"/>
              </w:rPr>
            </w:pPr>
            <w:r w:rsidRPr="00EE2B72">
              <w:rPr>
                <w:rFonts w:eastAsia="Times New Roman"/>
                <w:b/>
                <w:bCs/>
                <w:lang w:eastAsia="de-DE"/>
              </w:rPr>
              <w:t>BM-0</w:t>
            </w:r>
          </w:p>
          <w:p w14:paraId="772395FC" w14:textId="77777777" w:rsidR="00EE2B72" w:rsidRPr="00EE2B72" w:rsidRDefault="00EE2B72" w:rsidP="00EE2B72">
            <w:pPr>
              <w:spacing w:before="0" w:after="0"/>
              <w:jc w:val="center"/>
              <w:rPr>
                <w:rFonts w:eastAsia="Times New Roman"/>
                <w:b/>
                <w:bCs/>
                <w:lang w:eastAsia="de-DE"/>
              </w:rPr>
            </w:pPr>
            <w:r w:rsidRPr="00EE2B72">
              <w:rPr>
                <w:rFonts w:eastAsia="Times New Roman"/>
                <w:b/>
                <w:bCs/>
                <w:lang w:eastAsia="de-DE"/>
              </w:rPr>
              <w:t xml:space="preserve">BG-0 </w:t>
            </w:r>
          </w:p>
          <w:p w14:paraId="2B3DE833" w14:textId="741FE353" w:rsidR="00EE2B72" w:rsidRPr="00EE2B72" w:rsidRDefault="00EE2B72" w:rsidP="00EE2B72">
            <w:pPr>
              <w:spacing w:before="0" w:after="0"/>
              <w:jc w:val="center"/>
              <w:rPr>
                <w:rFonts w:eastAsia="Times New Roman"/>
                <w:b/>
                <w:bCs/>
                <w:lang w:eastAsia="de-DE"/>
              </w:rPr>
            </w:pPr>
            <w:proofErr w:type="gramStart"/>
            <w:r w:rsidRPr="00EE2B72">
              <w:rPr>
                <w:rFonts w:eastAsia="Times New Roman"/>
                <w:b/>
                <w:bCs/>
                <w:lang w:eastAsia="de-DE"/>
              </w:rPr>
              <w:t>Lehm,Schluff</w:t>
            </w:r>
            <w:proofErr w:type="gramEnd"/>
            <w:r w:rsidRPr="00EE2B72">
              <w:rPr>
                <w:rFonts w:eastAsia="Times New Roman"/>
                <w:b/>
                <w:bCs/>
                <w:vertAlign w:val="superscript"/>
                <w:lang w:eastAsia="de-DE"/>
              </w:rPr>
              <w:t>2</w:t>
            </w:r>
          </w:p>
        </w:tc>
        <w:tc>
          <w:tcPr>
            <w:tcW w:w="251" w:type="pct"/>
            <w:shd w:val="clear" w:color="auto" w:fill="auto"/>
            <w:vAlign w:val="center"/>
          </w:tcPr>
          <w:p w14:paraId="0101A58D" w14:textId="77777777" w:rsidR="00EE2B72" w:rsidRPr="00EE2B72" w:rsidRDefault="00EE2B72" w:rsidP="00EE2B72">
            <w:pPr>
              <w:spacing w:before="0" w:after="0"/>
              <w:jc w:val="center"/>
              <w:rPr>
                <w:rFonts w:eastAsia="Times New Roman"/>
                <w:b/>
                <w:bCs/>
                <w:lang w:eastAsia="de-DE"/>
              </w:rPr>
            </w:pPr>
            <w:r w:rsidRPr="00EE2B72">
              <w:rPr>
                <w:rFonts w:eastAsia="Times New Roman"/>
                <w:b/>
                <w:bCs/>
                <w:lang w:eastAsia="de-DE"/>
              </w:rPr>
              <w:t>BM-0</w:t>
            </w:r>
          </w:p>
          <w:p w14:paraId="3738CE77" w14:textId="77777777" w:rsidR="00EE2B72" w:rsidRPr="00EE2B72" w:rsidRDefault="00EE2B72" w:rsidP="00EE2B72">
            <w:pPr>
              <w:spacing w:before="0" w:after="0"/>
              <w:jc w:val="center"/>
              <w:rPr>
                <w:rFonts w:eastAsia="Times New Roman"/>
                <w:b/>
                <w:bCs/>
                <w:lang w:eastAsia="de-DE"/>
              </w:rPr>
            </w:pPr>
            <w:r w:rsidRPr="00EE2B72">
              <w:rPr>
                <w:rFonts w:eastAsia="Times New Roman"/>
                <w:b/>
                <w:bCs/>
                <w:lang w:eastAsia="de-DE"/>
              </w:rPr>
              <w:t>BG-0</w:t>
            </w:r>
          </w:p>
          <w:p w14:paraId="19558692" w14:textId="77777777" w:rsidR="00EE2B72" w:rsidRPr="00EE2B72" w:rsidRDefault="00EE2B72" w:rsidP="00EE2B72">
            <w:pPr>
              <w:spacing w:before="0" w:after="0"/>
              <w:jc w:val="center"/>
              <w:rPr>
                <w:rFonts w:eastAsia="Times New Roman"/>
                <w:b/>
                <w:bCs/>
                <w:lang w:eastAsia="de-DE"/>
              </w:rPr>
            </w:pPr>
            <w:r w:rsidRPr="00EE2B72">
              <w:rPr>
                <w:rFonts w:eastAsia="Times New Roman"/>
                <w:b/>
                <w:bCs/>
                <w:lang w:eastAsia="de-DE"/>
              </w:rPr>
              <w:t xml:space="preserve"> Ton</w:t>
            </w:r>
            <w:r w:rsidRPr="00EE2B72">
              <w:rPr>
                <w:rFonts w:eastAsia="Times New Roman"/>
                <w:b/>
                <w:bCs/>
                <w:vertAlign w:val="superscript"/>
                <w:lang w:eastAsia="de-DE"/>
              </w:rPr>
              <w:t>2</w:t>
            </w:r>
          </w:p>
        </w:tc>
        <w:tc>
          <w:tcPr>
            <w:tcW w:w="395" w:type="pct"/>
            <w:shd w:val="clear" w:color="auto" w:fill="auto"/>
            <w:vAlign w:val="center"/>
          </w:tcPr>
          <w:p w14:paraId="01185E18" w14:textId="77777777" w:rsidR="00EE2B72" w:rsidRPr="00EE2B72" w:rsidRDefault="00EE2B72" w:rsidP="00EE2B72">
            <w:pPr>
              <w:spacing w:before="0" w:after="0"/>
              <w:jc w:val="center"/>
              <w:rPr>
                <w:rFonts w:eastAsia="Times New Roman"/>
                <w:b/>
                <w:bCs/>
                <w:lang w:eastAsia="de-DE"/>
              </w:rPr>
            </w:pPr>
            <w:r w:rsidRPr="00EE2B72">
              <w:rPr>
                <w:rFonts w:eastAsia="Times New Roman"/>
                <w:b/>
                <w:bCs/>
                <w:lang w:eastAsia="de-DE"/>
              </w:rPr>
              <w:t xml:space="preserve">BM-0* </w:t>
            </w:r>
          </w:p>
          <w:p w14:paraId="1EDE6409" w14:textId="77777777" w:rsidR="00EE2B72" w:rsidRPr="00EE2B72" w:rsidRDefault="00EE2B72" w:rsidP="00EE2B72">
            <w:pPr>
              <w:spacing w:before="0" w:after="0"/>
              <w:jc w:val="center"/>
              <w:rPr>
                <w:rFonts w:eastAsia="Times New Roman"/>
                <w:b/>
                <w:bCs/>
                <w:lang w:eastAsia="de-DE"/>
              </w:rPr>
            </w:pPr>
            <w:r w:rsidRPr="00EE2B72">
              <w:rPr>
                <w:rFonts w:eastAsia="Times New Roman"/>
                <w:b/>
                <w:bCs/>
                <w:lang w:eastAsia="de-DE"/>
              </w:rPr>
              <w:t>BG-0*</w:t>
            </w:r>
            <w:r w:rsidRPr="00EE2B72">
              <w:rPr>
                <w:rFonts w:eastAsia="Times New Roman"/>
                <w:b/>
                <w:bCs/>
                <w:vertAlign w:val="superscript"/>
                <w:lang w:eastAsia="de-DE"/>
              </w:rPr>
              <w:t>3</w:t>
            </w:r>
          </w:p>
        </w:tc>
        <w:tc>
          <w:tcPr>
            <w:tcW w:w="395" w:type="pct"/>
            <w:shd w:val="clear" w:color="auto" w:fill="auto"/>
            <w:vAlign w:val="center"/>
          </w:tcPr>
          <w:p w14:paraId="54B07247" w14:textId="77777777" w:rsidR="00EE2B72" w:rsidRPr="00EE2B72" w:rsidRDefault="00EE2B72" w:rsidP="00EE2B72">
            <w:pPr>
              <w:spacing w:before="0" w:after="0"/>
              <w:jc w:val="center"/>
              <w:rPr>
                <w:rFonts w:eastAsia="Times New Roman"/>
                <w:b/>
                <w:bCs/>
                <w:lang w:eastAsia="de-DE"/>
              </w:rPr>
            </w:pPr>
            <w:r w:rsidRPr="00EE2B72">
              <w:rPr>
                <w:rFonts w:eastAsia="Times New Roman"/>
                <w:b/>
                <w:bCs/>
                <w:lang w:eastAsia="de-DE"/>
              </w:rPr>
              <w:t xml:space="preserve">BM-F0* </w:t>
            </w:r>
          </w:p>
          <w:p w14:paraId="101CFE4D" w14:textId="77777777" w:rsidR="00EE2B72" w:rsidRPr="00EE2B72" w:rsidRDefault="00EE2B72" w:rsidP="00EE2B72">
            <w:pPr>
              <w:spacing w:before="0" w:after="0"/>
              <w:jc w:val="center"/>
              <w:rPr>
                <w:rFonts w:eastAsia="Times New Roman"/>
                <w:b/>
                <w:bCs/>
                <w:lang w:eastAsia="de-DE"/>
              </w:rPr>
            </w:pPr>
            <w:r w:rsidRPr="00EE2B72">
              <w:rPr>
                <w:rFonts w:eastAsia="Times New Roman"/>
                <w:b/>
                <w:bCs/>
                <w:lang w:eastAsia="de-DE"/>
              </w:rPr>
              <w:t>BG-F0*</w:t>
            </w:r>
          </w:p>
        </w:tc>
        <w:tc>
          <w:tcPr>
            <w:tcW w:w="395" w:type="pct"/>
            <w:shd w:val="clear" w:color="auto" w:fill="auto"/>
            <w:vAlign w:val="center"/>
          </w:tcPr>
          <w:p w14:paraId="43548C5D" w14:textId="77777777" w:rsidR="00EE2B72" w:rsidRPr="00EE2B72" w:rsidRDefault="00EE2B72" w:rsidP="00EE2B72">
            <w:pPr>
              <w:spacing w:before="0" w:after="0"/>
              <w:jc w:val="center"/>
              <w:rPr>
                <w:rFonts w:eastAsia="Times New Roman"/>
                <w:b/>
                <w:bCs/>
                <w:lang w:eastAsia="de-DE"/>
              </w:rPr>
            </w:pPr>
            <w:r w:rsidRPr="00EE2B72">
              <w:rPr>
                <w:rFonts w:eastAsia="Times New Roman"/>
                <w:b/>
                <w:bCs/>
                <w:lang w:eastAsia="de-DE"/>
              </w:rPr>
              <w:t xml:space="preserve">BM-F1 </w:t>
            </w:r>
          </w:p>
          <w:p w14:paraId="1D99B510" w14:textId="77777777" w:rsidR="00EE2B72" w:rsidRPr="00EE2B72" w:rsidRDefault="00EE2B72" w:rsidP="00EE2B72">
            <w:pPr>
              <w:spacing w:before="0" w:after="0"/>
              <w:jc w:val="center"/>
              <w:rPr>
                <w:rFonts w:eastAsia="Times New Roman"/>
                <w:b/>
                <w:bCs/>
                <w:lang w:eastAsia="de-DE"/>
              </w:rPr>
            </w:pPr>
            <w:r w:rsidRPr="00EE2B72">
              <w:rPr>
                <w:rFonts w:eastAsia="Times New Roman"/>
                <w:b/>
                <w:bCs/>
                <w:lang w:eastAsia="de-DE"/>
              </w:rPr>
              <w:t>BG-F1</w:t>
            </w:r>
          </w:p>
        </w:tc>
        <w:tc>
          <w:tcPr>
            <w:tcW w:w="395" w:type="pct"/>
            <w:shd w:val="clear" w:color="auto" w:fill="auto"/>
            <w:vAlign w:val="center"/>
          </w:tcPr>
          <w:p w14:paraId="2CC3E228" w14:textId="77777777" w:rsidR="00EE2B72" w:rsidRPr="00EE2B72" w:rsidRDefault="00EE2B72" w:rsidP="00EE2B72">
            <w:pPr>
              <w:spacing w:before="0" w:after="0"/>
              <w:jc w:val="center"/>
              <w:rPr>
                <w:rFonts w:eastAsia="Times New Roman"/>
                <w:b/>
                <w:bCs/>
                <w:lang w:eastAsia="de-DE"/>
              </w:rPr>
            </w:pPr>
            <w:r w:rsidRPr="00EE2B72">
              <w:rPr>
                <w:rFonts w:eastAsia="Times New Roman"/>
                <w:b/>
                <w:bCs/>
                <w:lang w:eastAsia="de-DE"/>
              </w:rPr>
              <w:t xml:space="preserve">BM-F2 </w:t>
            </w:r>
          </w:p>
          <w:p w14:paraId="71C7ECF9" w14:textId="77777777" w:rsidR="00EE2B72" w:rsidRPr="00EE2B72" w:rsidRDefault="00EE2B72" w:rsidP="00EE2B72">
            <w:pPr>
              <w:spacing w:before="0" w:after="0"/>
              <w:jc w:val="center"/>
              <w:rPr>
                <w:rFonts w:eastAsia="Times New Roman"/>
                <w:b/>
                <w:bCs/>
                <w:lang w:eastAsia="de-DE"/>
              </w:rPr>
            </w:pPr>
            <w:r w:rsidRPr="00EE2B72">
              <w:rPr>
                <w:rFonts w:eastAsia="Times New Roman"/>
                <w:b/>
                <w:bCs/>
                <w:lang w:eastAsia="de-DE"/>
              </w:rPr>
              <w:t>BG-F2</w:t>
            </w:r>
          </w:p>
        </w:tc>
        <w:tc>
          <w:tcPr>
            <w:tcW w:w="466" w:type="pct"/>
            <w:shd w:val="clear" w:color="auto" w:fill="auto"/>
            <w:vAlign w:val="center"/>
          </w:tcPr>
          <w:p w14:paraId="1DDB017F" w14:textId="77777777" w:rsidR="00EE2B72" w:rsidRPr="00EE2B72" w:rsidRDefault="00EE2B72" w:rsidP="00EE2B72">
            <w:pPr>
              <w:spacing w:before="0" w:after="0"/>
              <w:jc w:val="center"/>
              <w:rPr>
                <w:rFonts w:eastAsia="Times New Roman"/>
                <w:b/>
                <w:bCs/>
                <w:lang w:eastAsia="de-DE"/>
              </w:rPr>
            </w:pPr>
            <w:r w:rsidRPr="00EE2B72">
              <w:rPr>
                <w:rFonts w:eastAsia="Times New Roman"/>
                <w:b/>
                <w:bCs/>
                <w:lang w:eastAsia="de-DE"/>
              </w:rPr>
              <w:t>BM-F3</w:t>
            </w:r>
          </w:p>
          <w:p w14:paraId="75D5347C" w14:textId="77777777" w:rsidR="00EE2B72" w:rsidRPr="00EE2B72" w:rsidRDefault="00EE2B72" w:rsidP="00EE2B72">
            <w:pPr>
              <w:spacing w:before="0" w:after="0"/>
              <w:jc w:val="center"/>
              <w:rPr>
                <w:rFonts w:eastAsia="Times New Roman"/>
                <w:b/>
                <w:bCs/>
                <w:lang w:eastAsia="de-DE"/>
              </w:rPr>
            </w:pPr>
            <w:r w:rsidRPr="00EE2B72">
              <w:rPr>
                <w:rFonts w:eastAsia="Times New Roman"/>
                <w:b/>
                <w:bCs/>
                <w:lang w:eastAsia="de-DE"/>
              </w:rPr>
              <w:t>BG-F3</w:t>
            </w:r>
          </w:p>
        </w:tc>
      </w:tr>
      <w:tr w:rsidR="00EE2B72" w:rsidRPr="00EE2B72" w14:paraId="5BF60A61" w14:textId="77777777" w:rsidTr="00F43C5E">
        <w:tc>
          <w:tcPr>
            <w:tcW w:w="1491" w:type="pct"/>
            <w:shd w:val="clear" w:color="auto" w:fill="auto"/>
            <w:vAlign w:val="center"/>
          </w:tcPr>
          <w:p w14:paraId="59C5A89E"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Mineralische Fremdbestandteile</w:t>
            </w:r>
          </w:p>
        </w:tc>
        <w:tc>
          <w:tcPr>
            <w:tcW w:w="304" w:type="pct"/>
            <w:shd w:val="clear" w:color="auto" w:fill="auto"/>
            <w:vAlign w:val="center"/>
          </w:tcPr>
          <w:p w14:paraId="0EE2A9D7"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Vol.-%</w:t>
            </w:r>
          </w:p>
        </w:tc>
        <w:tc>
          <w:tcPr>
            <w:tcW w:w="300" w:type="pct"/>
            <w:shd w:val="clear" w:color="auto" w:fill="auto"/>
            <w:vAlign w:val="center"/>
          </w:tcPr>
          <w:p w14:paraId="289A5AEC"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bis 10</w:t>
            </w:r>
          </w:p>
        </w:tc>
        <w:tc>
          <w:tcPr>
            <w:tcW w:w="608" w:type="pct"/>
            <w:shd w:val="clear" w:color="auto" w:fill="auto"/>
            <w:vAlign w:val="center"/>
          </w:tcPr>
          <w:p w14:paraId="449EE3F4"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bis 10</w:t>
            </w:r>
          </w:p>
        </w:tc>
        <w:tc>
          <w:tcPr>
            <w:tcW w:w="251" w:type="pct"/>
            <w:shd w:val="clear" w:color="auto" w:fill="auto"/>
            <w:vAlign w:val="center"/>
          </w:tcPr>
          <w:p w14:paraId="1E9BE7C7"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bis 10</w:t>
            </w:r>
          </w:p>
        </w:tc>
        <w:tc>
          <w:tcPr>
            <w:tcW w:w="395" w:type="pct"/>
            <w:shd w:val="clear" w:color="auto" w:fill="auto"/>
            <w:vAlign w:val="center"/>
          </w:tcPr>
          <w:p w14:paraId="5E17727E"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bis 10</w:t>
            </w:r>
          </w:p>
        </w:tc>
        <w:tc>
          <w:tcPr>
            <w:tcW w:w="395" w:type="pct"/>
            <w:shd w:val="clear" w:color="auto" w:fill="auto"/>
            <w:vAlign w:val="center"/>
          </w:tcPr>
          <w:p w14:paraId="44902444"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bis 50</w:t>
            </w:r>
          </w:p>
        </w:tc>
        <w:tc>
          <w:tcPr>
            <w:tcW w:w="395" w:type="pct"/>
            <w:shd w:val="clear" w:color="auto" w:fill="auto"/>
            <w:vAlign w:val="center"/>
          </w:tcPr>
          <w:p w14:paraId="68CC0C08"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bis 50</w:t>
            </w:r>
          </w:p>
        </w:tc>
        <w:tc>
          <w:tcPr>
            <w:tcW w:w="395" w:type="pct"/>
            <w:shd w:val="clear" w:color="auto" w:fill="auto"/>
            <w:vAlign w:val="center"/>
          </w:tcPr>
          <w:p w14:paraId="76F68C1C"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bis 50</w:t>
            </w:r>
          </w:p>
        </w:tc>
        <w:tc>
          <w:tcPr>
            <w:tcW w:w="466" w:type="pct"/>
            <w:shd w:val="clear" w:color="auto" w:fill="auto"/>
            <w:vAlign w:val="center"/>
          </w:tcPr>
          <w:p w14:paraId="6B69FC04"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bis 50</w:t>
            </w:r>
          </w:p>
        </w:tc>
      </w:tr>
      <w:tr w:rsidR="00EE2B72" w:rsidRPr="00EE2B72" w14:paraId="6777F626" w14:textId="77777777" w:rsidTr="00F43C5E">
        <w:tc>
          <w:tcPr>
            <w:tcW w:w="1491" w:type="pct"/>
            <w:shd w:val="clear" w:color="auto" w:fill="auto"/>
            <w:vAlign w:val="center"/>
          </w:tcPr>
          <w:p w14:paraId="08F91EDB"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pH-Wert</w:t>
            </w:r>
            <w:r w:rsidRPr="00EE2B72">
              <w:rPr>
                <w:rFonts w:eastAsia="Times New Roman"/>
                <w:b/>
                <w:bCs/>
                <w:vertAlign w:val="superscript"/>
                <w:lang w:eastAsia="de-DE"/>
              </w:rPr>
              <w:t>4</w:t>
            </w:r>
          </w:p>
        </w:tc>
        <w:tc>
          <w:tcPr>
            <w:tcW w:w="304" w:type="pct"/>
            <w:shd w:val="clear" w:color="auto" w:fill="auto"/>
            <w:vAlign w:val="center"/>
          </w:tcPr>
          <w:p w14:paraId="58217573" w14:textId="77777777" w:rsidR="00EE2B72" w:rsidRPr="00EE2B72" w:rsidRDefault="00EE2B72" w:rsidP="00EE2B72">
            <w:pPr>
              <w:spacing w:before="0" w:after="0"/>
              <w:jc w:val="left"/>
              <w:rPr>
                <w:rFonts w:eastAsia="Times New Roman"/>
                <w:bCs/>
                <w:lang w:eastAsia="de-DE"/>
              </w:rPr>
            </w:pPr>
          </w:p>
        </w:tc>
        <w:tc>
          <w:tcPr>
            <w:tcW w:w="300" w:type="pct"/>
            <w:shd w:val="clear" w:color="auto" w:fill="auto"/>
            <w:vAlign w:val="center"/>
          </w:tcPr>
          <w:p w14:paraId="16A397F8" w14:textId="77777777" w:rsidR="00EE2B72" w:rsidRPr="00EE2B72" w:rsidRDefault="00EE2B72" w:rsidP="00EE2B72">
            <w:pPr>
              <w:spacing w:before="0" w:after="0"/>
              <w:jc w:val="center"/>
              <w:rPr>
                <w:rFonts w:eastAsia="Times New Roman"/>
                <w:bCs/>
                <w:lang w:eastAsia="de-DE"/>
              </w:rPr>
            </w:pPr>
          </w:p>
        </w:tc>
        <w:tc>
          <w:tcPr>
            <w:tcW w:w="608" w:type="pct"/>
            <w:shd w:val="clear" w:color="auto" w:fill="auto"/>
            <w:vAlign w:val="center"/>
          </w:tcPr>
          <w:p w14:paraId="1D09BABF" w14:textId="77777777" w:rsidR="00EE2B72" w:rsidRPr="00EE2B72" w:rsidRDefault="00EE2B72" w:rsidP="00EE2B72">
            <w:pPr>
              <w:spacing w:before="0" w:after="0"/>
              <w:jc w:val="center"/>
              <w:rPr>
                <w:rFonts w:eastAsia="Times New Roman"/>
                <w:bCs/>
                <w:lang w:eastAsia="de-DE"/>
              </w:rPr>
            </w:pPr>
          </w:p>
        </w:tc>
        <w:tc>
          <w:tcPr>
            <w:tcW w:w="251" w:type="pct"/>
            <w:shd w:val="clear" w:color="auto" w:fill="auto"/>
            <w:vAlign w:val="center"/>
          </w:tcPr>
          <w:p w14:paraId="194DE6F7"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5CA24056" w14:textId="77777777" w:rsidR="00EE2B72" w:rsidRPr="00EE2B72" w:rsidRDefault="00EE2B72" w:rsidP="00EE2B72">
            <w:pPr>
              <w:spacing w:before="0" w:after="0"/>
              <w:jc w:val="left"/>
              <w:rPr>
                <w:rFonts w:eastAsia="Times New Roman"/>
                <w:bCs/>
                <w:lang w:eastAsia="de-DE"/>
              </w:rPr>
            </w:pPr>
          </w:p>
        </w:tc>
        <w:tc>
          <w:tcPr>
            <w:tcW w:w="395" w:type="pct"/>
            <w:shd w:val="clear" w:color="auto" w:fill="auto"/>
            <w:vAlign w:val="center"/>
          </w:tcPr>
          <w:p w14:paraId="578AFC55"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6,5–9,5</w:t>
            </w:r>
          </w:p>
        </w:tc>
        <w:tc>
          <w:tcPr>
            <w:tcW w:w="395" w:type="pct"/>
            <w:shd w:val="clear" w:color="auto" w:fill="auto"/>
            <w:vAlign w:val="center"/>
          </w:tcPr>
          <w:p w14:paraId="09FF2199"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6,5–9,5</w:t>
            </w:r>
          </w:p>
        </w:tc>
        <w:tc>
          <w:tcPr>
            <w:tcW w:w="395" w:type="pct"/>
            <w:shd w:val="clear" w:color="auto" w:fill="auto"/>
            <w:vAlign w:val="center"/>
          </w:tcPr>
          <w:p w14:paraId="1BB8A075"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6,5–9,5</w:t>
            </w:r>
          </w:p>
        </w:tc>
        <w:tc>
          <w:tcPr>
            <w:tcW w:w="466" w:type="pct"/>
            <w:shd w:val="clear" w:color="auto" w:fill="auto"/>
            <w:vAlign w:val="center"/>
          </w:tcPr>
          <w:p w14:paraId="14F072FC"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5,5-12,0</w:t>
            </w:r>
          </w:p>
        </w:tc>
      </w:tr>
      <w:tr w:rsidR="00EE2B72" w:rsidRPr="00EE2B72" w14:paraId="55FF4883" w14:textId="77777777" w:rsidTr="00F43C5E">
        <w:tc>
          <w:tcPr>
            <w:tcW w:w="1491" w:type="pct"/>
            <w:tcBorders>
              <w:left w:val="single" w:sz="4" w:space="0" w:color="auto"/>
            </w:tcBorders>
            <w:shd w:val="clear" w:color="auto" w:fill="auto"/>
          </w:tcPr>
          <w:p w14:paraId="002B1063"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Elektrische Leitfähigkeit.</w:t>
            </w:r>
            <w:r w:rsidRPr="00EE2B72">
              <w:rPr>
                <w:rFonts w:eastAsia="Times New Roman"/>
                <w:b/>
                <w:vertAlign w:val="superscript"/>
                <w:lang w:eastAsia="de-DE"/>
              </w:rPr>
              <w:t>4</w:t>
            </w:r>
          </w:p>
        </w:tc>
        <w:tc>
          <w:tcPr>
            <w:tcW w:w="304" w:type="pct"/>
            <w:shd w:val="clear" w:color="auto" w:fill="auto"/>
            <w:vAlign w:val="center"/>
          </w:tcPr>
          <w:p w14:paraId="0F204DC1"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µS/cm</w:t>
            </w:r>
          </w:p>
        </w:tc>
        <w:tc>
          <w:tcPr>
            <w:tcW w:w="300" w:type="pct"/>
            <w:shd w:val="clear" w:color="auto" w:fill="auto"/>
            <w:vAlign w:val="center"/>
          </w:tcPr>
          <w:p w14:paraId="6553A9E6" w14:textId="77777777" w:rsidR="00EE2B72" w:rsidRPr="00EE2B72" w:rsidRDefault="00EE2B72" w:rsidP="00EE2B72">
            <w:pPr>
              <w:spacing w:before="0" w:after="0"/>
              <w:jc w:val="center"/>
              <w:rPr>
                <w:rFonts w:eastAsia="Times New Roman"/>
                <w:bCs/>
                <w:lang w:eastAsia="de-DE"/>
              </w:rPr>
            </w:pPr>
          </w:p>
        </w:tc>
        <w:tc>
          <w:tcPr>
            <w:tcW w:w="608" w:type="pct"/>
            <w:shd w:val="clear" w:color="auto" w:fill="auto"/>
            <w:vAlign w:val="center"/>
          </w:tcPr>
          <w:p w14:paraId="55A9BB05" w14:textId="77777777" w:rsidR="00EE2B72" w:rsidRPr="00EE2B72" w:rsidRDefault="00EE2B72" w:rsidP="00EE2B72">
            <w:pPr>
              <w:spacing w:before="0" w:after="0"/>
              <w:jc w:val="center"/>
              <w:rPr>
                <w:rFonts w:eastAsia="Times New Roman"/>
                <w:bCs/>
                <w:lang w:eastAsia="de-DE"/>
              </w:rPr>
            </w:pPr>
          </w:p>
        </w:tc>
        <w:tc>
          <w:tcPr>
            <w:tcW w:w="251" w:type="pct"/>
            <w:shd w:val="clear" w:color="auto" w:fill="auto"/>
            <w:vAlign w:val="center"/>
          </w:tcPr>
          <w:p w14:paraId="6B789265"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0B9515E5"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350</w:t>
            </w:r>
          </w:p>
        </w:tc>
        <w:tc>
          <w:tcPr>
            <w:tcW w:w="395" w:type="pct"/>
            <w:shd w:val="clear" w:color="auto" w:fill="auto"/>
            <w:vAlign w:val="center"/>
          </w:tcPr>
          <w:p w14:paraId="7175A690"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350</w:t>
            </w:r>
          </w:p>
        </w:tc>
        <w:tc>
          <w:tcPr>
            <w:tcW w:w="395" w:type="pct"/>
            <w:shd w:val="clear" w:color="auto" w:fill="auto"/>
            <w:vAlign w:val="center"/>
          </w:tcPr>
          <w:p w14:paraId="4983E13E"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500</w:t>
            </w:r>
          </w:p>
        </w:tc>
        <w:tc>
          <w:tcPr>
            <w:tcW w:w="395" w:type="pct"/>
            <w:shd w:val="clear" w:color="auto" w:fill="auto"/>
            <w:vAlign w:val="center"/>
          </w:tcPr>
          <w:p w14:paraId="6364D5F9"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500</w:t>
            </w:r>
          </w:p>
        </w:tc>
        <w:tc>
          <w:tcPr>
            <w:tcW w:w="466" w:type="pct"/>
            <w:shd w:val="clear" w:color="auto" w:fill="auto"/>
            <w:vAlign w:val="center"/>
          </w:tcPr>
          <w:p w14:paraId="2E71921E"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2 000</w:t>
            </w:r>
          </w:p>
        </w:tc>
      </w:tr>
      <w:tr w:rsidR="00EE2B72" w:rsidRPr="00EE2B72" w14:paraId="10F58249" w14:textId="77777777" w:rsidTr="00F43C5E">
        <w:tc>
          <w:tcPr>
            <w:tcW w:w="1491" w:type="pct"/>
            <w:shd w:val="clear" w:color="auto" w:fill="auto"/>
            <w:vAlign w:val="center"/>
          </w:tcPr>
          <w:p w14:paraId="3D8DAB99"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Sulfat</w:t>
            </w:r>
          </w:p>
        </w:tc>
        <w:tc>
          <w:tcPr>
            <w:tcW w:w="304" w:type="pct"/>
            <w:shd w:val="clear" w:color="auto" w:fill="auto"/>
            <w:vAlign w:val="center"/>
          </w:tcPr>
          <w:p w14:paraId="7EFCD688"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mg/l</w:t>
            </w:r>
          </w:p>
        </w:tc>
        <w:tc>
          <w:tcPr>
            <w:tcW w:w="300" w:type="pct"/>
            <w:shd w:val="clear" w:color="auto" w:fill="auto"/>
            <w:vAlign w:val="center"/>
          </w:tcPr>
          <w:p w14:paraId="44BF2A53"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250</w:t>
            </w:r>
            <w:r w:rsidRPr="00EE2B72">
              <w:rPr>
                <w:rFonts w:eastAsia="Times New Roman"/>
                <w:bCs/>
                <w:vertAlign w:val="superscript"/>
                <w:lang w:eastAsia="de-DE"/>
              </w:rPr>
              <w:t>5</w:t>
            </w:r>
          </w:p>
        </w:tc>
        <w:tc>
          <w:tcPr>
            <w:tcW w:w="608" w:type="pct"/>
            <w:shd w:val="clear" w:color="auto" w:fill="auto"/>
            <w:vAlign w:val="center"/>
          </w:tcPr>
          <w:p w14:paraId="74C782FF"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250</w:t>
            </w:r>
            <w:r w:rsidRPr="00EE2B72">
              <w:rPr>
                <w:rFonts w:eastAsia="Times New Roman"/>
                <w:bCs/>
                <w:vertAlign w:val="superscript"/>
                <w:lang w:eastAsia="de-DE"/>
              </w:rPr>
              <w:t>5</w:t>
            </w:r>
          </w:p>
        </w:tc>
        <w:tc>
          <w:tcPr>
            <w:tcW w:w="251" w:type="pct"/>
            <w:shd w:val="clear" w:color="auto" w:fill="auto"/>
            <w:vAlign w:val="center"/>
          </w:tcPr>
          <w:p w14:paraId="24F97077"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250</w:t>
            </w:r>
            <w:r w:rsidRPr="00EE2B72">
              <w:rPr>
                <w:rFonts w:eastAsia="Times New Roman"/>
                <w:bCs/>
                <w:vertAlign w:val="superscript"/>
                <w:lang w:eastAsia="de-DE"/>
              </w:rPr>
              <w:t>5</w:t>
            </w:r>
          </w:p>
        </w:tc>
        <w:tc>
          <w:tcPr>
            <w:tcW w:w="395" w:type="pct"/>
            <w:shd w:val="clear" w:color="auto" w:fill="auto"/>
            <w:vAlign w:val="center"/>
          </w:tcPr>
          <w:p w14:paraId="105C5A94"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250</w:t>
            </w:r>
            <w:r w:rsidRPr="00EE2B72">
              <w:rPr>
                <w:rFonts w:eastAsia="Times New Roman"/>
                <w:bCs/>
                <w:vertAlign w:val="superscript"/>
                <w:lang w:eastAsia="de-DE"/>
              </w:rPr>
              <w:t>5</w:t>
            </w:r>
          </w:p>
        </w:tc>
        <w:tc>
          <w:tcPr>
            <w:tcW w:w="395" w:type="pct"/>
            <w:shd w:val="clear" w:color="auto" w:fill="auto"/>
            <w:vAlign w:val="center"/>
          </w:tcPr>
          <w:p w14:paraId="420B8EF8"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250</w:t>
            </w:r>
            <w:r w:rsidRPr="00EE2B72">
              <w:rPr>
                <w:rFonts w:eastAsia="Times New Roman"/>
                <w:bCs/>
                <w:vertAlign w:val="superscript"/>
                <w:lang w:eastAsia="de-DE"/>
              </w:rPr>
              <w:t>5</w:t>
            </w:r>
          </w:p>
        </w:tc>
        <w:tc>
          <w:tcPr>
            <w:tcW w:w="395" w:type="pct"/>
            <w:shd w:val="clear" w:color="auto" w:fill="auto"/>
            <w:vAlign w:val="center"/>
          </w:tcPr>
          <w:p w14:paraId="5078AA91"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450</w:t>
            </w:r>
          </w:p>
        </w:tc>
        <w:tc>
          <w:tcPr>
            <w:tcW w:w="395" w:type="pct"/>
            <w:shd w:val="clear" w:color="auto" w:fill="auto"/>
            <w:vAlign w:val="center"/>
          </w:tcPr>
          <w:p w14:paraId="40345AC9"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450</w:t>
            </w:r>
          </w:p>
        </w:tc>
        <w:tc>
          <w:tcPr>
            <w:tcW w:w="466" w:type="pct"/>
            <w:shd w:val="clear" w:color="auto" w:fill="auto"/>
            <w:vAlign w:val="center"/>
          </w:tcPr>
          <w:p w14:paraId="338BB041"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1 000</w:t>
            </w:r>
          </w:p>
        </w:tc>
      </w:tr>
      <w:tr w:rsidR="00EE2B72" w:rsidRPr="00EE2B72" w14:paraId="289E4FAF" w14:textId="77777777" w:rsidTr="00F43C5E">
        <w:tc>
          <w:tcPr>
            <w:tcW w:w="1491" w:type="pct"/>
            <w:shd w:val="clear" w:color="auto" w:fill="auto"/>
            <w:vAlign w:val="center"/>
          </w:tcPr>
          <w:p w14:paraId="3593E7BD"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Arsen</w:t>
            </w:r>
          </w:p>
        </w:tc>
        <w:tc>
          <w:tcPr>
            <w:tcW w:w="304" w:type="pct"/>
            <w:shd w:val="clear" w:color="auto" w:fill="auto"/>
            <w:vAlign w:val="center"/>
          </w:tcPr>
          <w:p w14:paraId="062E0080"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mg/kg</w:t>
            </w:r>
          </w:p>
        </w:tc>
        <w:tc>
          <w:tcPr>
            <w:tcW w:w="300" w:type="pct"/>
            <w:shd w:val="clear" w:color="auto" w:fill="auto"/>
            <w:vAlign w:val="center"/>
          </w:tcPr>
          <w:p w14:paraId="2DD5E2E0"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10</w:t>
            </w:r>
          </w:p>
        </w:tc>
        <w:tc>
          <w:tcPr>
            <w:tcW w:w="608" w:type="pct"/>
            <w:shd w:val="clear" w:color="auto" w:fill="auto"/>
            <w:vAlign w:val="center"/>
          </w:tcPr>
          <w:p w14:paraId="016D83F2"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20</w:t>
            </w:r>
          </w:p>
        </w:tc>
        <w:tc>
          <w:tcPr>
            <w:tcW w:w="251" w:type="pct"/>
            <w:shd w:val="clear" w:color="auto" w:fill="auto"/>
            <w:vAlign w:val="center"/>
          </w:tcPr>
          <w:p w14:paraId="616B82D9"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20</w:t>
            </w:r>
          </w:p>
        </w:tc>
        <w:tc>
          <w:tcPr>
            <w:tcW w:w="395" w:type="pct"/>
            <w:shd w:val="clear" w:color="auto" w:fill="auto"/>
            <w:vAlign w:val="center"/>
          </w:tcPr>
          <w:p w14:paraId="7487B7EA"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20</w:t>
            </w:r>
          </w:p>
        </w:tc>
        <w:tc>
          <w:tcPr>
            <w:tcW w:w="395" w:type="pct"/>
            <w:shd w:val="clear" w:color="auto" w:fill="auto"/>
            <w:vAlign w:val="center"/>
          </w:tcPr>
          <w:p w14:paraId="15A785B2"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40</w:t>
            </w:r>
          </w:p>
        </w:tc>
        <w:tc>
          <w:tcPr>
            <w:tcW w:w="395" w:type="pct"/>
            <w:shd w:val="clear" w:color="auto" w:fill="auto"/>
            <w:vAlign w:val="center"/>
          </w:tcPr>
          <w:p w14:paraId="56C0B08A"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40</w:t>
            </w:r>
          </w:p>
        </w:tc>
        <w:tc>
          <w:tcPr>
            <w:tcW w:w="395" w:type="pct"/>
            <w:shd w:val="clear" w:color="auto" w:fill="auto"/>
            <w:vAlign w:val="center"/>
          </w:tcPr>
          <w:p w14:paraId="394184C9"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40</w:t>
            </w:r>
          </w:p>
        </w:tc>
        <w:tc>
          <w:tcPr>
            <w:tcW w:w="466" w:type="pct"/>
            <w:shd w:val="clear" w:color="auto" w:fill="auto"/>
            <w:vAlign w:val="center"/>
          </w:tcPr>
          <w:p w14:paraId="218FE704"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150</w:t>
            </w:r>
          </w:p>
        </w:tc>
      </w:tr>
      <w:tr w:rsidR="00EE2B72" w:rsidRPr="00EE2B72" w14:paraId="39E95152" w14:textId="77777777" w:rsidTr="00F43C5E">
        <w:tc>
          <w:tcPr>
            <w:tcW w:w="1491" w:type="pct"/>
            <w:shd w:val="clear" w:color="auto" w:fill="auto"/>
            <w:vAlign w:val="center"/>
          </w:tcPr>
          <w:p w14:paraId="5C63AE23"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Arsen</w:t>
            </w:r>
          </w:p>
        </w:tc>
        <w:tc>
          <w:tcPr>
            <w:tcW w:w="304" w:type="pct"/>
            <w:shd w:val="clear" w:color="auto" w:fill="auto"/>
            <w:vAlign w:val="center"/>
          </w:tcPr>
          <w:p w14:paraId="771C4C14"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µg/l</w:t>
            </w:r>
          </w:p>
        </w:tc>
        <w:tc>
          <w:tcPr>
            <w:tcW w:w="300" w:type="pct"/>
            <w:shd w:val="clear" w:color="auto" w:fill="auto"/>
            <w:vAlign w:val="center"/>
          </w:tcPr>
          <w:p w14:paraId="139F9387" w14:textId="77777777" w:rsidR="00EE2B72" w:rsidRPr="00EE2B72" w:rsidRDefault="00EE2B72" w:rsidP="00EE2B72">
            <w:pPr>
              <w:spacing w:before="0" w:after="0"/>
              <w:jc w:val="center"/>
              <w:rPr>
                <w:rFonts w:eastAsia="Times New Roman"/>
                <w:bCs/>
                <w:lang w:eastAsia="de-DE"/>
              </w:rPr>
            </w:pPr>
          </w:p>
        </w:tc>
        <w:tc>
          <w:tcPr>
            <w:tcW w:w="608" w:type="pct"/>
            <w:shd w:val="clear" w:color="auto" w:fill="auto"/>
            <w:vAlign w:val="center"/>
          </w:tcPr>
          <w:p w14:paraId="6BEB6A0C" w14:textId="77777777" w:rsidR="00EE2B72" w:rsidRPr="00EE2B72" w:rsidRDefault="00EE2B72" w:rsidP="00EE2B72">
            <w:pPr>
              <w:spacing w:before="0" w:after="0"/>
              <w:jc w:val="center"/>
              <w:rPr>
                <w:rFonts w:eastAsia="Times New Roman"/>
                <w:bCs/>
                <w:lang w:eastAsia="de-DE"/>
              </w:rPr>
            </w:pPr>
          </w:p>
        </w:tc>
        <w:tc>
          <w:tcPr>
            <w:tcW w:w="251" w:type="pct"/>
            <w:shd w:val="clear" w:color="auto" w:fill="auto"/>
            <w:vAlign w:val="center"/>
          </w:tcPr>
          <w:p w14:paraId="41503D8E"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3E563957"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8 (13)</w:t>
            </w:r>
          </w:p>
        </w:tc>
        <w:tc>
          <w:tcPr>
            <w:tcW w:w="395" w:type="pct"/>
            <w:shd w:val="clear" w:color="auto" w:fill="auto"/>
            <w:vAlign w:val="center"/>
          </w:tcPr>
          <w:p w14:paraId="0CE2A6C2"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12</w:t>
            </w:r>
          </w:p>
        </w:tc>
        <w:tc>
          <w:tcPr>
            <w:tcW w:w="395" w:type="pct"/>
            <w:shd w:val="clear" w:color="auto" w:fill="auto"/>
            <w:vAlign w:val="center"/>
          </w:tcPr>
          <w:p w14:paraId="6E242662"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20</w:t>
            </w:r>
          </w:p>
        </w:tc>
        <w:tc>
          <w:tcPr>
            <w:tcW w:w="395" w:type="pct"/>
            <w:shd w:val="clear" w:color="auto" w:fill="auto"/>
            <w:vAlign w:val="center"/>
          </w:tcPr>
          <w:p w14:paraId="7BE1697F"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85</w:t>
            </w:r>
          </w:p>
        </w:tc>
        <w:tc>
          <w:tcPr>
            <w:tcW w:w="466" w:type="pct"/>
            <w:shd w:val="clear" w:color="auto" w:fill="auto"/>
            <w:vAlign w:val="center"/>
          </w:tcPr>
          <w:p w14:paraId="11991C8F"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100</w:t>
            </w:r>
          </w:p>
        </w:tc>
      </w:tr>
      <w:tr w:rsidR="00EE2B72" w:rsidRPr="00EE2B72" w14:paraId="3AE6CFAE" w14:textId="77777777" w:rsidTr="00F43C5E">
        <w:tc>
          <w:tcPr>
            <w:tcW w:w="1491" w:type="pct"/>
            <w:shd w:val="clear" w:color="auto" w:fill="auto"/>
            <w:vAlign w:val="center"/>
          </w:tcPr>
          <w:p w14:paraId="46E1998B"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Blei</w:t>
            </w:r>
          </w:p>
        </w:tc>
        <w:tc>
          <w:tcPr>
            <w:tcW w:w="304" w:type="pct"/>
            <w:shd w:val="clear" w:color="auto" w:fill="auto"/>
            <w:vAlign w:val="center"/>
          </w:tcPr>
          <w:p w14:paraId="57CC52C5"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mg/kg</w:t>
            </w:r>
          </w:p>
        </w:tc>
        <w:tc>
          <w:tcPr>
            <w:tcW w:w="300" w:type="pct"/>
            <w:shd w:val="clear" w:color="auto" w:fill="auto"/>
            <w:vAlign w:val="center"/>
          </w:tcPr>
          <w:p w14:paraId="54903146"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40</w:t>
            </w:r>
          </w:p>
        </w:tc>
        <w:tc>
          <w:tcPr>
            <w:tcW w:w="608" w:type="pct"/>
            <w:shd w:val="clear" w:color="auto" w:fill="auto"/>
            <w:vAlign w:val="center"/>
          </w:tcPr>
          <w:p w14:paraId="3ABF1EE0"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70</w:t>
            </w:r>
          </w:p>
        </w:tc>
        <w:tc>
          <w:tcPr>
            <w:tcW w:w="251" w:type="pct"/>
            <w:shd w:val="clear" w:color="auto" w:fill="auto"/>
            <w:vAlign w:val="center"/>
          </w:tcPr>
          <w:p w14:paraId="5110460D"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100</w:t>
            </w:r>
          </w:p>
        </w:tc>
        <w:tc>
          <w:tcPr>
            <w:tcW w:w="395" w:type="pct"/>
            <w:shd w:val="clear" w:color="auto" w:fill="auto"/>
            <w:vAlign w:val="center"/>
          </w:tcPr>
          <w:p w14:paraId="785C2FEB"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140</w:t>
            </w:r>
          </w:p>
        </w:tc>
        <w:tc>
          <w:tcPr>
            <w:tcW w:w="395" w:type="pct"/>
            <w:shd w:val="clear" w:color="auto" w:fill="auto"/>
            <w:vAlign w:val="center"/>
          </w:tcPr>
          <w:p w14:paraId="03A74A5A"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140</w:t>
            </w:r>
          </w:p>
        </w:tc>
        <w:tc>
          <w:tcPr>
            <w:tcW w:w="395" w:type="pct"/>
            <w:shd w:val="clear" w:color="auto" w:fill="auto"/>
            <w:vAlign w:val="center"/>
          </w:tcPr>
          <w:p w14:paraId="43DC1B76"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140</w:t>
            </w:r>
          </w:p>
        </w:tc>
        <w:tc>
          <w:tcPr>
            <w:tcW w:w="395" w:type="pct"/>
            <w:shd w:val="clear" w:color="auto" w:fill="auto"/>
            <w:vAlign w:val="center"/>
          </w:tcPr>
          <w:p w14:paraId="6E16639E"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140</w:t>
            </w:r>
          </w:p>
        </w:tc>
        <w:tc>
          <w:tcPr>
            <w:tcW w:w="466" w:type="pct"/>
            <w:shd w:val="clear" w:color="auto" w:fill="auto"/>
            <w:vAlign w:val="center"/>
          </w:tcPr>
          <w:p w14:paraId="6BF897DC"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700</w:t>
            </w:r>
          </w:p>
        </w:tc>
      </w:tr>
      <w:tr w:rsidR="00EE2B72" w:rsidRPr="00EE2B72" w14:paraId="3AF6D342" w14:textId="77777777" w:rsidTr="00F43C5E">
        <w:tc>
          <w:tcPr>
            <w:tcW w:w="1491" w:type="pct"/>
            <w:shd w:val="clear" w:color="auto" w:fill="auto"/>
            <w:vAlign w:val="center"/>
          </w:tcPr>
          <w:p w14:paraId="43BA0A52"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Blei</w:t>
            </w:r>
          </w:p>
        </w:tc>
        <w:tc>
          <w:tcPr>
            <w:tcW w:w="304" w:type="pct"/>
            <w:shd w:val="clear" w:color="auto" w:fill="auto"/>
            <w:vAlign w:val="center"/>
          </w:tcPr>
          <w:p w14:paraId="532AC9E6"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µg/l</w:t>
            </w:r>
          </w:p>
        </w:tc>
        <w:tc>
          <w:tcPr>
            <w:tcW w:w="300" w:type="pct"/>
            <w:shd w:val="clear" w:color="auto" w:fill="auto"/>
            <w:vAlign w:val="center"/>
          </w:tcPr>
          <w:p w14:paraId="2B905BCA" w14:textId="77777777" w:rsidR="00EE2B72" w:rsidRPr="00EE2B72" w:rsidRDefault="00EE2B72" w:rsidP="00EE2B72">
            <w:pPr>
              <w:spacing w:before="0" w:after="0"/>
              <w:jc w:val="center"/>
              <w:rPr>
                <w:rFonts w:eastAsia="Times New Roman"/>
                <w:bCs/>
                <w:lang w:eastAsia="de-DE"/>
              </w:rPr>
            </w:pPr>
          </w:p>
        </w:tc>
        <w:tc>
          <w:tcPr>
            <w:tcW w:w="608" w:type="pct"/>
            <w:shd w:val="clear" w:color="auto" w:fill="auto"/>
            <w:vAlign w:val="center"/>
          </w:tcPr>
          <w:p w14:paraId="5C1E290D" w14:textId="77777777" w:rsidR="00EE2B72" w:rsidRPr="00EE2B72" w:rsidRDefault="00EE2B72" w:rsidP="00EE2B72">
            <w:pPr>
              <w:spacing w:before="0" w:after="0"/>
              <w:jc w:val="center"/>
              <w:rPr>
                <w:rFonts w:eastAsia="Times New Roman"/>
                <w:bCs/>
                <w:lang w:eastAsia="de-DE"/>
              </w:rPr>
            </w:pPr>
          </w:p>
        </w:tc>
        <w:tc>
          <w:tcPr>
            <w:tcW w:w="251" w:type="pct"/>
            <w:shd w:val="clear" w:color="auto" w:fill="auto"/>
            <w:vAlign w:val="center"/>
          </w:tcPr>
          <w:p w14:paraId="0C19BB4E"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5233622C" w14:textId="77777777" w:rsidR="00EE2B72" w:rsidRPr="00EE2B72" w:rsidRDefault="00EE2B72" w:rsidP="00EE2B72">
            <w:pPr>
              <w:spacing w:before="0" w:after="0"/>
              <w:jc w:val="center"/>
              <w:rPr>
                <w:rFonts w:eastAsia="Times New Roman"/>
                <w:lang w:eastAsia="de-DE"/>
              </w:rPr>
            </w:pPr>
            <w:r w:rsidRPr="00EE2B72">
              <w:rPr>
                <w:rFonts w:eastAsia="Times New Roman"/>
                <w:bCs/>
                <w:lang w:eastAsia="de-DE"/>
              </w:rPr>
              <w:t>23 (43)</w:t>
            </w:r>
          </w:p>
        </w:tc>
        <w:tc>
          <w:tcPr>
            <w:tcW w:w="395" w:type="pct"/>
            <w:shd w:val="clear" w:color="auto" w:fill="auto"/>
            <w:vAlign w:val="center"/>
          </w:tcPr>
          <w:p w14:paraId="184A0CBA"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35</w:t>
            </w:r>
          </w:p>
        </w:tc>
        <w:tc>
          <w:tcPr>
            <w:tcW w:w="395" w:type="pct"/>
            <w:shd w:val="clear" w:color="auto" w:fill="auto"/>
            <w:vAlign w:val="center"/>
          </w:tcPr>
          <w:p w14:paraId="6BD6EDC5"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90</w:t>
            </w:r>
          </w:p>
        </w:tc>
        <w:tc>
          <w:tcPr>
            <w:tcW w:w="395" w:type="pct"/>
            <w:shd w:val="clear" w:color="auto" w:fill="auto"/>
            <w:vAlign w:val="center"/>
          </w:tcPr>
          <w:p w14:paraId="2F6C933B"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250</w:t>
            </w:r>
          </w:p>
        </w:tc>
        <w:tc>
          <w:tcPr>
            <w:tcW w:w="466" w:type="pct"/>
            <w:shd w:val="clear" w:color="auto" w:fill="auto"/>
            <w:vAlign w:val="center"/>
          </w:tcPr>
          <w:p w14:paraId="7359113A"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470</w:t>
            </w:r>
          </w:p>
        </w:tc>
      </w:tr>
      <w:tr w:rsidR="00EE2B72" w:rsidRPr="00EE2B72" w14:paraId="073553D5" w14:textId="77777777" w:rsidTr="00F43C5E">
        <w:tc>
          <w:tcPr>
            <w:tcW w:w="1491" w:type="pct"/>
            <w:shd w:val="clear" w:color="auto" w:fill="auto"/>
            <w:vAlign w:val="center"/>
          </w:tcPr>
          <w:p w14:paraId="2A13681D"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Cadmium</w:t>
            </w:r>
          </w:p>
        </w:tc>
        <w:tc>
          <w:tcPr>
            <w:tcW w:w="304" w:type="pct"/>
            <w:shd w:val="clear" w:color="auto" w:fill="auto"/>
            <w:vAlign w:val="center"/>
          </w:tcPr>
          <w:p w14:paraId="458DF1E8"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mg/kg</w:t>
            </w:r>
          </w:p>
        </w:tc>
        <w:tc>
          <w:tcPr>
            <w:tcW w:w="300" w:type="pct"/>
            <w:shd w:val="clear" w:color="auto" w:fill="auto"/>
            <w:vAlign w:val="center"/>
          </w:tcPr>
          <w:p w14:paraId="71863528"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0,4</w:t>
            </w:r>
          </w:p>
        </w:tc>
        <w:tc>
          <w:tcPr>
            <w:tcW w:w="608" w:type="pct"/>
            <w:shd w:val="clear" w:color="auto" w:fill="auto"/>
            <w:vAlign w:val="center"/>
          </w:tcPr>
          <w:p w14:paraId="44B2449B"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w:t>
            </w:r>
          </w:p>
        </w:tc>
        <w:tc>
          <w:tcPr>
            <w:tcW w:w="251" w:type="pct"/>
            <w:shd w:val="clear" w:color="auto" w:fill="auto"/>
            <w:vAlign w:val="center"/>
          </w:tcPr>
          <w:p w14:paraId="05FEB891"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1,5</w:t>
            </w:r>
          </w:p>
        </w:tc>
        <w:tc>
          <w:tcPr>
            <w:tcW w:w="395" w:type="pct"/>
            <w:shd w:val="clear" w:color="auto" w:fill="auto"/>
            <w:vAlign w:val="center"/>
          </w:tcPr>
          <w:p w14:paraId="17FB4661" w14:textId="77777777" w:rsidR="00EE2B72" w:rsidRPr="00EE2B72" w:rsidRDefault="00EE2B72" w:rsidP="00EE2B72">
            <w:pPr>
              <w:spacing w:before="0" w:after="0"/>
              <w:jc w:val="center"/>
              <w:rPr>
                <w:rFonts w:eastAsia="Times New Roman"/>
                <w:lang w:eastAsia="de-DE"/>
              </w:rPr>
            </w:pPr>
            <w:r w:rsidRPr="00EE2B72">
              <w:rPr>
                <w:rFonts w:eastAsia="Times New Roman"/>
                <w:bCs/>
                <w:lang w:eastAsia="de-DE"/>
              </w:rPr>
              <w:t>1</w:t>
            </w:r>
            <w:r w:rsidRPr="00EE2B72">
              <w:rPr>
                <w:rFonts w:eastAsia="Times New Roman"/>
                <w:b/>
                <w:bCs/>
                <w:vertAlign w:val="superscript"/>
                <w:lang w:eastAsia="de-DE"/>
              </w:rPr>
              <w:t>6</w:t>
            </w:r>
          </w:p>
        </w:tc>
        <w:tc>
          <w:tcPr>
            <w:tcW w:w="395" w:type="pct"/>
            <w:shd w:val="clear" w:color="auto" w:fill="auto"/>
            <w:vAlign w:val="center"/>
          </w:tcPr>
          <w:p w14:paraId="1DC7B774"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w:t>
            </w:r>
          </w:p>
        </w:tc>
        <w:tc>
          <w:tcPr>
            <w:tcW w:w="395" w:type="pct"/>
            <w:shd w:val="clear" w:color="auto" w:fill="auto"/>
            <w:vAlign w:val="center"/>
          </w:tcPr>
          <w:p w14:paraId="11D5AA2C"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w:t>
            </w:r>
          </w:p>
        </w:tc>
        <w:tc>
          <w:tcPr>
            <w:tcW w:w="395" w:type="pct"/>
            <w:shd w:val="clear" w:color="auto" w:fill="auto"/>
            <w:vAlign w:val="center"/>
          </w:tcPr>
          <w:p w14:paraId="4CEE02F8"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w:t>
            </w:r>
          </w:p>
        </w:tc>
        <w:tc>
          <w:tcPr>
            <w:tcW w:w="466" w:type="pct"/>
            <w:shd w:val="clear" w:color="auto" w:fill="auto"/>
            <w:vAlign w:val="center"/>
          </w:tcPr>
          <w:p w14:paraId="61F4CBA5"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10</w:t>
            </w:r>
          </w:p>
        </w:tc>
      </w:tr>
      <w:tr w:rsidR="00EE2B72" w:rsidRPr="00EE2B72" w14:paraId="786AD4DA" w14:textId="77777777" w:rsidTr="00F43C5E">
        <w:tc>
          <w:tcPr>
            <w:tcW w:w="1491" w:type="pct"/>
            <w:shd w:val="clear" w:color="auto" w:fill="auto"/>
            <w:vAlign w:val="center"/>
          </w:tcPr>
          <w:p w14:paraId="23DDD285"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Cadmium</w:t>
            </w:r>
          </w:p>
        </w:tc>
        <w:tc>
          <w:tcPr>
            <w:tcW w:w="304" w:type="pct"/>
            <w:shd w:val="clear" w:color="auto" w:fill="auto"/>
            <w:vAlign w:val="center"/>
          </w:tcPr>
          <w:p w14:paraId="0FE1FE61"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µg/l</w:t>
            </w:r>
          </w:p>
        </w:tc>
        <w:tc>
          <w:tcPr>
            <w:tcW w:w="300" w:type="pct"/>
            <w:shd w:val="clear" w:color="auto" w:fill="auto"/>
            <w:vAlign w:val="center"/>
          </w:tcPr>
          <w:p w14:paraId="6BE87C58" w14:textId="77777777" w:rsidR="00EE2B72" w:rsidRPr="00EE2B72" w:rsidRDefault="00EE2B72" w:rsidP="00EE2B72">
            <w:pPr>
              <w:spacing w:before="0" w:after="0"/>
              <w:jc w:val="center"/>
              <w:rPr>
                <w:rFonts w:eastAsia="Times New Roman"/>
                <w:bCs/>
                <w:lang w:eastAsia="de-DE"/>
              </w:rPr>
            </w:pPr>
          </w:p>
        </w:tc>
        <w:tc>
          <w:tcPr>
            <w:tcW w:w="608" w:type="pct"/>
            <w:shd w:val="clear" w:color="auto" w:fill="auto"/>
            <w:vAlign w:val="center"/>
          </w:tcPr>
          <w:p w14:paraId="50F72325" w14:textId="77777777" w:rsidR="00EE2B72" w:rsidRPr="00EE2B72" w:rsidRDefault="00EE2B72" w:rsidP="00EE2B72">
            <w:pPr>
              <w:spacing w:before="0" w:after="0"/>
              <w:jc w:val="center"/>
              <w:rPr>
                <w:rFonts w:eastAsia="Times New Roman"/>
                <w:bCs/>
                <w:lang w:eastAsia="de-DE"/>
              </w:rPr>
            </w:pPr>
          </w:p>
        </w:tc>
        <w:tc>
          <w:tcPr>
            <w:tcW w:w="251" w:type="pct"/>
            <w:shd w:val="clear" w:color="auto" w:fill="auto"/>
            <w:vAlign w:val="center"/>
          </w:tcPr>
          <w:p w14:paraId="340C20ED"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5057FFCF"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 (4)</w:t>
            </w:r>
          </w:p>
        </w:tc>
        <w:tc>
          <w:tcPr>
            <w:tcW w:w="395" w:type="pct"/>
            <w:shd w:val="clear" w:color="auto" w:fill="auto"/>
            <w:vAlign w:val="center"/>
          </w:tcPr>
          <w:p w14:paraId="5AFD8EA0"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3,0</w:t>
            </w:r>
          </w:p>
        </w:tc>
        <w:tc>
          <w:tcPr>
            <w:tcW w:w="395" w:type="pct"/>
            <w:shd w:val="clear" w:color="auto" w:fill="auto"/>
            <w:vAlign w:val="center"/>
          </w:tcPr>
          <w:p w14:paraId="4C557594"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3,0</w:t>
            </w:r>
          </w:p>
        </w:tc>
        <w:tc>
          <w:tcPr>
            <w:tcW w:w="395" w:type="pct"/>
            <w:shd w:val="clear" w:color="auto" w:fill="auto"/>
            <w:vAlign w:val="center"/>
          </w:tcPr>
          <w:p w14:paraId="058C865C"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10</w:t>
            </w:r>
          </w:p>
        </w:tc>
        <w:tc>
          <w:tcPr>
            <w:tcW w:w="466" w:type="pct"/>
            <w:shd w:val="clear" w:color="auto" w:fill="auto"/>
            <w:vAlign w:val="center"/>
          </w:tcPr>
          <w:p w14:paraId="7B0B37DB"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15</w:t>
            </w:r>
          </w:p>
        </w:tc>
      </w:tr>
      <w:tr w:rsidR="00EE2B72" w:rsidRPr="00EE2B72" w14:paraId="316F2848" w14:textId="77777777" w:rsidTr="00F43C5E">
        <w:tc>
          <w:tcPr>
            <w:tcW w:w="1491" w:type="pct"/>
            <w:shd w:val="clear" w:color="auto" w:fill="auto"/>
            <w:vAlign w:val="center"/>
          </w:tcPr>
          <w:p w14:paraId="3574989F"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Chrom, gesamt</w:t>
            </w:r>
          </w:p>
        </w:tc>
        <w:tc>
          <w:tcPr>
            <w:tcW w:w="304" w:type="pct"/>
            <w:shd w:val="clear" w:color="auto" w:fill="auto"/>
            <w:vAlign w:val="center"/>
          </w:tcPr>
          <w:p w14:paraId="550FD51E"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mg/kg</w:t>
            </w:r>
          </w:p>
        </w:tc>
        <w:tc>
          <w:tcPr>
            <w:tcW w:w="300" w:type="pct"/>
            <w:shd w:val="clear" w:color="auto" w:fill="auto"/>
            <w:vAlign w:val="center"/>
          </w:tcPr>
          <w:p w14:paraId="5B6FB311"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30</w:t>
            </w:r>
          </w:p>
        </w:tc>
        <w:tc>
          <w:tcPr>
            <w:tcW w:w="608" w:type="pct"/>
            <w:shd w:val="clear" w:color="auto" w:fill="auto"/>
            <w:vAlign w:val="center"/>
          </w:tcPr>
          <w:p w14:paraId="673584D7"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60</w:t>
            </w:r>
          </w:p>
        </w:tc>
        <w:tc>
          <w:tcPr>
            <w:tcW w:w="251" w:type="pct"/>
            <w:shd w:val="clear" w:color="auto" w:fill="auto"/>
            <w:vAlign w:val="center"/>
          </w:tcPr>
          <w:p w14:paraId="0B361B01"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100</w:t>
            </w:r>
          </w:p>
        </w:tc>
        <w:tc>
          <w:tcPr>
            <w:tcW w:w="395" w:type="pct"/>
            <w:shd w:val="clear" w:color="auto" w:fill="auto"/>
            <w:vAlign w:val="center"/>
          </w:tcPr>
          <w:p w14:paraId="35B6A23F"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120</w:t>
            </w:r>
          </w:p>
        </w:tc>
        <w:tc>
          <w:tcPr>
            <w:tcW w:w="395" w:type="pct"/>
            <w:shd w:val="clear" w:color="auto" w:fill="auto"/>
            <w:vAlign w:val="center"/>
          </w:tcPr>
          <w:p w14:paraId="3A7B1D29"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120</w:t>
            </w:r>
          </w:p>
        </w:tc>
        <w:tc>
          <w:tcPr>
            <w:tcW w:w="395" w:type="pct"/>
            <w:shd w:val="clear" w:color="auto" w:fill="auto"/>
            <w:vAlign w:val="center"/>
          </w:tcPr>
          <w:p w14:paraId="201A724E"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120</w:t>
            </w:r>
          </w:p>
        </w:tc>
        <w:tc>
          <w:tcPr>
            <w:tcW w:w="395" w:type="pct"/>
            <w:shd w:val="clear" w:color="auto" w:fill="auto"/>
            <w:vAlign w:val="center"/>
          </w:tcPr>
          <w:p w14:paraId="319FEDF5"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120</w:t>
            </w:r>
          </w:p>
        </w:tc>
        <w:tc>
          <w:tcPr>
            <w:tcW w:w="466" w:type="pct"/>
            <w:shd w:val="clear" w:color="auto" w:fill="auto"/>
            <w:vAlign w:val="center"/>
          </w:tcPr>
          <w:p w14:paraId="5F789EC0"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600</w:t>
            </w:r>
          </w:p>
        </w:tc>
      </w:tr>
      <w:tr w:rsidR="00EE2B72" w:rsidRPr="00EE2B72" w14:paraId="735218F0" w14:textId="77777777" w:rsidTr="00F43C5E">
        <w:tc>
          <w:tcPr>
            <w:tcW w:w="1491" w:type="pct"/>
            <w:shd w:val="clear" w:color="auto" w:fill="auto"/>
            <w:vAlign w:val="center"/>
          </w:tcPr>
          <w:p w14:paraId="106927A7"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Chrom, gesamt</w:t>
            </w:r>
          </w:p>
        </w:tc>
        <w:tc>
          <w:tcPr>
            <w:tcW w:w="304" w:type="pct"/>
            <w:shd w:val="clear" w:color="auto" w:fill="auto"/>
            <w:vAlign w:val="center"/>
          </w:tcPr>
          <w:p w14:paraId="2D22EED0"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µg/l</w:t>
            </w:r>
          </w:p>
        </w:tc>
        <w:tc>
          <w:tcPr>
            <w:tcW w:w="300" w:type="pct"/>
            <w:shd w:val="clear" w:color="auto" w:fill="auto"/>
            <w:vAlign w:val="center"/>
          </w:tcPr>
          <w:p w14:paraId="30305D6E" w14:textId="77777777" w:rsidR="00EE2B72" w:rsidRPr="00EE2B72" w:rsidRDefault="00EE2B72" w:rsidP="00EE2B72">
            <w:pPr>
              <w:spacing w:before="0" w:after="0"/>
              <w:jc w:val="center"/>
              <w:rPr>
                <w:rFonts w:eastAsia="Times New Roman"/>
                <w:bCs/>
                <w:lang w:eastAsia="de-DE"/>
              </w:rPr>
            </w:pPr>
          </w:p>
        </w:tc>
        <w:tc>
          <w:tcPr>
            <w:tcW w:w="608" w:type="pct"/>
            <w:shd w:val="clear" w:color="auto" w:fill="auto"/>
            <w:vAlign w:val="center"/>
          </w:tcPr>
          <w:p w14:paraId="4A7D23D2" w14:textId="77777777" w:rsidR="00EE2B72" w:rsidRPr="00EE2B72" w:rsidRDefault="00EE2B72" w:rsidP="00EE2B72">
            <w:pPr>
              <w:spacing w:before="0" w:after="0"/>
              <w:jc w:val="center"/>
              <w:rPr>
                <w:rFonts w:eastAsia="Times New Roman"/>
                <w:bCs/>
                <w:lang w:eastAsia="de-DE"/>
              </w:rPr>
            </w:pPr>
          </w:p>
        </w:tc>
        <w:tc>
          <w:tcPr>
            <w:tcW w:w="251" w:type="pct"/>
            <w:shd w:val="clear" w:color="auto" w:fill="auto"/>
            <w:vAlign w:val="center"/>
          </w:tcPr>
          <w:p w14:paraId="3DD4077B"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0A2FCB82"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10 (19)</w:t>
            </w:r>
          </w:p>
        </w:tc>
        <w:tc>
          <w:tcPr>
            <w:tcW w:w="395" w:type="pct"/>
            <w:shd w:val="clear" w:color="auto" w:fill="auto"/>
            <w:vAlign w:val="center"/>
          </w:tcPr>
          <w:p w14:paraId="669EFB30"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15</w:t>
            </w:r>
          </w:p>
        </w:tc>
        <w:tc>
          <w:tcPr>
            <w:tcW w:w="395" w:type="pct"/>
            <w:shd w:val="clear" w:color="auto" w:fill="auto"/>
            <w:vAlign w:val="center"/>
          </w:tcPr>
          <w:p w14:paraId="7C174CC8"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150</w:t>
            </w:r>
          </w:p>
        </w:tc>
        <w:tc>
          <w:tcPr>
            <w:tcW w:w="395" w:type="pct"/>
            <w:shd w:val="clear" w:color="auto" w:fill="auto"/>
            <w:vAlign w:val="center"/>
          </w:tcPr>
          <w:p w14:paraId="24E98786"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290</w:t>
            </w:r>
          </w:p>
        </w:tc>
        <w:tc>
          <w:tcPr>
            <w:tcW w:w="466" w:type="pct"/>
            <w:shd w:val="clear" w:color="auto" w:fill="auto"/>
            <w:vAlign w:val="center"/>
          </w:tcPr>
          <w:p w14:paraId="2E00E4B1"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530</w:t>
            </w:r>
          </w:p>
        </w:tc>
      </w:tr>
      <w:tr w:rsidR="00EE2B72" w:rsidRPr="00EE2B72" w14:paraId="6B1FC93C" w14:textId="77777777" w:rsidTr="00F43C5E">
        <w:tc>
          <w:tcPr>
            <w:tcW w:w="1491" w:type="pct"/>
            <w:shd w:val="clear" w:color="auto" w:fill="auto"/>
            <w:vAlign w:val="center"/>
          </w:tcPr>
          <w:p w14:paraId="2F93A9B2"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Kupfer</w:t>
            </w:r>
          </w:p>
        </w:tc>
        <w:tc>
          <w:tcPr>
            <w:tcW w:w="304" w:type="pct"/>
            <w:shd w:val="clear" w:color="auto" w:fill="auto"/>
            <w:vAlign w:val="center"/>
          </w:tcPr>
          <w:p w14:paraId="4EE1EAE7"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mg/kg</w:t>
            </w:r>
          </w:p>
        </w:tc>
        <w:tc>
          <w:tcPr>
            <w:tcW w:w="300" w:type="pct"/>
            <w:shd w:val="clear" w:color="auto" w:fill="auto"/>
            <w:vAlign w:val="center"/>
          </w:tcPr>
          <w:p w14:paraId="4BFD8692"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20</w:t>
            </w:r>
          </w:p>
        </w:tc>
        <w:tc>
          <w:tcPr>
            <w:tcW w:w="608" w:type="pct"/>
            <w:shd w:val="clear" w:color="auto" w:fill="auto"/>
            <w:vAlign w:val="center"/>
          </w:tcPr>
          <w:p w14:paraId="58206308"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40</w:t>
            </w:r>
          </w:p>
        </w:tc>
        <w:tc>
          <w:tcPr>
            <w:tcW w:w="251" w:type="pct"/>
            <w:shd w:val="clear" w:color="auto" w:fill="auto"/>
            <w:vAlign w:val="center"/>
          </w:tcPr>
          <w:p w14:paraId="6D841B7F"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60</w:t>
            </w:r>
          </w:p>
        </w:tc>
        <w:tc>
          <w:tcPr>
            <w:tcW w:w="395" w:type="pct"/>
            <w:shd w:val="clear" w:color="auto" w:fill="auto"/>
            <w:vAlign w:val="center"/>
          </w:tcPr>
          <w:p w14:paraId="001FBF11"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80</w:t>
            </w:r>
          </w:p>
        </w:tc>
        <w:tc>
          <w:tcPr>
            <w:tcW w:w="395" w:type="pct"/>
            <w:shd w:val="clear" w:color="auto" w:fill="auto"/>
            <w:vAlign w:val="center"/>
          </w:tcPr>
          <w:p w14:paraId="5CF1A041"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80</w:t>
            </w:r>
          </w:p>
        </w:tc>
        <w:tc>
          <w:tcPr>
            <w:tcW w:w="395" w:type="pct"/>
            <w:shd w:val="clear" w:color="auto" w:fill="auto"/>
            <w:vAlign w:val="center"/>
          </w:tcPr>
          <w:p w14:paraId="3C9DB67B"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80</w:t>
            </w:r>
          </w:p>
        </w:tc>
        <w:tc>
          <w:tcPr>
            <w:tcW w:w="395" w:type="pct"/>
            <w:shd w:val="clear" w:color="auto" w:fill="auto"/>
            <w:vAlign w:val="center"/>
          </w:tcPr>
          <w:p w14:paraId="096E5EE2"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80</w:t>
            </w:r>
          </w:p>
        </w:tc>
        <w:tc>
          <w:tcPr>
            <w:tcW w:w="466" w:type="pct"/>
            <w:shd w:val="clear" w:color="auto" w:fill="auto"/>
            <w:vAlign w:val="center"/>
          </w:tcPr>
          <w:p w14:paraId="6A3AC18A"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320</w:t>
            </w:r>
          </w:p>
        </w:tc>
      </w:tr>
      <w:tr w:rsidR="00EE2B72" w:rsidRPr="00EE2B72" w14:paraId="1FBCECDA" w14:textId="77777777" w:rsidTr="00F43C5E">
        <w:tc>
          <w:tcPr>
            <w:tcW w:w="1491" w:type="pct"/>
            <w:shd w:val="clear" w:color="auto" w:fill="auto"/>
            <w:vAlign w:val="center"/>
          </w:tcPr>
          <w:p w14:paraId="3D77F789"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Kupfer</w:t>
            </w:r>
          </w:p>
        </w:tc>
        <w:tc>
          <w:tcPr>
            <w:tcW w:w="304" w:type="pct"/>
            <w:shd w:val="clear" w:color="auto" w:fill="auto"/>
            <w:vAlign w:val="center"/>
          </w:tcPr>
          <w:p w14:paraId="3E601C9C"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µg/l</w:t>
            </w:r>
          </w:p>
        </w:tc>
        <w:tc>
          <w:tcPr>
            <w:tcW w:w="300" w:type="pct"/>
            <w:shd w:val="clear" w:color="auto" w:fill="auto"/>
            <w:vAlign w:val="center"/>
          </w:tcPr>
          <w:p w14:paraId="08365E59" w14:textId="77777777" w:rsidR="00EE2B72" w:rsidRPr="00EE2B72" w:rsidRDefault="00EE2B72" w:rsidP="00EE2B72">
            <w:pPr>
              <w:spacing w:before="0" w:after="0"/>
              <w:jc w:val="center"/>
              <w:rPr>
                <w:rFonts w:eastAsia="Times New Roman"/>
                <w:bCs/>
                <w:lang w:eastAsia="de-DE"/>
              </w:rPr>
            </w:pPr>
          </w:p>
        </w:tc>
        <w:tc>
          <w:tcPr>
            <w:tcW w:w="608" w:type="pct"/>
            <w:shd w:val="clear" w:color="auto" w:fill="auto"/>
            <w:vAlign w:val="center"/>
          </w:tcPr>
          <w:p w14:paraId="28CE2F5C" w14:textId="77777777" w:rsidR="00EE2B72" w:rsidRPr="00EE2B72" w:rsidRDefault="00EE2B72" w:rsidP="00EE2B72">
            <w:pPr>
              <w:spacing w:before="0" w:after="0"/>
              <w:jc w:val="center"/>
              <w:rPr>
                <w:rFonts w:eastAsia="Times New Roman"/>
                <w:bCs/>
                <w:lang w:eastAsia="de-DE"/>
              </w:rPr>
            </w:pPr>
          </w:p>
        </w:tc>
        <w:tc>
          <w:tcPr>
            <w:tcW w:w="251" w:type="pct"/>
            <w:shd w:val="clear" w:color="auto" w:fill="auto"/>
            <w:vAlign w:val="center"/>
          </w:tcPr>
          <w:p w14:paraId="08FBAAA7"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39CE6E0F"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20 (41)</w:t>
            </w:r>
          </w:p>
        </w:tc>
        <w:tc>
          <w:tcPr>
            <w:tcW w:w="395" w:type="pct"/>
            <w:shd w:val="clear" w:color="auto" w:fill="auto"/>
            <w:vAlign w:val="center"/>
          </w:tcPr>
          <w:p w14:paraId="3F61016D"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30</w:t>
            </w:r>
          </w:p>
        </w:tc>
        <w:tc>
          <w:tcPr>
            <w:tcW w:w="395" w:type="pct"/>
            <w:shd w:val="clear" w:color="auto" w:fill="auto"/>
            <w:vAlign w:val="center"/>
          </w:tcPr>
          <w:p w14:paraId="0780937C"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110</w:t>
            </w:r>
          </w:p>
        </w:tc>
        <w:tc>
          <w:tcPr>
            <w:tcW w:w="395" w:type="pct"/>
            <w:shd w:val="clear" w:color="auto" w:fill="auto"/>
            <w:vAlign w:val="center"/>
          </w:tcPr>
          <w:p w14:paraId="6AA6AA33"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170</w:t>
            </w:r>
          </w:p>
        </w:tc>
        <w:tc>
          <w:tcPr>
            <w:tcW w:w="466" w:type="pct"/>
            <w:shd w:val="clear" w:color="auto" w:fill="auto"/>
            <w:vAlign w:val="center"/>
          </w:tcPr>
          <w:p w14:paraId="16DC6289"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320</w:t>
            </w:r>
          </w:p>
        </w:tc>
      </w:tr>
      <w:tr w:rsidR="00EE2B72" w:rsidRPr="00EE2B72" w14:paraId="70B81144" w14:textId="77777777" w:rsidTr="00F43C5E">
        <w:tc>
          <w:tcPr>
            <w:tcW w:w="1491" w:type="pct"/>
            <w:shd w:val="clear" w:color="auto" w:fill="auto"/>
            <w:vAlign w:val="center"/>
          </w:tcPr>
          <w:p w14:paraId="2DD71AD3"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Nickel</w:t>
            </w:r>
          </w:p>
        </w:tc>
        <w:tc>
          <w:tcPr>
            <w:tcW w:w="304" w:type="pct"/>
            <w:shd w:val="clear" w:color="auto" w:fill="auto"/>
            <w:vAlign w:val="center"/>
          </w:tcPr>
          <w:p w14:paraId="302CC9E6"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mg/kg</w:t>
            </w:r>
          </w:p>
        </w:tc>
        <w:tc>
          <w:tcPr>
            <w:tcW w:w="300" w:type="pct"/>
            <w:shd w:val="clear" w:color="auto" w:fill="auto"/>
            <w:vAlign w:val="center"/>
          </w:tcPr>
          <w:p w14:paraId="414A4DB4"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15</w:t>
            </w:r>
          </w:p>
        </w:tc>
        <w:tc>
          <w:tcPr>
            <w:tcW w:w="608" w:type="pct"/>
            <w:shd w:val="clear" w:color="auto" w:fill="auto"/>
            <w:vAlign w:val="center"/>
          </w:tcPr>
          <w:p w14:paraId="5A93C15D"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50</w:t>
            </w:r>
          </w:p>
        </w:tc>
        <w:tc>
          <w:tcPr>
            <w:tcW w:w="251" w:type="pct"/>
            <w:shd w:val="clear" w:color="auto" w:fill="auto"/>
            <w:vAlign w:val="center"/>
          </w:tcPr>
          <w:p w14:paraId="716DF7DB"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70</w:t>
            </w:r>
          </w:p>
        </w:tc>
        <w:tc>
          <w:tcPr>
            <w:tcW w:w="395" w:type="pct"/>
            <w:shd w:val="clear" w:color="auto" w:fill="auto"/>
            <w:vAlign w:val="center"/>
          </w:tcPr>
          <w:p w14:paraId="22CA7C0E"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100</w:t>
            </w:r>
          </w:p>
        </w:tc>
        <w:tc>
          <w:tcPr>
            <w:tcW w:w="395" w:type="pct"/>
            <w:shd w:val="clear" w:color="auto" w:fill="auto"/>
            <w:vAlign w:val="center"/>
          </w:tcPr>
          <w:p w14:paraId="4D05E35A"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100</w:t>
            </w:r>
          </w:p>
        </w:tc>
        <w:tc>
          <w:tcPr>
            <w:tcW w:w="395" w:type="pct"/>
            <w:shd w:val="clear" w:color="auto" w:fill="auto"/>
            <w:vAlign w:val="center"/>
          </w:tcPr>
          <w:p w14:paraId="75EFCB5C"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100</w:t>
            </w:r>
          </w:p>
        </w:tc>
        <w:tc>
          <w:tcPr>
            <w:tcW w:w="395" w:type="pct"/>
            <w:shd w:val="clear" w:color="auto" w:fill="auto"/>
            <w:vAlign w:val="center"/>
          </w:tcPr>
          <w:p w14:paraId="0B597632"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100</w:t>
            </w:r>
          </w:p>
        </w:tc>
        <w:tc>
          <w:tcPr>
            <w:tcW w:w="466" w:type="pct"/>
            <w:shd w:val="clear" w:color="auto" w:fill="auto"/>
            <w:vAlign w:val="center"/>
          </w:tcPr>
          <w:p w14:paraId="021813B1"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350</w:t>
            </w:r>
          </w:p>
        </w:tc>
      </w:tr>
      <w:tr w:rsidR="00EE2B72" w:rsidRPr="00EE2B72" w14:paraId="70459A63" w14:textId="77777777" w:rsidTr="00F43C5E">
        <w:tc>
          <w:tcPr>
            <w:tcW w:w="1491" w:type="pct"/>
            <w:shd w:val="clear" w:color="auto" w:fill="auto"/>
            <w:vAlign w:val="center"/>
          </w:tcPr>
          <w:p w14:paraId="607B3EBC"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Nickel</w:t>
            </w:r>
          </w:p>
        </w:tc>
        <w:tc>
          <w:tcPr>
            <w:tcW w:w="304" w:type="pct"/>
            <w:shd w:val="clear" w:color="auto" w:fill="auto"/>
            <w:vAlign w:val="center"/>
          </w:tcPr>
          <w:p w14:paraId="7322ABC1"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µg/l</w:t>
            </w:r>
          </w:p>
        </w:tc>
        <w:tc>
          <w:tcPr>
            <w:tcW w:w="300" w:type="pct"/>
            <w:shd w:val="clear" w:color="auto" w:fill="auto"/>
            <w:vAlign w:val="center"/>
          </w:tcPr>
          <w:p w14:paraId="1423F5D0" w14:textId="77777777" w:rsidR="00EE2B72" w:rsidRPr="00EE2B72" w:rsidRDefault="00EE2B72" w:rsidP="00EE2B72">
            <w:pPr>
              <w:spacing w:before="0" w:after="0"/>
              <w:jc w:val="center"/>
              <w:rPr>
                <w:rFonts w:eastAsia="Times New Roman"/>
                <w:bCs/>
                <w:lang w:eastAsia="de-DE"/>
              </w:rPr>
            </w:pPr>
          </w:p>
        </w:tc>
        <w:tc>
          <w:tcPr>
            <w:tcW w:w="608" w:type="pct"/>
            <w:shd w:val="clear" w:color="auto" w:fill="auto"/>
            <w:vAlign w:val="center"/>
          </w:tcPr>
          <w:p w14:paraId="4299F937" w14:textId="77777777" w:rsidR="00EE2B72" w:rsidRPr="00EE2B72" w:rsidRDefault="00EE2B72" w:rsidP="00EE2B72">
            <w:pPr>
              <w:spacing w:before="0" w:after="0"/>
              <w:jc w:val="center"/>
              <w:rPr>
                <w:rFonts w:eastAsia="Times New Roman"/>
                <w:bCs/>
                <w:lang w:eastAsia="de-DE"/>
              </w:rPr>
            </w:pPr>
          </w:p>
        </w:tc>
        <w:tc>
          <w:tcPr>
            <w:tcW w:w="251" w:type="pct"/>
            <w:shd w:val="clear" w:color="auto" w:fill="auto"/>
            <w:vAlign w:val="center"/>
          </w:tcPr>
          <w:p w14:paraId="27FA85DA"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50EDD1FD"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20 (31)</w:t>
            </w:r>
          </w:p>
        </w:tc>
        <w:tc>
          <w:tcPr>
            <w:tcW w:w="395" w:type="pct"/>
            <w:shd w:val="clear" w:color="auto" w:fill="auto"/>
            <w:vAlign w:val="center"/>
          </w:tcPr>
          <w:p w14:paraId="4E9DAFED"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30</w:t>
            </w:r>
          </w:p>
        </w:tc>
        <w:tc>
          <w:tcPr>
            <w:tcW w:w="395" w:type="pct"/>
            <w:shd w:val="clear" w:color="auto" w:fill="auto"/>
            <w:vAlign w:val="center"/>
          </w:tcPr>
          <w:p w14:paraId="1272E8D9"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30</w:t>
            </w:r>
          </w:p>
        </w:tc>
        <w:tc>
          <w:tcPr>
            <w:tcW w:w="395" w:type="pct"/>
            <w:shd w:val="clear" w:color="auto" w:fill="auto"/>
            <w:vAlign w:val="center"/>
          </w:tcPr>
          <w:p w14:paraId="5D5B86D3"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150</w:t>
            </w:r>
          </w:p>
        </w:tc>
        <w:tc>
          <w:tcPr>
            <w:tcW w:w="466" w:type="pct"/>
            <w:shd w:val="clear" w:color="auto" w:fill="auto"/>
            <w:vAlign w:val="center"/>
          </w:tcPr>
          <w:p w14:paraId="1B503D1F"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280</w:t>
            </w:r>
          </w:p>
        </w:tc>
      </w:tr>
      <w:tr w:rsidR="00EE2B72" w:rsidRPr="00EE2B72" w14:paraId="5F0DF30E" w14:textId="77777777" w:rsidTr="00F43C5E">
        <w:tc>
          <w:tcPr>
            <w:tcW w:w="1491" w:type="pct"/>
            <w:shd w:val="clear" w:color="auto" w:fill="auto"/>
            <w:vAlign w:val="center"/>
          </w:tcPr>
          <w:p w14:paraId="3940B6C9" w14:textId="77777777" w:rsidR="00EE2B72" w:rsidRPr="00EE2B72" w:rsidRDefault="00EE2B72" w:rsidP="00EE2B72">
            <w:pPr>
              <w:spacing w:before="0" w:after="0"/>
              <w:jc w:val="left"/>
              <w:rPr>
                <w:rFonts w:eastAsia="Times New Roman"/>
                <w:b/>
                <w:vertAlign w:val="superscript"/>
                <w:lang w:eastAsia="de-DE"/>
              </w:rPr>
            </w:pPr>
            <w:r w:rsidRPr="00EE2B72">
              <w:rPr>
                <w:rFonts w:eastAsia="Times New Roman"/>
                <w:b/>
                <w:bCs/>
                <w:lang w:eastAsia="de-DE"/>
              </w:rPr>
              <w:t>Quecksilber</w:t>
            </w:r>
          </w:p>
        </w:tc>
        <w:tc>
          <w:tcPr>
            <w:tcW w:w="304" w:type="pct"/>
            <w:shd w:val="clear" w:color="auto" w:fill="auto"/>
            <w:vAlign w:val="center"/>
          </w:tcPr>
          <w:p w14:paraId="02B10960"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mg/kg</w:t>
            </w:r>
          </w:p>
        </w:tc>
        <w:tc>
          <w:tcPr>
            <w:tcW w:w="300" w:type="pct"/>
            <w:shd w:val="clear" w:color="auto" w:fill="auto"/>
            <w:vAlign w:val="center"/>
          </w:tcPr>
          <w:p w14:paraId="5CC15EDF"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0,2</w:t>
            </w:r>
          </w:p>
        </w:tc>
        <w:tc>
          <w:tcPr>
            <w:tcW w:w="608" w:type="pct"/>
            <w:shd w:val="clear" w:color="auto" w:fill="auto"/>
            <w:vAlign w:val="center"/>
          </w:tcPr>
          <w:p w14:paraId="0161774C"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0,3</w:t>
            </w:r>
          </w:p>
        </w:tc>
        <w:tc>
          <w:tcPr>
            <w:tcW w:w="251" w:type="pct"/>
            <w:shd w:val="clear" w:color="auto" w:fill="auto"/>
            <w:vAlign w:val="center"/>
          </w:tcPr>
          <w:p w14:paraId="132A4068"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0,3</w:t>
            </w:r>
          </w:p>
        </w:tc>
        <w:tc>
          <w:tcPr>
            <w:tcW w:w="395" w:type="pct"/>
            <w:shd w:val="clear" w:color="auto" w:fill="auto"/>
            <w:vAlign w:val="center"/>
          </w:tcPr>
          <w:p w14:paraId="56F5862F"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0,6</w:t>
            </w:r>
          </w:p>
        </w:tc>
        <w:tc>
          <w:tcPr>
            <w:tcW w:w="395" w:type="pct"/>
            <w:shd w:val="clear" w:color="auto" w:fill="auto"/>
            <w:vAlign w:val="center"/>
          </w:tcPr>
          <w:p w14:paraId="2429AB74"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0,6</w:t>
            </w:r>
          </w:p>
        </w:tc>
        <w:tc>
          <w:tcPr>
            <w:tcW w:w="395" w:type="pct"/>
            <w:shd w:val="clear" w:color="auto" w:fill="auto"/>
            <w:vAlign w:val="center"/>
          </w:tcPr>
          <w:p w14:paraId="6DA3525C"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0,6</w:t>
            </w:r>
          </w:p>
        </w:tc>
        <w:tc>
          <w:tcPr>
            <w:tcW w:w="395" w:type="pct"/>
            <w:shd w:val="clear" w:color="auto" w:fill="auto"/>
            <w:vAlign w:val="center"/>
          </w:tcPr>
          <w:p w14:paraId="2D9B8FBB"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0,6</w:t>
            </w:r>
          </w:p>
        </w:tc>
        <w:tc>
          <w:tcPr>
            <w:tcW w:w="466" w:type="pct"/>
            <w:shd w:val="clear" w:color="auto" w:fill="auto"/>
            <w:vAlign w:val="center"/>
          </w:tcPr>
          <w:p w14:paraId="43E5B999"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5</w:t>
            </w:r>
          </w:p>
        </w:tc>
      </w:tr>
      <w:tr w:rsidR="00EE2B72" w:rsidRPr="00EE2B72" w14:paraId="12DE44BC" w14:textId="77777777" w:rsidTr="00F43C5E">
        <w:tc>
          <w:tcPr>
            <w:tcW w:w="1491" w:type="pct"/>
            <w:shd w:val="clear" w:color="auto" w:fill="auto"/>
            <w:vAlign w:val="center"/>
          </w:tcPr>
          <w:p w14:paraId="35323D13" w14:textId="77777777" w:rsidR="00EE2B72" w:rsidRPr="00EE2B72" w:rsidRDefault="00EE2B72" w:rsidP="00EE2B72">
            <w:pPr>
              <w:spacing w:before="0" w:after="0"/>
              <w:jc w:val="left"/>
              <w:rPr>
                <w:rFonts w:eastAsia="Times New Roman"/>
                <w:b/>
                <w:vertAlign w:val="superscript"/>
                <w:lang w:eastAsia="de-DE"/>
              </w:rPr>
            </w:pPr>
            <w:r w:rsidRPr="00EE2B72">
              <w:rPr>
                <w:rFonts w:eastAsia="Times New Roman"/>
                <w:b/>
                <w:bCs/>
                <w:lang w:eastAsia="de-DE"/>
              </w:rPr>
              <w:t>Quecksilber</w:t>
            </w:r>
            <w:r w:rsidRPr="00EE2B72">
              <w:rPr>
                <w:rFonts w:eastAsia="Times New Roman"/>
                <w:b/>
                <w:bCs/>
                <w:vertAlign w:val="superscript"/>
                <w:lang w:eastAsia="de-DE"/>
              </w:rPr>
              <w:t>12</w:t>
            </w:r>
          </w:p>
        </w:tc>
        <w:tc>
          <w:tcPr>
            <w:tcW w:w="304" w:type="pct"/>
            <w:shd w:val="clear" w:color="auto" w:fill="auto"/>
            <w:vAlign w:val="center"/>
          </w:tcPr>
          <w:p w14:paraId="635DC556"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µg/l</w:t>
            </w:r>
          </w:p>
        </w:tc>
        <w:tc>
          <w:tcPr>
            <w:tcW w:w="300" w:type="pct"/>
            <w:shd w:val="clear" w:color="auto" w:fill="auto"/>
            <w:vAlign w:val="center"/>
          </w:tcPr>
          <w:p w14:paraId="1F68605E" w14:textId="77777777" w:rsidR="00EE2B72" w:rsidRPr="00EE2B72" w:rsidRDefault="00EE2B72" w:rsidP="00EE2B72">
            <w:pPr>
              <w:spacing w:before="0" w:after="0"/>
              <w:jc w:val="center"/>
              <w:rPr>
                <w:rFonts w:eastAsia="Times New Roman"/>
                <w:bCs/>
                <w:lang w:eastAsia="de-DE"/>
              </w:rPr>
            </w:pPr>
          </w:p>
        </w:tc>
        <w:tc>
          <w:tcPr>
            <w:tcW w:w="608" w:type="pct"/>
            <w:shd w:val="clear" w:color="auto" w:fill="auto"/>
            <w:vAlign w:val="center"/>
          </w:tcPr>
          <w:p w14:paraId="0245ADC0" w14:textId="77777777" w:rsidR="00EE2B72" w:rsidRPr="00EE2B72" w:rsidRDefault="00EE2B72" w:rsidP="00EE2B72">
            <w:pPr>
              <w:spacing w:before="0" w:after="0"/>
              <w:jc w:val="center"/>
              <w:rPr>
                <w:rFonts w:eastAsia="Times New Roman"/>
                <w:bCs/>
                <w:lang w:eastAsia="de-DE"/>
              </w:rPr>
            </w:pPr>
          </w:p>
        </w:tc>
        <w:tc>
          <w:tcPr>
            <w:tcW w:w="251" w:type="pct"/>
            <w:shd w:val="clear" w:color="auto" w:fill="auto"/>
            <w:vAlign w:val="center"/>
          </w:tcPr>
          <w:p w14:paraId="462749AF"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6C429B7C"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0,1</w:t>
            </w:r>
          </w:p>
        </w:tc>
        <w:tc>
          <w:tcPr>
            <w:tcW w:w="395" w:type="pct"/>
            <w:shd w:val="clear" w:color="auto" w:fill="auto"/>
            <w:vAlign w:val="center"/>
          </w:tcPr>
          <w:p w14:paraId="5253DDE1"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7673E810"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579A9A28" w14:textId="77777777" w:rsidR="00EE2B72" w:rsidRPr="00EE2B72" w:rsidRDefault="00EE2B72" w:rsidP="00EE2B72">
            <w:pPr>
              <w:spacing w:before="0" w:after="0"/>
              <w:jc w:val="center"/>
              <w:rPr>
                <w:rFonts w:eastAsia="Times New Roman"/>
                <w:bCs/>
                <w:lang w:eastAsia="de-DE"/>
              </w:rPr>
            </w:pPr>
          </w:p>
        </w:tc>
        <w:tc>
          <w:tcPr>
            <w:tcW w:w="466" w:type="pct"/>
            <w:shd w:val="clear" w:color="auto" w:fill="auto"/>
            <w:vAlign w:val="center"/>
          </w:tcPr>
          <w:p w14:paraId="6118E38B" w14:textId="77777777" w:rsidR="00EE2B72" w:rsidRPr="00EE2B72" w:rsidRDefault="00EE2B72" w:rsidP="00EE2B72">
            <w:pPr>
              <w:spacing w:before="0" w:after="0"/>
              <w:jc w:val="center"/>
              <w:rPr>
                <w:rFonts w:eastAsia="Times New Roman"/>
                <w:bCs/>
                <w:lang w:eastAsia="de-DE"/>
              </w:rPr>
            </w:pPr>
          </w:p>
        </w:tc>
      </w:tr>
      <w:tr w:rsidR="00EE2B72" w:rsidRPr="00EE2B72" w14:paraId="02A09307" w14:textId="77777777" w:rsidTr="00F43C5E">
        <w:tc>
          <w:tcPr>
            <w:tcW w:w="1491" w:type="pct"/>
            <w:shd w:val="clear" w:color="auto" w:fill="auto"/>
            <w:vAlign w:val="center"/>
          </w:tcPr>
          <w:p w14:paraId="73FF8FB9"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Thallium</w:t>
            </w:r>
          </w:p>
        </w:tc>
        <w:tc>
          <w:tcPr>
            <w:tcW w:w="304" w:type="pct"/>
            <w:shd w:val="clear" w:color="auto" w:fill="auto"/>
            <w:vAlign w:val="center"/>
          </w:tcPr>
          <w:p w14:paraId="2E39AB96"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mg/kg</w:t>
            </w:r>
          </w:p>
        </w:tc>
        <w:tc>
          <w:tcPr>
            <w:tcW w:w="300" w:type="pct"/>
            <w:shd w:val="clear" w:color="auto" w:fill="auto"/>
            <w:vAlign w:val="center"/>
          </w:tcPr>
          <w:p w14:paraId="75786B3C"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0,5</w:t>
            </w:r>
          </w:p>
        </w:tc>
        <w:tc>
          <w:tcPr>
            <w:tcW w:w="608" w:type="pct"/>
            <w:shd w:val="clear" w:color="auto" w:fill="auto"/>
            <w:vAlign w:val="center"/>
          </w:tcPr>
          <w:p w14:paraId="27B6E385"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1,0</w:t>
            </w:r>
          </w:p>
        </w:tc>
        <w:tc>
          <w:tcPr>
            <w:tcW w:w="251" w:type="pct"/>
            <w:shd w:val="clear" w:color="auto" w:fill="auto"/>
            <w:vAlign w:val="center"/>
          </w:tcPr>
          <w:p w14:paraId="2E432F92"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1,0</w:t>
            </w:r>
          </w:p>
        </w:tc>
        <w:tc>
          <w:tcPr>
            <w:tcW w:w="395" w:type="pct"/>
            <w:shd w:val="clear" w:color="auto" w:fill="auto"/>
            <w:vAlign w:val="center"/>
          </w:tcPr>
          <w:p w14:paraId="6284CE1A"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1,0</w:t>
            </w:r>
          </w:p>
        </w:tc>
        <w:tc>
          <w:tcPr>
            <w:tcW w:w="395" w:type="pct"/>
            <w:shd w:val="clear" w:color="auto" w:fill="auto"/>
            <w:vAlign w:val="center"/>
          </w:tcPr>
          <w:p w14:paraId="1BE3A206"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w:t>
            </w:r>
          </w:p>
        </w:tc>
        <w:tc>
          <w:tcPr>
            <w:tcW w:w="395" w:type="pct"/>
            <w:shd w:val="clear" w:color="auto" w:fill="auto"/>
            <w:vAlign w:val="center"/>
          </w:tcPr>
          <w:p w14:paraId="06CB8D36"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w:t>
            </w:r>
          </w:p>
        </w:tc>
        <w:tc>
          <w:tcPr>
            <w:tcW w:w="395" w:type="pct"/>
            <w:shd w:val="clear" w:color="auto" w:fill="auto"/>
            <w:vAlign w:val="center"/>
          </w:tcPr>
          <w:p w14:paraId="49F4F99A"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w:t>
            </w:r>
          </w:p>
        </w:tc>
        <w:tc>
          <w:tcPr>
            <w:tcW w:w="466" w:type="pct"/>
            <w:shd w:val="clear" w:color="auto" w:fill="auto"/>
            <w:vAlign w:val="center"/>
          </w:tcPr>
          <w:p w14:paraId="5618707F"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7</w:t>
            </w:r>
          </w:p>
        </w:tc>
      </w:tr>
      <w:tr w:rsidR="00EE2B72" w:rsidRPr="00EE2B72" w14:paraId="7225A3C3" w14:textId="77777777" w:rsidTr="00F43C5E">
        <w:tc>
          <w:tcPr>
            <w:tcW w:w="1491" w:type="pct"/>
            <w:shd w:val="clear" w:color="auto" w:fill="auto"/>
            <w:vAlign w:val="center"/>
          </w:tcPr>
          <w:p w14:paraId="653533AE" w14:textId="77777777" w:rsidR="00EE2B72" w:rsidRPr="00EE2B72" w:rsidRDefault="00EE2B72" w:rsidP="00EE2B72">
            <w:pPr>
              <w:spacing w:before="0" w:after="0"/>
              <w:jc w:val="left"/>
              <w:rPr>
                <w:rFonts w:eastAsia="Times New Roman"/>
                <w:b/>
                <w:vertAlign w:val="superscript"/>
                <w:lang w:eastAsia="de-DE"/>
              </w:rPr>
            </w:pPr>
            <w:r w:rsidRPr="00EE2B72">
              <w:rPr>
                <w:rFonts w:eastAsia="Times New Roman"/>
                <w:b/>
                <w:bCs/>
                <w:lang w:eastAsia="de-DE"/>
              </w:rPr>
              <w:t>Thallium</w:t>
            </w:r>
            <w:r w:rsidRPr="00EE2B72">
              <w:rPr>
                <w:rFonts w:eastAsia="Times New Roman"/>
                <w:b/>
                <w:bCs/>
                <w:vertAlign w:val="superscript"/>
                <w:lang w:eastAsia="de-DE"/>
              </w:rPr>
              <w:t>12</w:t>
            </w:r>
          </w:p>
        </w:tc>
        <w:tc>
          <w:tcPr>
            <w:tcW w:w="304" w:type="pct"/>
            <w:shd w:val="clear" w:color="auto" w:fill="auto"/>
            <w:vAlign w:val="center"/>
          </w:tcPr>
          <w:p w14:paraId="450C86A2"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µg/l</w:t>
            </w:r>
          </w:p>
        </w:tc>
        <w:tc>
          <w:tcPr>
            <w:tcW w:w="300" w:type="pct"/>
            <w:shd w:val="clear" w:color="auto" w:fill="auto"/>
            <w:vAlign w:val="center"/>
          </w:tcPr>
          <w:p w14:paraId="0C95DF54" w14:textId="77777777" w:rsidR="00EE2B72" w:rsidRPr="00EE2B72" w:rsidRDefault="00EE2B72" w:rsidP="00EE2B72">
            <w:pPr>
              <w:spacing w:before="0" w:after="0"/>
              <w:jc w:val="center"/>
              <w:rPr>
                <w:rFonts w:eastAsia="Times New Roman"/>
                <w:bCs/>
                <w:lang w:eastAsia="de-DE"/>
              </w:rPr>
            </w:pPr>
          </w:p>
        </w:tc>
        <w:tc>
          <w:tcPr>
            <w:tcW w:w="608" w:type="pct"/>
            <w:shd w:val="clear" w:color="auto" w:fill="auto"/>
            <w:vAlign w:val="center"/>
          </w:tcPr>
          <w:p w14:paraId="6CA55143" w14:textId="77777777" w:rsidR="00EE2B72" w:rsidRPr="00EE2B72" w:rsidRDefault="00EE2B72" w:rsidP="00EE2B72">
            <w:pPr>
              <w:spacing w:before="0" w:after="0"/>
              <w:jc w:val="center"/>
              <w:rPr>
                <w:rFonts w:eastAsia="Times New Roman"/>
                <w:bCs/>
                <w:lang w:eastAsia="de-DE"/>
              </w:rPr>
            </w:pPr>
          </w:p>
        </w:tc>
        <w:tc>
          <w:tcPr>
            <w:tcW w:w="251" w:type="pct"/>
            <w:shd w:val="clear" w:color="auto" w:fill="auto"/>
            <w:vAlign w:val="center"/>
          </w:tcPr>
          <w:p w14:paraId="1D2B5693"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22A51A26"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0,2(0,3)</w:t>
            </w:r>
          </w:p>
        </w:tc>
        <w:tc>
          <w:tcPr>
            <w:tcW w:w="395" w:type="pct"/>
            <w:shd w:val="clear" w:color="auto" w:fill="auto"/>
            <w:vAlign w:val="center"/>
          </w:tcPr>
          <w:p w14:paraId="32E8E7FE"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2C18B9FD"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4BA3FA06" w14:textId="77777777" w:rsidR="00EE2B72" w:rsidRPr="00EE2B72" w:rsidRDefault="00EE2B72" w:rsidP="00EE2B72">
            <w:pPr>
              <w:spacing w:before="0" w:after="0"/>
              <w:jc w:val="center"/>
              <w:rPr>
                <w:rFonts w:eastAsia="Times New Roman"/>
                <w:bCs/>
                <w:lang w:eastAsia="de-DE"/>
              </w:rPr>
            </w:pPr>
          </w:p>
        </w:tc>
        <w:tc>
          <w:tcPr>
            <w:tcW w:w="466" w:type="pct"/>
            <w:shd w:val="clear" w:color="auto" w:fill="auto"/>
            <w:vAlign w:val="center"/>
          </w:tcPr>
          <w:p w14:paraId="6CBB8D39" w14:textId="77777777" w:rsidR="00EE2B72" w:rsidRPr="00EE2B72" w:rsidRDefault="00EE2B72" w:rsidP="00EE2B72">
            <w:pPr>
              <w:spacing w:before="0" w:after="0"/>
              <w:jc w:val="center"/>
              <w:rPr>
                <w:rFonts w:eastAsia="Times New Roman"/>
                <w:bCs/>
                <w:lang w:eastAsia="de-DE"/>
              </w:rPr>
            </w:pPr>
          </w:p>
        </w:tc>
      </w:tr>
      <w:tr w:rsidR="00EE2B72" w:rsidRPr="00EE2B72" w14:paraId="5133D87B" w14:textId="77777777" w:rsidTr="00F43C5E">
        <w:tc>
          <w:tcPr>
            <w:tcW w:w="1491" w:type="pct"/>
            <w:shd w:val="clear" w:color="auto" w:fill="auto"/>
            <w:vAlign w:val="center"/>
          </w:tcPr>
          <w:p w14:paraId="29086AF3"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Zink</w:t>
            </w:r>
          </w:p>
        </w:tc>
        <w:tc>
          <w:tcPr>
            <w:tcW w:w="304" w:type="pct"/>
            <w:shd w:val="clear" w:color="auto" w:fill="auto"/>
            <w:vAlign w:val="center"/>
          </w:tcPr>
          <w:p w14:paraId="42FBB08A"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mg/kg</w:t>
            </w:r>
          </w:p>
        </w:tc>
        <w:tc>
          <w:tcPr>
            <w:tcW w:w="300" w:type="pct"/>
            <w:shd w:val="clear" w:color="auto" w:fill="auto"/>
            <w:vAlign w:val="center"/>
          </w:tcPr>
          <w:p w14:paraId="4CB063D1"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60</w:t>
            </w:r>
          </w:p>
        </w:tc>
        <w:tc>
          <w:tcPr>
            <w:tcW w:w="608" w:type="pct"/>
            <w:shd w:val="clear" w:color="auto" w:fill="auto"/>
            <w:vAlign w:val="center"/>
          </w:tcPr>
          <w:p w14:paraId="25F21FEB"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150</w:t>
            </w:r>
          </w:p>
        </w:tc>
        <w:tc>
          <w:tcPr>
            <w:tcW w:w="251" w:type="pct"/>
            <w:shd w:val="clear" w:color="auto" w:fill="auto"/>
            <w:vAlign w:val="center"/>
          </w:tcPr>
          <w:p w14:paraId="54BF4FCA"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200</w:t>
            </w:r>
          </w:p>
        </w:tc>
        <w:tc>
          <w:tcPr>
            <w:tcW w:w="395" w:type="pct"/>
            <w:shd w:val="clear" w:color="auto" w:fill="auto"/>
            <w:vAlign w:val="center"/>
          </w:tcPr>
          <w:p w14:paraId="4A64D4EB"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300</w:t>
            </w:r>
          </w:p>
        </w:tc>
        <w:tc>
          <w:tcPr>
            <w:tcW w:w="395" w:type="pct"/>
            <w:shd w:val="clear" w:color="auto" w:fill="auto"/>
            <w:vAlign w:val="center"/>
          </w:tcPr>
          <w:p w14:paraId="194921BA"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300</w:t>
            </w:r>
          </w:p>
        </w:tc>
        <w:tc>
          <w:tcPr>
            <w:tcW w:w="395" w:type="pct"/>
            <w:shd w:val="clear" w:color="auto" w:fill="auto"/>
            <w:vAlign w:val="center"/>
          </w:tcPr>
          <w:p w14:paraId="259F94B2"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300</w:t>
            </w:r>
          </w:p>
        </w:tc>
        <w:tc>
          <w:tcPr>
            <w:tcW w:w="395" w:type="pct"/>
            <w:shd w:val="clear" w:color="auto" w:fill="auto"/>
            <w:vAlign w:val="center"/>
          </w:tcPr>
          <w:p w14:paraId="76182603"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300</w:t>
            </w:r>
          </w:p>
        </w:tc>
        <w:tc>
          <w:tcPr>
            <w:tcW w:w="466" w:type="pct"/>
            <w:shd w:val="clear" w:color="auto" w:fill="auto"/>
            <w:vAlign w:val="center"/>
          </w:tcPr>
          <w:p w14:paraId="17772785"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1 200</w:t>
            </w:r>
          </w:p>
        </w:tc>
      </w:tr>
      <w:tr w:rsidR="00EE2B72" w:rsidRPr="00EE2B72" w14:paraId="3C2932B4" w14:textId="77777777" w:rsidTr="00F43C5E">
        <w:tc>
          <w:tcPr>
            <w:tcW w:w="1491" w:type="pct"/>
            <w:shd w:val="clear" w:color="auto" w:fill="auto"/>
            <w:vAlign w:val="center"/>
          </w:tcPr>
          <w:p w14:paraId="4D04C53E"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Zink</w:t>
            </w:r>
          </w:p>
        </w:tc>
        <w:tc>
          <w:tcPr>
            <w:tcW w:w="304" w:type="pct"/>
            <w:shd w:val="clear" w:color="auto" w:fill="auto"/>
            <w:vAlign w:val="center"/>
          </w:tcPr>
          <w:p w14:paraId="4B0FBE34"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µg/l</w:t>
            </w:r>
          </w:p>
        </w:tc>
        <w:tc>
          <w:tcPr>
            <w:tcW w:w="300" w:type="pct"/>
            <w:shd w:val="clear" w:color="auto" w:fill="auto"/>
            <w:vAlign w:val="center"/>
          </w:tcPr>
          <w:p w14:paraId="3600B333" w14:textId="77777777" w:rsidR="00EE2B72" w:rsidRPr="00EE2B72" w:rsidRDefault="00EE2B72" w:rsidP="00EE2B72">
            <w:pPr>
              <w:spacing w:before="0" w:after="0"/>
              <w:jc w:val="center"/>
              <w:rPr>
                <w:rFonts w:eastAsia="Times New Roman"/>
                <w:bCs/>
                <w:lang w:eastAsia="de-DE"/>
              </w:rPr>
            </w:pPr>
          </w:p>
        </w:tc>
        <w:tc>
          <w:tcPr>
            <w:tcW w:w="608" w:type="pct"/>
            <w:shd w:val="clear" w:color="auto" w:fill="auto"/>
            <w:vAlign w:val="center"/>
          </w:tcPr>
          <w:p w14:paraId="53E76AFE" w14:textId="77777777" w:rsidR="00EE2B72" w:rsidRPr="00EE2B72" w:rsidRDefault="00EE2B72" w:rsidP="00EE2B72">
            <w:pPr>
              <w:spacing w:before="0" w:after="0"/>
              <w:jc w:val="center"/>
              <w:rPr>
                <w:rFonts w:eastAsia="Times New Roman"/>
                <w:bCs/>
                <w:lang w:eastAsia="de-DE"/>
              </w:rPr>
            </w:pPr>
          </w:p>
        </w:tc>
        <w:tc>
          <w:tcPr>
            <w:tcW w:w="251" w:type="pct"/>
            <w:shd w:val="clear" w:color="auto" w:fill="auto"/>
            <w:vAlign w:val="center"/>
          </w:tcPr>
          <w:p w14:paraId="70006657"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5A63102A"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100 (210)</w:t>
            </w:r>
          </w:p>
        </w:tc>
        <w:tc>
          <w:tcPr>
            <w:tcW w:w="395" w:type="pct"/>
            <w:shd w:val="clear" w:color="auto" w:fill="auto"/>
            <w:vAlign w:val="center"/>
          </w:tcPr>
          <w:p w14:paraId="256FFF24"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150</w:t>
            </w:r>
          </w:p>
        </w:tc>
        <w:tc>
          <w:tcPr>
            <w:tcW w:w="395" w:type="pct"/>
            <w:shd w:val="clear" w:color="auto" w:fill="auto"/>
            <w:vAlign w:val="center"/>
          </w:tcPr>
          <w:p w14:paraId="549BC06C"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160</w:t>
            </w:r>
          </w:p>
        </w:tc>
        <w:tc>
          <w:tcPr>
            <w:tcW w:w="395" w:type="pct"/>
            <w:shd w:val="clear" w:color="auto" w:fill="auto"/>
            <w:vAlign w:val="center"/>
          </w:tcPr>
          <w:p w14:paraId="7631DFD9"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840</w:t>
            </w:r>
          </w:p>
        </w:tc>
        <w:tc>
          <w:tcPr>
            <w:tcW w:w="466" w:type="pct"/>
            <w:shd w:val="clear" w:color="auto" w:fill="auto"/>
            <w:vAlign w:val="center"/>
          </w:tcPr>
          <w:p w14:paraId="72658842"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1 600</w:t>
            </w:r>
          </w:p>
        </w:tc>
      </w:tr>
      <w:tr w:rsidR="00EE2B72" w:rsidRPr="00EE2B72" w14:paraId="12A7FC0B" w14:textId="77777777" w:rsidTr="00F43C5E">
        <w:tc>
          <w:tcPr>
            <w:tcW w:w="1491" w:type="pct"/>
            <w:shd w:val="clear" w:color="auto" w:fill="auto"/>
            <w:vAlign w:val="center"/>
          </w:tcPr>
          <w:p w14:paraId="138AFE6E"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TOC</w:t>
            </w:r>
          </w:p>
        </w:tc>
        <w:tc>
          <w:tcPr>
            <w:tcW w:w="304" w:type="pct"/>
            <w:shd w:val="clear" w:color="auto" w:fill="auto"/>
            <w:vAlign w:val="center"/>
          </w:tcPr>
          <w:p w14:paraId="564F9009" w14:textId="77777777" w:rsidR="00EE2B72" w:rsidRPr="00EE2B72" w:rsidRDefault="00EE2B72" w:rsidP="00EE2B72">
            <w:pPr>
              <w:spacing w:before="0" w:after="0"/>
              <w:jc w:val="left"/>
              <w:rPr>
                <w:rFonts w:eastAsia="Times New Roman"/>
                <w:b/>
                <w:bCs/>
                <w:lang w:eastAsia="de-DE"/>
              </w:rPr>
            </w:pPr>
            <w:r w:rsidRPr="00EE2B72">
              <w:rPr>
                <w:rFonts w:eastAsia="Times New Roman"/>
                <w:bCs/>
                <w:lang w:eastAsia="de-DE"/>
              </w:rPr>
              <w:t>M%</w:t>
            </w:r>
          </w:p>
        </w:tc>
        <w:tc>
          <w:tcPr>
            <w:tcW w:w="300" w:type="pct"/>
            <w:shd w:val="clear" w:color="auto" w:fill="auto"/>
            <w:vAlign w:val="center"/>
          </w:tcPr>
          <w:p w14:paraId="45558D73"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w:t>
            </w:r>
            <w:r w:rsidRPr="00EE2B72">
              <w:rPr>
                <w:rFonts w:eastAsia="Times New Roman"/>
                <w:bCs/>
                <w:vertAlign w:val="superscript"/>
                <w:lang w:eastAsia="de-DE"/>
              </w:rPr>
              <w:t>7</w:t>
            </w:r>
          </w:p>
        </w:tc>
        <w:tc>
          <w:tcPr>
            <w:tcW w:w="608" w:type="pct"/>
            <w:shd w:val="clear" w:color="auto" w:fill="auto"/>
            <w:vAlign w:val="center"/>
          </w:tcPr>
          <w:p w14:paraId="7E2048FE"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w:t>
            </w:r>
            <w:r w:rsidRPr="00EE2B72">
              <w:rPr>
                <w:rFonts w:eastAsia="Times New Roman"/>
                <w:bCs/>
                <w:vertAlign w:val="superscript"/>
                <w:lang w:eastAsia="de-DE"/>
              </w:rPr>
              <w:t>7</w:t>
            </w:r>
          </w:p>
        </w:tc>
        <w:tc>
          <w:tcPr>
            <w:tcW w:w="251" w:type="pct"/>
            <w:shd w:val="clear" w:color="auto" w:fill="auto"/>
            <w:vAlign w:val="center"/>
          </w:tcPr>
          <w:p w14:paraId="379D3EC5"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w:t>
            </w:r>
            <w:r w:rsidRPr="00EE2B72">
              <w:rPr>
                <w:rFonts w:eastAsia="Times New Roman"/>
                <w:bCs/>
                <w:vertAlign w:val="superscript"/>
                <w:lang w:eastAsia="de-DE"/>
              </w:rPr>
              <w:t>7</w:t>
            </w:r>
          </w:p>
        </w:tc>
        <w:tc>
          <w:tcPr>
            <w:tcW w:w="395" w:type="pct"/>
            <w:shd w:val="clear" w:color="auto" w:fill="auto"/>
            <w:vAlign w:val="center"/>
          </w:tcPr>
          <w:p w14:paraId="267DE735"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w:t>
            </w:r>
            <w:r w:rsidRPr="00EE2B72">
              <w:rPr>
                <w:rFonts w:eastAsia="Times New Roman"/>
                <w:bCs/>
                <w:vertAlign w:val="superscript"/>
                <w:lang w:eastAsia="de-DE"/>
              </w:rPr>
              <w:t>7</w:t>
            </w:r>
          </w:p>
        </w:tc>
        <w:tc>
          <w:tcPr>
            <w:tcW w:w="395" w:type="pct"/>
            <w:shd w:val="clear" w:color="auto" w:fill="auto"/>
            <w:vAlign w:val="center"/>
          </w:tcPr>
          <w:p w14:paraId="471B9559"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5</w:t>
            </w:r>
          </w:p>
        </w:tc>
        <w:tc>
          <w:tcPr>
            <w:tcW w:w="395" w:type="pct"/>
            <w:shd w:val="clear" w:color="auto" w:fill="auto"/>
            <w:vAlign w:val="center"/>
          </w:tcPr>
          <w:p w14:paraId="083D60E9"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5</w:t>
            </w:r>
          </w:p>
        </w:tc>
        <w:tc>
          <w:tcPr>
            <w:tcW w:w="395" w:type="pct"/>
            <w:shd w:val="clear" w:color="auto" w:fill="auto"/>
            <w:vAlign w:val="center"/>
          </w:tcPr>
          <w:p w14:paraId="35BB7B80"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5</w:t>
            </w:r>
          </w:p>
        </w:tc>
        <w:tc>
          <w:tcPr>
            <w:tcW w:w="466" w:type="pct"/>
            <w:shd w:val="clear" w:color="auto" w:fill="auto"/>
            <w:vAlign w:val="center"/>
          </w:tcPr>
          <w:p w14:paraId="747DA175"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5</w:t>
            </w:r>
          </w:p>
        </w:tc>
      </w:tr>
      <w:tr w:rsidR="00EE2B72" w:rsidRPr="00EE2B72" w14:paraId="4FB0EC55" w14:textId="77777777" w:rsidTr="00F43C5E">
        <w:tc>
          <w:tcPr>
            <w:tcW w:w="1491" w:type="pct"/>
            <w:shd w:val="clear" w:color="auto" w:fill="auto"/>
            <w:vAlign w:val="center"/>
          </w:tcPr>
          <w:p w14:paraId="517CF342"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lastRenderedPageBreak/>
              <w:t>Kohlenwasserstoffe</w:t>
            </w:r>
            <w:r w:rsidRPr="00EE2B72">
              <w:rPr>
                <w:rFonts w:eastAsia="Times New Roman"/>
                <w:b/>
                <w:bCs/>
                <w:vertAlign w:val="superscript"/>
                <w:lang w:eastAsia="de-DE"/>
              </w:rPr>
              <w:t>8</w:t>
            </w:r>
          </w:p>
        </w:tc>
        <w:tc>
          <w:tcPr>
            <w:tcW w:w="304" w:type="pct"/>
            <w:shd w:val="clear" w:color="auto" w:fill="auto"/>
            <w:vAlign w:val="center"/>
          </w:tcPr>
          <w:p w14:paraId="418D0CD5"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mg/kg</w:t>
            </w:r>
          </w:p>
        </w:tc>
        <w:tc>
          <w:tcPr>
            <w:tcW w:w="300" w:type="pct"/>
            <w:shd w:val="clear" w:color="auto" w:fill="auto"/>
            <w:vAlign w:val="center"/>
          </w:tcPr>
          <w:p w14:paraId="5B3229C2" w14:textId="77777777" w:rsidR="00EE2B72" w:rsidRPr="00EE2B72" w:rsidRDefault="00EE2B72" w:rsidP="00EE2B72">
            <w:pPr>
              <w:spacing w:before="0" w:after="0"/>
              <w:jc w:val="center"/>
              <w:rPr>
                <w:rFonts w:eastAsia="Times New Roman"/>
                <w:bCs/>
                <w:lang w:eastAsia="de-DE"/>
              </w:rPr>
            </w:pPr>
          </w:p>
        </w:tc>
        <w:tc>
          <w:tcPr>
            <w:tcW w:w="608" w:type="pct"/>
            <w:shd w:val="clear" w:color="auto" w:fill="auto"/>
            <w:vAlign w:val="center"/>
          </w:tcPr>
          <w:p w14:paraId="2E78E446" w14:textId="77777777" w:rsidR="00EE2B72" w:rsidRPr="00EE2B72" w:rsidRDefault="00EE2B72" w:rsidP="00EE2B72">
            <w:pPr>
              <w:spacing w:before="0" w:after="0"/>
              <w:jc w:val="center"/>
              <w:rPr>
                <w:rFonts w:eastAsia="Times New Roman"/>
                <w:bCs/>
                <w:lang w:eastAsia="de-DE"/>
              </w:rPr>
            </w:pPr>
          </w:p>
        </w:tc>
        <w:tc>
          <w:tcPr>
            <w:tcW w:w="251" w:type="pct"/>
            <w:shd w:val="clear" w:color="auto" w:fill="auto"/>
            <w:vAlign w:val="center"/>
          </w:tcPr>
          <w:p w14:paraId="6EDA2160"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413F58CF"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300(600)</w:t>
            </w:r>
          </w:p>
        </w:tc>
        <w:tc>
          <w:tcPr>
            <w:tcW w:w="395" w:type="pct"/>
            <w:shd w:val="clear" w:color="auto" w:fill="auto"/>
            <w:vAlign w:val="center"/>
          </w:tcPr>
          <w:p w14:paraId="363EDDA2"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300(600)</w:t>
            </w:r>
          </w:p>
        </w:tc>
        <w:tc>
          <w:tcPr>
            <w:tcW w:w="395" w:type="pct"/>
            <w:shd w:val="clear" w:color="auto" w:fill="auto"/>
            <w:vAlign w:val="center"/>
          </w:tcPr>
          <w:p w14:paraId="24C960ED"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300(600)</w:t>
            </w:r>
          </w:p>
        </w:tc>
        <w:tc>
          <w:tcPr>
            <w:tcW w:w="395" w:type="pct"/>
            <w:shd w:val="clear" w:color="auto" w:fill="auto"/>
            <w:vAlign w:val="center"/>
          </w:tcPr>
          <w:p w14:paraId="5C982C1A"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300(600)</w:t>
            </w:r>
          </w:p>
        </w:tc>
        <w:tc>
          <w:tcPr>
            <w:tcW w:w="466" w:type="pct"/>
            <w:shd w:val="clear" w:color="auto" w:fill="auto"/>
            <w:vAlign w:val="center"/>
          </w:tcPr>
          <w:p w14:paraId="54E0D0A3"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1 000(2 000)</w:t>
            </w:r>
          </w:p>
        </w:tc>
      </w:tr>
      <w:tr w:rsidR="00EE2B72" w:rsidRPr="00EE2B72" w14:paraId="3A402FA6" w14:textId="77777777" w:rsidTr="00F43C5E">
        <w:tc>
          <w:tcPr>
            <w:tcW w:w="1491" w:type="pct"/>
            <w:shd w:val="clear" w:color="auto" w:fill="auto"/>
            <w:vAlign w:val="center"/>
          </w:tcPr>
          <w:p w14:paraId="51676107"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Benzo(a)</w:t>
            </w:r>
            <w:proofErr w:type="spellStart"/>
            <w:r w:rsidRPr="00EE2B72">
              <w:rPr>
                <w:rFonts w:eastAsia="Times New Roman"/>
                <w:b/>
                <w:bCs/>
                <w:lang w:eastAsia="de-DE"/>
              </w:rPr>
              <w:t>pyren</w:t>
            </w:r>
            <w:proofErr w:type="spellEnd"/>
          </w:p>
        </w:tc>
        <w:tc>
          <w:tcPr>
            <w:tcW w:w="304" w:type="pct"/>
            <w:shd w:val="clear" w:color="auto" w:fill="auto"/>
            <w:vAlign w:val="center"/>
          </w:tcPr>
          <w:p w14:paraId="060235D1"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mg/kg</w:t>
            </w:r>
          </w:p>
        </w:tc>
        <w:tc>
          <w:tcPr>
            <w:tcW w:w="300" w:type="pct"/>
            <w:shd w:val="clear" w:color="auto" w:fill="auto"/>
            <w:vAlign w:val="center"/>
          </w:tcPr>
          <w:p w14:paraId="1DD75876"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0,3</w:t>
            </w:r>
          </w:p>
        </w:tc>
        <w:tc>
          <w:tcPr>
            <w:tcW w:w="608" w:type="pct"/>
            <w:shd w:val="clear" w:color="auto" w:fill="auto"/>
            <w:vAlign w:val="center"/>
          </w:tcPr>
          <w:p w14:paraId="69696FEC"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0,3</w:t>
            </w:r>
          </w:p>
        </w:tc>
        <w:tc>
          <w:tcPr>
            <w:tcW w:w="251" w:type="pct"/>
            <w:shd w:val="clear" w:color="auto" w:fill="auto"/>
            <w:vAlign w:val="center"/>
          </w:tcPr>
          <w:p w14:paraId="0CF78E66"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0,3</w:t>
            </w:r>
          </w:p>
        </w:tc>
        <w:tc>
          <w:tcPr>
            <w:tcW w:w="395" w:type="pct"/>
            <w:shd w:val="clear" w:color="auto" w:fill="auto"/>
            <w:vAlign w:val="center"/>
          </w:tcPr>
          <w:p w14:paraId="101E947B"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0032F9B8"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3EA2C2D0"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05187D89" w14:textId="77777777" w:rsidR="00EE2B72" w:rsidRPr="00EE2B72" w:rsidRDefault="00EE2B72" w:rsidP="00EE2B72">
            <w:pPr>
              <w:spacing w:before="0" w:after="0"/>
              <w:jc w:val="center"/>
              <w:rPr>
                <w:rFonts w:eastAsia="Times New Roman"/>
                <w:bCs/>
                <w:lang w:eastAsia="de-DE"/>
              </w:rPr>
            </w:pPr>
          </w:p>
        </w:tc>
        <w:tc>
          <w:tcPr>
            <w:tcW w:w="466" w:type="pct"/>
            <w:shd w:val="clear" w:color="auto" w:fill="auto"/>
            <w:vAlign w:val="center"/>
          </w:tcPr>
          <w:p w14:paraId="179495B6" w14:textId="77777777" w:rsidR="00EE2B72" w:rsidRPr="00EE2B72" w:rsidRDefault="00EE2B72" w:rsidP="00EE2B72">
            <w:pPr>
              <w:spacing w:before="0" w:after="0"/>
              <w:jc w:val="center"/>
              <w:rPr>
                <w:rFonts w:eastAsia="Times New Roman"/>
                <w:bCs/>
                <w:lang w:eastAsia="de-DE"/>
              </w:rPr>
            </w:pPr>
          </w:p>
        </w:tc>
      </w:tr>
      <w:tr w:rsidR="00EE2B72" w:rsidRPr="00EE2B72" w14:paraId="0ABD8DC4" w14:textId="77777777" w:rsidTr="00F43C5E">
        <w:tc>
          <w:tcPr>
            <w:tcW w:w="1491" w:type="pct"/>
            <w:shd w:val="clear" w:color="auto" w:fill="auto"/>
            <w:vAlign w:val="center"/>
          </w:tcPr>
          <w:p w14:paraId="4B70C68D"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PAK</w:t>
            </w:r>
            <w:r w:rsidRPr="00EE2B72">
              <w:rPr>
                <w:rFonts w:eastAsia="Times New Roman"/>
                <w:b/>
                <w:bCs/>
                <w:vertAlign w:val="subscript"/>
                <w:lang w:eastAsia="de-DE"/>
              </w:rPr>
              <w:t>15</w:t>
            </w:r>
            <w:r w:rsidRPr="00EE2B72">
              <w:rPr>
                <w:rFonts w:eastAsia="Times New Roman"/>
                <w:b/>
                <w:bCs/>
                <w:vertAlign w:val="superscript"/>
                <w:lang w:eastAsia="de-DE"/>
              </w:rPr>
              <w:t>9</w:t>
            </w:r>
            <w:r w:rsidRPr="00EE2B72">
              <w:rPr>
                <w:rFonts w:eastAsia="Times New Roman"/>
                <w:b/>
                <w:bCs/>
                <w:lang w:eastAsia="de-DE"/>
              </w:rPr>
              <w:t xml:space="preserve"> </w:t>
            </w:r>
          </w:p>
        </w:tc>
        <w:tc>
          <w:tcPr>
            <w:tcW w:w="304" w:type="pct"/>
            <w:shd w:val="clear" w:color="auto" w:fill="auto"/>
            <w:vAlign w:val="center"/>
          </w:tcPr>
          <w:p w14:paraId="407DE17F"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µg/l</w:t>
            </w:r>
          </w:p>
        </w:tc>
        <w:tc>
          <w:tcPr>
            <w:tcW w:w="300" w:type="pct"/>
            <w:shd w:val="clear" w:color="auto" w:fill="auto"/>
            <w:vAlign w:val="center"/>
          </w:tcPr>
          <w:p w14:paraId="3840898C" w14:textId="77777777" w:rsidR="00EE2B72" w:rsidRPr="00EE2B72" w:rsidRDefault="00EE2B72" w:rsidP="00EE2B72">
            <w:pPr>
              <w:spacing w:before="0" w:after="0"/>
              <w:jc w:val="center"/>
              <w:rPr>
                <w:rFonts w:eastAsia="Times New Roman"/>
                <w:bCs/>
                <w:lang w:eastAsia="de-DE"/>
              </w:rPr>
            </w:pPr>
          </w:p>
        </w:tc>
        <w:tc>
          <w:tcPr>
            <w:tcW w:w="608" w:type="pct"/>
            <w:shd w:val="clear" w:color="auto" w:fill="auto"/>
            <w:vAlign w:val="center"/>
          </w:tcPr>
          <w:p w14:paraId="1EE9937B" w14:textId="77777777" w:rsidR="00EE2B72" w:rsidRPr="00EE2B72" w:rsidRDefault="00EE2B72" w:rsidP="00EE2B72">
            <w:pPr>
              <w:spacing w:before="0" w:after="0"/>
              <w:jc w:val="center"/>
              <w:rPr>
                <w:rFonts w:eastAsia="Times New Roman"/>
                <w:bCs/>
                <w:lang w:eastAsia="de-DE"/>
              </w:rPr>
            </w:pPr>
          </w:p>
        </w:tc>
        <w:tc>
          <w:tcPr>
            <w:tcW w:w="251" w:type="pct"/>
            <w:shd w:val="clear" w:color="auto" w:fill="auto"/>
            <w:vAlign w:val="center"/>
          </w:tcPr>
          <w:p w14:paraId="01CBA470"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7C700C7D"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0,2</w:t>
            </w:r>
          </w:p>
        </w:tc>
        <w:tc>
          <w:tcPr>
            <w:tcW w:w="395" w:type="pct"/>
            <w:shd w:val="clear" w:color="auto" w:fill="auto"/>
            <w:vAlign w:val="center"/>
          </w:tcPr>
          <w:p w14:paraId="719C1344"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0,3</w:t>
            </w:r>
          </w:p>
        </w:tc>
        <w:tc>
          <w:tcPr>
            <w:tcW w:w="395" w:type="pct"/>
            <w:shd w:val="clear" w:color="auto" w:fill="auto"/>
            <w:vAlign w:val="center"/>
          </w:tcPr>
          <w:p w14:paraId="0B9C1237"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1,5</w:t>
            </w:r>
          </w:p>
        </w:tc>
        <w:tc>
          <w:tcPr>
            <w:tcW w:w="395" w:type="pct"/>
            <w:shd w:val="clear" w:color="auto" w:fill="auto"/>
            <w:vAlign w:val="center"/>
          </w:tcPr>
          <w:p w14:paraId="7D737ADA"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3,8</w:t>
            </w:r>
          </w:p>
        </w:tc>
        <w:tc>
          <w:tcPr>
            <w:tcW w:w="466" w:type="pct"/>
            <w:shd w:val="clear" w:color="auto" w:fill="auto"/>
            <w:vAlign w:val="center"/>
          </w:tcPr>
          <w:p w14:paraId="523D0A36"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20</w:t>
            </w:r>
          </w:p>
        </w:tc>
      </w:tr>
      <w:tr w:rsidR="00EE2B72" w:rsidRPr="00EE2B72" w14:paraId="5FCF3584" w14:textId="77777777" w:rsidTr="00F43C5E">
        <w:tc>
          <w:tcPr>
            <w:tcW w:w="1491" w:type="pct"/>
            <w:shd w:val="clear" w:color="auto" w:fill="auto"/>
            <w:vAlign w:val="center"/>
          </w:tcPr>
          <w:p w14:paraId="24F44B02"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PAK</w:t>
            </w:r>
            <w:r w:rsidRPr="00EE2B72">
              <w:rPr>
                <w:rFonts w:eastAsia="Times New Roman"/>
                <w:b/>
                <w:bCs/>
                <w:vertAlign w:val="subscript"/>
                <w:lang w:val="en-GB" w:eastAsia="de-DE"/>
              </w:rPr>
              <w:t>16</w:t>
            </w:r>
            <w:r w:rsidRPr="00EE2B72">
              <w:rPr>
                <w:rFonts w:eastAsia="Times New Roman"/>
                <w:b/>
                <w:bCs/>
                <w:vertAlign w:val="superscript"/>
                <w:lang w:eastAsia="de-DE"/>
              </w:rPr>
              <w:t>10</w:t>
            </w:r>
          </w:p>
        </w:tc>
        <w:tc>
          <w:tcPr>
            <w:tcW w:w="304" w:type="pct"/>
            <w:shd w:val="clear" w:color="auto" w:fill="auto"/>
            <w:vAlign w:val="center"/>
          </w:tcPr>
          <w:p w14:paraId="4AEE450C"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mg/kg</w:t>
            </w:r>
          </w:p>
        </w:tc>
        <w:tc>
          <w:tcPr>
            <w:tcW w:w="300" w:type="pct"/>
            <w:shd w:val="clear" w:color="auto" w:fill="auto"/>
            <w:vAlign w:val="center"/>
          </w:tcPr>
          <w:p w14:paraId="31DBB57A"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w:t>
            </w:r>
          </w:p>
        </w:tc>
        <w:tc>
          <w:tcPr>
            <w:tcW w:w="608" w:type="pct"/>
            <w:shd w:val="clear" w:color="auto" w:fill="auto"/>
            <w:vAlign w:val="center"/>
          </w:tcPr>
          <w:p w14:paraId="54CDD42C"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w:t>
            </w:r>
          </w:p>
        </w:tc>
        <w:tc>
          <w:tcPr>
            <w:tcW w:w="251" w:type="pct"/>
            <w:shd w:val="clear" w:color="auto" w:fill="auto"/>
            <w:vAlign w:val="center"/>
          </w:tcPr>
          <w:p w14:paraId="7751876E"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w:t>
            </w:r>
          </w:p>
        </w:tc>
        <w:tc>
          <w:tcPr>
            <w:tcW w:w="395" w:type="pct"/>
            <w:shd w:val="clear" w:color="auto" w:fill="auto"/>
            <w:vAlign w:val="center"/>
          </w:tcPr>
          <w:p w14:paraId="0DC572F0"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6</w:t>
            </w:r>
          </w:p>
        </w:tc>
        <w:tc>
          <w:tcPr>
            <w:tcW w:w="395" w:type="pct"/>
            <w:shd w:val="clear" w:color="auto" w:fill="auto"/>
            <w:vAlign w:val="center"/>
          </w:tcPr>
          <w:p w14:paraId="6AD70AEC"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6</w:t>
            </w:r>
          </w:p>
        </w:tc>
        <w:tc>
          <w:tcPr>
            <w:tcW w:w="395" w:type="pct"/>
            <w:shd w:val="clear" w:color="auto" w:fill="auto"/>
            <w:vAlign w:val="center"/>
          </w:tcPr>
          <w:p w14:paraId="56CAE03E"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6</w:t>
            </w:r>
          </w:p>
        </w:tc>
        <w:tc>
          <w:tcPr>
            <w:tcW w:w="395" w:type="pct"/>
            <w:shd w:val="clear" w:color="auto" w:fill="auto"/>
            <w:vAlign w:val="center"/>
          </w:tcPr>
          <w:p w14:paraId="40098291"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9</w:t>
            </w:r>
          </w:p>
        </w:tc>
        <w:tc>
          <w:tcPr>
            <w:tcW w:w="466" w:type="pct"/>
            <w:shd w:val="clear" w:color="auto" w:fill="auto"/>
            <w:vAlign w:val="center"/>
          </w:tcPr>
          <w:p w14:paraId="47E2B890"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30</w:t>
            </w:r>
          </w:p>
        </w:tc>
      </w:tr>
      <w:tr w:rsidR="00EE2B72" w:rsidRPr="00EE2B72" w14:paraId="52B77900" w14:textId="77777777" w:rsidTr="00F43C5E">
        <w:tc>
          <w:tcPr>
            <w:tcW w:w="1491" w:type="pct"/>
            <w:shd w:val="clear" w:color="auto" w:fill="auto"/>
            <w:vAlign w:val="center"/>
          </w:tcPr>
          <w:p w14:paraId="2B44F48D"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 xml:space="preserve">Naphthalin und </w:t>
            </w:r>
            <w:proofErr w:type="spellStart"/>
            <w:r w:rsidRPr="00EE2B72">
              <w:rPr>
                <w:rFonts w:eastAsia="Times New Roman"/>
                <w:b/>
                <w:bCs/>
                <w:lang w:eastAsia="de-DE"/>
              </w:rPr>
              <w:t>Methylnaphthaline</w:t>
            </w:r>
            <w:proofErr w:type="spellEnd"/>
            <w:r w:rsidRPr="00EE2B72">
              <w:rPr>
                <w:rFonts w:eastAsia="Times New Roman"/>
                <w:b/>
                <w:bCs/>
                <w:lang w:eastAsia="de-DE"/>
              </w:rPr>
              <w:t>, gesamt</w:t>
            </w:r>
          </w:p>
        </w:tc>
        <w:tc>
          <w:tcPr>
            <w:tcW w:w="304" w:type="pct"/>
            <w:shd w:val="clear" w:color="auto" w:fill="auto"/>
            <w:vAlign w:val="center"/>
          </w:tcPr>
          <w:p w14:paraId="0F6698C5"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µg/l</w:t>
            </w:r>
          </w:p>
        </w:tc>
        <w:tc>
          <w:tcPr>
            <w:tcW w:w="300" w:type="pct"/>
            <w:shd w:val="clear" w:color="auto" w:fill="auto"/>
            <w:vAlign w:val="center"/>
          </w:tcPr>
          <w:p w14:paraId="6DFF8558" w14:textId="77777777" w:rsidR="00EE2B72" w:rsidRPr="00EE2B72" w:rsidRDefault="00EE2B72" w:rsidP="00EE2B72">
            <w:pPr>
              <w:spacing w:before="0" w:after="0"/>
              <w:jc w:val="center"/>
              <w:rPr>
                <w:rFonts w:eastAsia="Times New Roman"/>
                <w:bCs/>
                <w:lang w:eastAsia="de-DE"/>
              </w:rPr>
            </w:pPr>
          </w:p>
        </w:tc>
        <w:tc>
          <w:tcPr>
            <w:tcW w:w="608" w:type="pct"/>
            <w:shd w:val="clear" w:color="auto" w:fill="auto"/>
            <w:vAlign w:val="center"/>
          </w:tcPr>
          <w:p w14:paraId="7EAB819E" w14:textId="77777777" w:rsidR="00EE2B72" w:rsidRPr="00EE2B72" w:rsidRDefault="00EE2B72" w:rsidP="00EE2B72">
            <w:pPr>
              <w:spacing w:before="0" w:after="0"/>
              <w:jc w:val="center"/>
              <w:rPr>
                <w:rFonts w:eastAsia="Times New Roman"/>
                <w:bCs/>
                <w:lang w:eastAsia="de-DE"/>
              </w:rPr>
            </w:pPr>
          </w:p>
        </w:tc>
        <w:tc>
          <w:tcPr>
            <w:tcW w:w="251" w:type="pct"/>
            <w:shd w:val="clear" w:color="auto" w:fill="auto"/>
            <w:vAlign w:val="center"/>
          </w:tcPr>
          <w:p w14:paraId="149885F5"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3A57CFB6"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2</w:t>
            </w:r>
          </w:p>
        </w:tc>
        <w:tc>
          <w:tcPr>
            <w:tcW w:w="395" w:type="pct"/>
            <w:shd w:val="clear" w:color="auto" w:fill="auto"/>
            <w:vAlign w:val="center"/>
          </w:tcPr>
          <w:p w14:paraId="55C84C70"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00293DEE"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493993C0" w14:textId="77777777" w:rsidR="00EE2B72" w:rsidRPr="00EE2B72" w:rsidRDefault="00EE2B72" w:rsidP="00EE2B72">
            <w:pPr>
              <w:spacing w:before="0" w:after="0"/>
              <w:jc w:val="center"/>
              <w:rPr>
                <w:rFonts w:eastAsia="Times New Roman"/>
                <w:bCs/>
                <w:lang w:eastAsia="de-DE"/>
              </w:rPr>
            </w:pPr>
          </w:p>
        </w:tc>
        <w:tc>
          <w:tcPr>
            <w:tcW w:w="466" w:type="pct"/>
            <w:shd w:val="clear" w:color="auto" w:fill="auto"/>
            <w:vAlign w:val="center"/>
          </w:tcPr>
          <w:p w14:paraId="40E600BF" w14:textId="77777777" w:rsidR="00EE2B72" w:rsidRPr="00EE2B72" w:rsidRDefault="00EE2B72" w:rsidP="00EE2B72">
            <w:pPr>
              <w:spacing w:before="0" w:after="0"/>
              <w:jc w:val="center"/>
              <w:rPr>
                <w:rFonts w:eastAsia="Times New Roman"/>
                <w:bCs/>
                <w:lang w:eastAsia="de-DE"/>
              </w:rPr>
            </w:pPr>
          </w:p>
        </w:tc>
      </w:tr>
      <w:tr w:rsidR="00EE2B72" w:rsidRPr="00EE2B72" w14:paraId="77680184" w14:textId="77777777" w:rsidTr="00F43C5E">
        <w:tc>
          <w:tcPr>
            <w:tcW w:w="1491" w:type="pct"/>
            <w:shd w:val="clear" w:color="auto" w:fill="auto"/>
            <w:vAlign w:val="center"/>
          </w:tcPr>
          <w:p w14:paraId="63A9D821"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PCB</w:t>
            </w:r>
            <w:r w:rsidRPr="00EE2B72">
              <w:rPr>
                <w:rFonts w:eastAsia="Times New Roman"/>
                <w:b/>
                <w:bCs/>
                <w:vertAlign w:val="subscript"/>
                <w:lang w:eastAsia="de-DE"/>
              </w:rPr>
              <w:t>6</w:t>
            </w:r>
            <w:r w:rsidRPr="00EE2B72">
              <w:rPr>
                <w:rFonts w:eastAsia="Times New Roman"/>
                <w:b/>
                <w:bCs/>
                <w:lang w:eastAsia="de-DE"/>
              </w:rPr>
              <w:t xml:space="preserve"> und PCB-118</w:t>
            </w:r>
          </w:p>
        </w:tc>
        <w:tc>
          <w:tcPr>
            <w:tcW w:w="304" w:type="pct"/>
            <w:shd w:val="clear" w:color="auto" w:fill="auto"/>
            <w:vAlign w:val="center"/>
          </w:tcPr>
          <w:p w14:paraId="05D54FBF"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mg/kg</w:t>
            </w:r>
          </w:p>
        </w:tc>
        <w:tc>
          <w:tcPr>
            <w:tcW w:w="300" w:type="pct"/>
            <w:shd w:val="clear" w:color="auto" w:fill="auto"/>
            <w:vAlign w:val="center"/>
          </w:tcPr>
          <w:p w14:paraId="6360F91F"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0,05</w:t>
            </w:r>
          </w:p>
        </w:tc>
        <w:tc>
          <w:tcPr>
            <w:tcW w:w="608" w:type="pct"/>
            <w:shd w:val="clear" w:color="auto" w:fill="auto"/>
            <w:vAlign w:val="center"/>
          </w:tcPr>
          <w:p w14:paraId="1A4216F2"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0,05</w:t>
            </w:r>
          </w:p>
        </w:tc>
        <w:tc>
          <w:tcPr>
            <w:tcW w:w="251" w:type="pct"/>
            <w:shd w:val="clear" w:color="auto" w:fill="auto"/>
            <w:vAlign w:val="center"/>
          </w:tcPr>
          <w:p w14:paraId="7476FEFA"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0,05</w:t>
            </w:r>
          </w:p>
        </w:tc>
        <w:tc>
          <w:tcPr>
            <w:tcW w:w="395" w:type="pct"/>
            <w:shd w:val="clear" w:color="auto" w:fill="auto"/>
            <w:vAlign w:val="center"/>
          </w:tcPr>
          <w:p w14:paraId="1420BE73"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0,1</w:t>
            </w:r>
          </w:p>
        </w:tc>
        <w:tc>
          <w:tcPr>
            <w:tcW w:w="395" w:type="pct"/>
            <w:shd w:val="clear" w:color="auto" w:fill="auto"/>
            <w:vAlign w:val="center"/>
          </w:tcPr>
          <w:p w14:paraId="4736FE8B"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23D00040"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7DA66459" w14:textId="77777777" w:rsidR="00EE2B72" w:rsidRPr="00EE2B72" w:rsidRDefault="00EE2B72" w:rsidP="00EE2B72">
            <w:pPr>
              <w:spacing w:before="0" w:after="0"/>
              <w:jc w:val="center"/>
              <w:rPr>
                <w:rFonts w:eastAsia="Times New Roman"/>
                <w:bCs/>
                <w:lang w:eastAsia="de-DE"/>
              </w:rPr>
            </w:pPr>
          </w:p>
        </w:tc>
        <w:tc>
          <w:tcPr>
            <w:tcW w:w="466" w:type="pct"/>
            <w:shd w:val="clear" w:color="auto" w:fill="auto"/>
            <w:vAlign w:val="center"/>
          </w:tcPr>
          <w:p w14:paraId="7364A703" w14:textId="77777777" w:rsidR="00EE2B72" w:rsidRPr="00EE2B72" w:rsidRDefault="00EE2B72" w:rsidP="00EE2B72">
            <w:pPr>
              <w:spacing w:before="0" w:after="0"/>
              <w:jc w:val="center"/>
              <w:rPr>
                <w:rFonts w:eastAsia="Times New Roman"/>
                <w:bCs/>
                <w:lang w:eastAsia="de-DE"/>
              </w:rPr>
            </w:pPr>
          </w:p>
        </w:tc>
      </w:tr>
      <w:tr w:rsidR="00EE2B72" w:rsidRPr="00EE2B72" w14:paraId="2FF3339E" w14:textId="77777777" w:rsidTr="00F43C5E">
        <w:tc>
          <w:tcPr>
            <w:tcW w:w="1491" w:type="pct"/>
            <w:shd w:val="clear" w:color="auto" w:fill="auto"/>
            <w:vAlign w:val="center"/>
          </w:tcPr>
          <w:p w14:paraId="6C0F26A7" w14:textId="77777777" w:rsidR="00EE2B72" w:rsidRPr="00EE2B72" w:rsidRDefault="00EE2B72" w:rsidP="00EE2B72">
            <w:pPr>
              <w:spacing w:before="0" w:after="0"/>
              <w:jc w:val="left"/>
              <w:rPr>
                <w:rFonts w:eastAsia="Times New Roman"/>
                <w:b/>
                <w:bCs/>
                <w:lang w:eastAsia="de-DE"/>
              </w:rPr>
            </w:pPr>
            <w:r w:rsidRPr="00EE2B72">
              <w:rPr>
                <w:rFonts w:eastAsia="Times New Roman"/>
                <w:b/>
                <w:bCs/>
                <w:lang w:eastAsia="de-DE"/>
              </w:rPr>
              <w:t>PCB</w:t>
            </w:r>
            <w:r w:rsidRPr="00EE2B72">
              <w:rPr>
                <w:rFonts w:eastAsia="Times New Roman"/>
                <w:b/>
                <w:bCs/>
                <w:vertAlign w:val="subscript"/>
                <w:lang w:eastAsia="de-DE"/>
              </w:rPr>
              <w:t>6</w:t>
            </w:r>
            <w:r w:rsidRPr="00EE2B72">
              <w:rPr>
                <w:rFonts w:eastAsia="Times New Roman"/>
                <w:b/>
                <w:bCs/>
                <w:lang w:eastAsia="de-DE"/>
              </w:rPr>
              <w:t xml:space="preserve"> und PCB-118</w:t>
            </w:r>
          </w:p>
        </w:tc>
        <w:tc>
          <w:tcPr>
            <w:tcW w:w="304" w:type="pct"/>
            <w:shd w:val="clear" w:color="auto" w:fill="auto"/>
            <w:vAlign w:val="center"/>
          </w:tcPr>
          <w:p w14:paraId="1C4ABEB2"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µg/l</w:t>
            </w:r>
          </w:p>
        </w:tc>
        <w:tc>
          <w:tcPr>
            <w:tcW w:w="300" w:type="pct"/>
            <w:shd w:val="clear" w:color="auto" w:fill="auto"/>
            <w:vAlign w:val="center"/>
          </w:tcPr>
          <w:p w14:paraId="7A826709" w14:textId="77777777" w:rsidR="00EE2B72" w:rsidRPr="00EE2B72" w:rsidRDefault="00EE2B72" w:rsidP="00EE2B72">
            <w:pPr>
              <w:spacing w:before="0" w:after="0"/>
              <w:jc w:val="center"/>
              <w:rPr>
                <w:rFonts w:eastAsia="Times New Roman"/>
                <w:bCs/>
                <w:lang w:eastAsia="de-DE"/>
              </w:rPr>
            </w:pPr>
          </w:p>
        </w:tc>
        <w:tc>
          <w:tcPr>
            <w:tcW w:w="608" w:type="pct"/>
            <w:shd w:val="clear" w:color="auto" w:fill="auto"/>
            <w:vAlign w:val="center"/>
          </w:tcPr>
          <w:p w14:paraId="77B7C332" w14:textId="77777777" w:rsidR="00EE2B72" w:rsidRPr="00EE2B72" w:rsidRDefault="00EE2B72" w:rsidP="00EE2B72">
            <w:pPr>
              <w:spacing w:before="0" w:after="0"/>
              <w:jc w:val="center"/>
              <w:rPr>
                <w:rFonts w:eastAsia="Times New Roman"/>
                <w:bCs/>
                <w:lang w:eastAsia="de-DE"/>
              </w:rPr>
            </w:pPr>
          </w:p>
        </w:tc>
        <w:tc>
          <w:tcPr>
            <w:tcW w:w="251" w:type="pct"/>
            <w:shd w:val="clear" w:color="auto" w:fill="auto"/>
            <w:vAlign w:val="center"/>
          </w:tcPr>
          <w:p w14:paraId="5FC849FA"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21CADC8E"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0,01</w:t>
            </w:r>
          </w:p>
        </w:tc>
        <w:tc>
          <w:tcPr>
            <w:tcW w:w="395" w:type="pct"/>
            <w:shd w:val="clear" w:color="auto" w:fill="auto"/>
            <w:vAlign w:val="center"/>
          </w:tcPr>
          <w:p w14:paraId="7E7BFA2A"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75392181"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2BC742A2" w14:textId="77777777" w:rsidR="00EE2B72" w:rsidRPr="00EE2B72" w:rsidRDefault="00EE2B72" w:rsidP="00EE2B72">
            <w:pPr>
              <w:spacing w:before="0" w:after="0"/>
              <w:jc w:val="center"/>
              <w:rPr>
                <w:rFonts w:eastAsia="Times New Roman"/>
                <w:bCs/>
                <w:lang w:eastAsia="de-DE"/>
              </w:rPr>
            </w:pPr>
          </w:p>
        </w:tc>
        <w:tc>
          <w:tcPr>
            <w:tcW w:w="466" w:type="pct"/>
            <w:shd w:val="clear" w:color="auto" w:fill="auto"/>
            <w:vAlign w:val="center"/>
          </w:tcPr>
          <w:p w14:paraId="16540291" w14:textId="77777777" w:rsidR="00EE2B72" w:rsidRPr="00EE2B72" w:rsidRDefault="00EE2B72" w:rsidP="00EE2B72">
            <w:pPr>
              <w:spacing w:before="0" w:after="0"/>
              <w:jc w:val="center"/>
              <w:rPr>
                <w:rFonts w:eastAsia="Times New Roman"/>
                <w:bCs/>
                <w:lang w:eastAsia="de-DE"/>
              </w:rPr>
            </w:pPr>
          </w:p>
        </w:tc>
      </w:tr>
      <w:tr w:rsidR="00EE2B72" w:rsidRPr="00EE2B72" w14:paraId="41A8EBE4" w14:textId="77777777" w:rsidTr="00F43C5E">
        <w:tc>
          <w:tcPr>
            <w:tcW w:w="1491" w:type="pct"/>
            <w:shd w:val="clear" w:color="auto" w:fill="auto"/>
            <w:vAlign w:val="center"/>
          </w:tcPr>
          <w:p w14:paraId="200FFE0E" w14:textId="77777777" w:rsidR="00EE2B72" w:rsidRPr="00EE2B72" w:rsidRDefault="00EE2B72" w:rsidP="00EE2B72">
            <w:pPr>
              <w:spacing w:before="0" w:after="0"/>
              <w:jc w:val="left"/>
              <w:rPr>
                <w:rFonts w:eastAsia="Times New Roman"/>
                <w:b/>
                <w:bCs/>
                <w:vertAlign w:val="superscript"/>
                <w:lang w:eastAsia="de-DE"/>
              </w:rPr>
            </w:pPr>
            <w:r w:rsidRPr="00EE2B72">
              <w:rPr>
                <w:rFonts w:eastAsia="Times New Roman"/>
                <w:b/>
                <w:bCs/>
                <w:lang w:eastAsia="de-DE"/>
              </w:rPr>
              <w:t>EOX</w:t>
            </w:r>
            <w:r w:rsidRPr="00EE2B72">
              <w:rPr>
                <w:rFonts w:eastAsia="Times New Roman"/>
                <w:b/>
                <w:bCs/>
                <w:vertAlign w:val="superscript"/>
                <w:lang w:eastAsia="de-DE"/>
              </w:rPr>
              <w:t>11</w:t>
            </w:r>
          </w:p>
        </w:tc>
        <w:tc>
          <w:tcPr>
            <w:tcW w:w="304" w:type="pct"/>
            <w:shd w:val="clear" w:color="auto" w:fill="auto"/>
            <w:vAlign w:val="center"/>
          </w:tcPr>
          <w:p w14:paraId="209227C5" w14:textId="77777777" w:rsidR="00EE2B72" w:rsidRPr="00EE2B72" w:rsidRDefault="00EE2B72" w:rsidP="00EE2B72">
            <w:pPr>
              <w:spacing w:before="0" w:after="0"/>
              <w:jc w:val="left"/>
              <w:rPr>
                <w:rFonts w:eastAsia="Times New Roman"/>
                <w:bCs/>
                <w:lang w:eastAsia="de-DE"/>
              </w:rPr>
            </w:pPr>
            <w:r w:rsidRPr="00EE2B72">
              <w:rPr>
                <w:rFonts w:eastAsia="Times New Roman"/>
                <w:bCs/>
                <w:lang w:eastAsia="de-DE"/>
              </w:rPr>
              <w:t>mg/kg</w:t>
            </w:r>
          </w:p>
        </w:tc>
        <w:tc>
          <w:tcPr>
            <w:tcW w:w="300" w:type="pct"/>
            <w:shd w:val="clear" w:color="auto" w:fill="auto"/>
            <w:vAlign w:val="center"/>
          </w:tcPr>
          <w:p w14:paraId="220C6B63"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w:t>
            </w:r>
          </w:p>
        </w:tc>
        <w:tc>
          <w:tcPr>
            <w:tcW w:w="608" w:type="pct"/>
            <w:shd w:val="clear" w:color="auto" w:fill="auto"/>
            <w:vAlign w:val="center"/>
          </w:tcPr>
          <w:p w14:paraId="51807EFE"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w:t>
            </w:r>
          </w:p>
        </w:tc>
        <w:tc>
          <w:tcPr>
            <w:tcW w:w="251" w:type="pct"/>
            <w:shd w:val="clear" w:color="auto" w:fill="auto"/>
            <w:vAlign w:val="center"/>
          </w:tcPr>
          <w:p w14:paraId="4994C1CC"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w:t>
            </w:r>
          </w:p>
        </w:tc>
        <w:tc>
          <w:tcPr>
            <w:tcW w:w="395" w:type="pct"/>
            <w:shd w:val="clear" w:color="auto" w:fill="auto"/>
            <w:vAlign w:val="center"/>
          </w:tcPr>
          <w:p w14:paraId="6ADB7BAF" w14:textId="77777777" w:rsidR="00EE2B72" w:rsidRPr="00EE2B72" w:rsidRDefault="00EE2B72" w:rsidP="00EE2B72">
            <w:pPr>
              <w:spacing w:before="0" w:after="0"/>
              <w:jc w:val="center"/>
              <w:rPr>
                <w:rFonts w:eastAsia="Times New Roman"/>
                <w:bCs/>
                <w:lang w:eastAsia="de-DE"/>
              </w:rPr>
            </w:pPr>
            <w:r w:rsidRPr="00EE2B72">
              <w:rPr>
                <w:rFonts w:eastAsia="Times New Roman"/>
                <w:bCs/>
                <w:lang w:eastAsia="de-DE"/>
              </w:rPr>
              <w:t>1</w:t>
            </w:r>
          </w:p>
        </w:tc>
        <w:tc>
          <w:tcPr>
            <w:tcW w:w="395" w:type="pct"/>
            <w:shd w:val="clear" w:color="auto" w:fill="auto"/>
            <w:vAlign w:val="center"/>
          </w:tcPr>
          <w:p w14:paraId="0124DAD8"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7DEC4417" w14:textId="77777777" w:rsidR="00EE2B72" w:rsidRPr="00EE2B72" w:rsidRDefault="00EE2B72" w:rsidP="00EE2B72">
            <w:pPr>
              <w:spacing w:before="0" w:after="0"/>
              <w:jc w:val="center"/>
              <w:rPr>
                <w:rFonts w:eastAsia="Times New Roman"/>
                <w:bCs/>
                <w:lang w:eastAsia="de-DE"/>
              </w:rPr>
            </w:pPr>
          </w:p>
        </w:tc>
        <w:tc>
          <w:tcPr>
            <w:tcW w:w="395" w:type="pct"/>
            <w:shd w:val="clear" w:color="auto" w:fill="auto"/>
            <w:vAlign w:val="center"/>
          </w:tcPr>
          <w:p w14:paraId="6BFD2C53" w14:textId="77777777" w:rsidR="00EE2B72" w:rsidRPr="00EE2B72" w:rsidRDefault="00EE2B72" w:rsidP="00EE2B72">
            <w:pPr>
              <w:spacing w:before="0" w:after="0"/>
              <w:jc w:val="center"/>
              <w:rPr>
                <w:rFonts w:eastAsia="Times New Roman"/>
                <w:bCs/>
                <w:lang w:eastAsia="de-DE"/>
              </w:rPr>
            </w:pPr>
          </w:p>
        </w:tc>
        <w:tc>
          <w:tcPr>
            <w:tcW w:w="466" w:type="pct"/>
            <w:shd w:val="clear" w:color="auto" w:fill="auto"/>
            <w:vAlign w:val="center"/>
          </w:tcPr>
          <w:p w14:paraId="6A9A6F33" w14:textId="77777777" w:rsidR="00EE2B72" w:rsidRPr="00EE2B72" w:rsidRDefault="00EE2B72" w:rsidP="00EE2B72">
            <w:pPr>
              <w:spacing w:before="0" w:after="0"/>
              <w:jc w:val="center"/>
              <w:rPr>
                <w:rFonts w:eastAsia="Times New Roman"/>
                <w:bCs/>
                <w:lang w:eastAsia="de-DE"/>
              </w:rPr>
            </w:pPr>
          </w:p>
        </w:tc>
      </w:tr>
    </w:tbl>
    <w:p w14:paraId="086E670B" w14:textId="77777777" w:rsidR="00EE2B72" w:rsidRPr="00EE2B72" w:rsidRDefault="00EE2B72" w:rsidP="00EE2B72">
      <w:pPr>
        <w:spacing w:before="0" w:after="0"/>
        <w:jc w:val="left"/>
        <w:rPr>
          <w:rFonts w:eastAsia="Times New Roman"/>
          <w:bCs/>
          <w:sz w:val="16"/>
          <w:szCs w:val="16"/>
          <w:lang w:eastAsia="de-DE"/>
        </w:rPr>
      </w:pPr>
      <w:r w:rsidRPr="00EE2B72">
        <w:rPr>
          <w:rFonts w:eastAsia="Times New Roman"/>
          <w:bCs/>
          <w:sz w:val="16"/>
          <w:vertAlign w:val="superscript"/>
          <w:lang w:eastAsia="de-DE"/>
        </w:rPr>
        <w:t xml:space="preserve">1 </w:t>
      </w:r>
      <w:r w:rsidRPr="00EE2B72">
        <w:rPr>
          <w:rFonts w:eastAsia="Times New Roman"/>
          <w:bCs/>
          <w:sz w:val="16"/>
          <w:szCs w:val="16"/>
          <w:lang w:eastAsia="de-DE"/>
        </w:rPr>
        <w:t>Die Materialwerte gelten für Bodenmaterial und Baggergut mit bis zu 10 Volumenprozent (BM und BG) oder bis zu 50 Volumenprozent (BM-F und BG-F) mineralischer Fremdbestandteile im Sinne von § 2 Nummer 8 der Bundes-Bodenschutz- und Altlastenverordnung mit nur vernachlässigbaren Anteilen an Störstoffen im Sinne von § 2 Nummer 9 der Bundes-Bodenschutz- und Altlastenverordnung. Bodenmaterial der Klasse BM-0 und Baggergut der Klasse BG-0 erfüllen die wertebezogenen Anforderungen an das Auf- oder Einbringen gemäß § 7 Absatz 3 der Bundes-Bodenschutz- und Altlastenverordnung. Bodenmaterial der Klasse BM-0 und Baggergut der Klasse BG-0 Sand erfüllen die wertebezogenen Anforderungen an das Auf- oder Einbringen gemäß § 8 Absatz 2 der Bundes-Bodenschutz- und Altlastenverordnung; Bodenmaterial der Klasse BM-0* und Baggergut der Klasse BG-0* erfüllen die wertebezogenen Anforderungen an das Auf- oder Einbringen gemäß § 8 Absatz 3 Nummer 1 der Bundes-Bodenschutz- und Altlastenverordnung.</w:t>
      </w:r>
    </w:p>
    <w:p w14:paraId="0A0BAA38" w14:textId="2A2031D6" w:rsidR="00EE2B72" w:rsidRPr="00EE2B72" w:rsidRDefault="00EE2B72" w:rsidP="00EE2B72">
      <w:pPr>
        <w:spacing w:before="0" w:after="0"/>
        <w:ind w:left="142" w:hanging="142"/>
        <w:jc w:val="left"/>
        <w:rPr>
          <w:rFonts w:eastAsia="Times New Roman"/>
          <w:bCs/>
          <w:sz w:val="16"/>
          <w:szCs w:val="16"/>
          <w:lang w:eastAsia="de-DE"/>
        </w:rPr>
      </w:pPr>
      <w:r w:rsidRPr="00EE2B72">
        <w:rPr>
          <w:rFonts w:eastAsia="Times New Roman"/>
          <w:b/>
          <w:bCs/>
          <w:sz w:val="16"/>
          <w:szCs w:val="16"/>
          <w:vertAlign w:val="superscript"/>
          <w:lang w:eastAsia="de-DE"/>
        </w:rPr>
        <w:t>2</w:t>
      </w:r>
      <w:r w:rsidRPr="00EE2B72">
        <w:rPr>
          <w:rFonts w:eastAsia="Times New Roman"/>
          <w:bCs/>
          <w:strike/>
          <w:sz w:val="16"/>
          <w:szCs w:val="16"/>
          <w:lang w:eastAsia="de-DE"/>
        </w:rPr>
        <w:t xml:space="preserve"> </w:t>
      </w:r>
      <w:r w:rsidRPr="00EE2B72">
        <w:rPr>
          <w:rFonts w:eastAsia="Times New Roman"/>
          <w:bCs/>
          <w:sz w:val="16"/>
          <w:szCs w:val="16"/>
          <w:lang w:eastAsia="de-DE"/>
        </w:rPr>
        <w:t xml:space="preserve">Bodenarten-Hauptgruppen gemäß Bodenkundlicher </w:t>
      </w:r>
      <w:proofErr w:type="spellStart"/>
      <w:r w:rsidRPr="00EE2B72">
        <w:rPr>
          <w:rFonts w:eastAsia="Times New Roman"/>
          <w:bCs/>
          <w:sz w:val="16"/>
          <w:szCs w:val="16"/>
          <w:lang w:eastAsia="de-DE"/>
        </w:rPr>
        <w:t>Kartieranleitung</w:t>
      </w:r>
      <w:proofErr w:type="spellEnd"/>
      <w:r w:rsidRPr="00EE2B72">
        <w:rPr>
          <w:rFonts w:eastAsia="Times New Roman"/>
          <w:bCs/>
          <w:sz w:val="16"/>
          <w:szCs w:val="16"/>
          <w:lang w:eastAsia="de-DE"/>
        </w:rPr>
        <w:t>, 5. Auflage, Hannover 2009 (KA 5); stark schluffige Sande, lehmig-schluffige Sande und stark lehmige Sande sowie Materialien, die nicht bodenartspezifisch zugeordnet werden können, sind entsprechend der Bodenart Lehm</w:t>
      </w:r>
      <w:r>
        <w:rPr>
          <w:rFonts w:eastAsia="Times New Roman"/>
          <w:bCs/>
          <w:sz w:val="16"/>
          <w:szCs w:val="16"/>
          <w:lang w:eastAsia="de-DE"/>
        </w:rPr>
        <w:t xml:space="preserve">, </w:t>
      </w:r>
      <w:r w:rsidRPr="00EE2B72">
        <w:rPr>
          <w:rFonts w:eastAsia="Times New Roman"/>
          <w:bCs/>
          <w:sz w:val="16"/>
          <w:szCs w:val="16"/>
          <w:lang w:eastAsia="de-DE"/>
        </w:rPr>
        <w:t>Schluff zu bewerten.</w:t>
      </w:r>
    </w:p>
    <w:p w14:paraId="69B355E8" w14:textId="302497D7" w:rsidR="00EE2B72" w:rsidRPr="00EE2B72" w:rsidRDefault="00EE2B72" w:rsidP="00EE2B72">
      <w:pPr>
        <w:spacing w:before="0" w:after="0"/>
        <w:ind w:left="142" w:hanging="142"/>
        <w:jc w:val="left"/>
        <w:rPr>
          <w:rFonts w:eastAsia="Times New Roman"/>
          <w:bCs/>
          <w:sz w:val="16"/>
          <w:szCs w:val="16"/>
          <w:lang w:eastAsia="de-DE"/>
        </w:rPr>
      </w:pPr>
      <w:r w:rsidRPr="00EE2B72">
        <w:rPr>
          <w:rFonts w:eastAsia="Times New Roman"/>
          <w:b/>
          <w:bCs/>
          <w:sz w:val="16"/>
          <w:szCs w:val="16"/>
          <w:vertAlign w:val="superscript"/>
          <w:lang w:eastAsia="de-DE"/>
        </w:rPr>
        <w:t>3</w:t>
      </w:r>
      <w:r w:rsidRPr="00EE2B72">
        <w:rPr>
          <w:rFonts w:eastAsia="Times New Roman"/>
          <w:bCs/>
          <w:sz w:val="16"/>
          <w:szCs w:val="16"/>
          <w:lang w:eastAsia="de-DE"/>
        </w:rPr>
        <w:t xml:space="preserve"> Die </w:t>
      </w:r>
      <w:proofErr w:type="spellStart"/>
      <w:r w:rsidRPr="00EE2B72">
        <w:rPr>
          <w:rFonts w:eastAsia="Times New Roman"/>
          <w:bCs/>
          <w:sz w:val="16"/>
          <w:szCs w:val="16"/>
          <w:lang w:eastAsia="de-DE"/>
        </w:rPr>
        <w:t>Eluatwerte</w:t>
      </w:r>
      <w:proofErr w:type="spellEnd"/>
      <w:r w:rsidRPr="00EE2B72">
        <w:rPr>
          <w:rFonts w:eastAsia="Times New Roman"/>
          <w:bCs/>
          <w:sz w:val="16"/>
          <w:szCs w:val="16"/>
          <w:lang w:eastAsia="de-DE"/>
        </w:rPr>
        <w:t xml:space="preserve"> in Spalte 6 sind mit Ausnahme des </w:t>
      </w:r>
      <w:proofErr w:type="spellStart"/>
      <w:r w:rsidRPr="00EE2B72">
        <w:rPr>
          <w:rFonts w:eastAsia="Times New Roman"/>
          <w:bCs/>
          <w:sz w:val="16"/>
          <w:szCs w:val="16"/>
          <w:lang w:eastAsia="de-DE"/>
        </w:rPr>
        <w:t>Eluatwertes</w:t>
      </w:r>
      <w:proofErr w:type="spellEnd"/>
      <w:r w:rsidRPr="00EE2B72">
        <w:rPr>
          <w:rFonts w:eastAsia="Times New Roman"/>
          <w:bCs/>
          <w:sz w:val="16"/>
          <w:szCs w:val="16"/>
          <w:lang w:eastAsia="de-DE"/>
        </w:rPr>
        <w:t xml:space="preserve"> für Sulfat nur maßgeblich, wenn für den betreffenden Stoff der jeweilige Feststoffwert nach Spalte 3 bis 5 überschritten wird. Der </w:t>
      </w:r>
      <w:proofErr w:type="spellStart"/>
      <w:r w:rsidRPr="00EE2B72">
        <w:rPr>
          <w:rFonts w:eastAsia="Times New Roman"/>
          <w:bCs/>
          <w:sz w:val="16"/>
          <w:szCs w:val="16"/>
          <w:lang w:eastAsia="de-DE"/>
        </w:rPr>
        <w:t>Eluatwert</w:t>
      </w:r>
      <w:proofErr w:type="spellEnd"/>
      <w:r w:rsidRPr="00EE2B72">
        <w:rPr>
          <w:rFonts w:eastAsia="Times New Roman"/>
          <w:bCs/>
          <w:sz w:val="16"/>
          <w:szCs w:val="16"/>
          <w:lang w:eastAsia="de-DE"/>
        </w:rPr>
        <w:t xml:space="preserve"> für PAK</w:t>
      </w:r>
      <w:r w:rsidRPr="00EE2B72">
        <w:rPr>
          <w:rFonts w:eastAsia="Times New Roman"/>
          <w:bCs/>
          <w:sz w:val="16"/>
          <w:szCs w:val="16"/>
          <w:vertAlign w:val="subscript"/>
          <w:lang w:eastAsia="de-DE"/>
        </w:rPr>
        <w:t>15</w:t>
      </w:r>
      <w:r w:rsidRPr="00EE2B72">
        <w:rPr>
          <w:rFonts w:eastAsia="Times New Roman"/>
          <w:bCs/>
          <w:sz w:val="16"/>
          <w:szCs w:val="16"/>
          <w:lang w:eastAsia="de-DE"/>
        </w:rPr>
        <w:t xml:space="preserve"> und </w:t>
      </w:r>
      <w:proofErr w:type="spellStart"/>
      <w:r w:rsidRPr="00EE2B72">
        <w:rPr>
          <w:rFonts w:eastAsia="Times New Roman"/>
          <w:bCs/>
          <w:sz w:val="16"/>
          <w:szCs w:val="16"/>
          <w:lang w:eastAsia="de-DE"/>
        </w:rPr>
        <w:t>Napthalin</w:t>
      </w:r>
      <w:proofErr w:type="spellEnd"/>
      <w:r w:rsidRPr="00EE2B72">
        <w:rPr>
          <w:rFonts w:eastAsia="Times New Roman"/>
          <w:bCs/>
          <w:sz w:val="16"/>
          <w:szCs w:val="16"/>
          <w:lang w:eastAsia="de-DE"/>
        </w:rPr>
        <w:t xml:space="preserve"> und </w:t>
      </w:r>
      <w:proofErr w:type="spellStart"/>
      <w:r w:rsidRPr="00EE2B72">
        <w:rPr>
          <w:rFonts w:eastAsia="Times New Roman"/>
          <w:bCs/>
          <w:sz w:val="16"/>
          <w:szCs w:val="16"/>
          <w:lang w:eastAsia="de-DE"/>
        </w:rPr>
        <w:t>Methylnaphtaline</w:t>
      </w:r>
      <w:proofErr w:type="spellEnd"/>
      <w:r w:rsidRPr="00EE2B72">
        <w:rPr>
          <w:rFonts w:eastAsia="Times New Roman"/>
          <w:bCs/>
          <w:sz w:val="16"/>
          <w:szCs w:val="16"/>
          <w:lang w:eastAsia="de-DE"/>
        </w:rPr>
        <w:t>, gesamt, ist maßgeblich, wenn der Feststoffwert für PAK</w:t>
      </w:r>
      <w:r w:rsidRPr="00EE2B72">
        <w:rPr>
          <w:rFonts w:eastAsia="Times New Roman"/>
          <w:bCs/>
          <w:sz w:val="16"/>
          <w:szCs w:val="16"/>
          <w:vertAlign w:val="subscript"/>
          <w:lang w:eastAsia="de-DE"/>
        </w:rPr>
        <w:t>16</w:t>
      </w:r>
      <w:r w:rsidRPr="00EE2B72">
        <w:rPr>
          <w:rFonts w:eastAsia="Times New Roman"/>
          <w:bCs/>
          <w:sz w:val="16"/>
          <w:szCs w:val="16"/>
          <w:lang w:eastAsia="de-DE"/>
        </w:rPr>
        <w:t xml:space="preserve"> nach Spalte 3 bis 5 überschritten wird. Die in Klammern genannten Werte gelten jeweils bei einem TOC-Gehalt von ≥ 0,5%.</w:t>
      </w:r>
    </w:p>
    <w:p w14:paraId="5E127AE5" w14:textId="06E1D652" w:rsidR="00EE2B72" w:rsidRPr="00EE2B72" w:rsidRDefault="00EE2B72" w:rsidP="00EE2B72">
      <w:pPr>
        <w:spacing w:before="0" w:after="0"/>
        <w:ind w:left="142" w:hanging="142"/>
        <w:jc w:val="left"/>
        <w:rPr>
          <w:rFonts w:eastAsia="Times New Roman"/>
          <w:bCs/>
          <w:sz w:val="16"/>
          <w:szCs w:val="16"/>
          <w:lang w:eastAsia="de-DE"/>
        </w:rPr>
      </w:pPr>
      <w:r w:rsidRPr="00EE2B72">
        <w:rPr>
          <w:rFonts w:eastAsia="Times New Roman"/>
          <w:b/>
          <w:bCs/>
          <w:sz w:val="16"/>
          <w:szCs w:val="16"/>
          <w:vertAlign w:val="superscript"/>
          <w:lang w:eastAsia="de-DE"/>
        </w:rPr>
        <w:t xml:space="preserve">4 </w:t>
      </w:r>
      <w:r w:rsidRPr="00EE2B72">
        <w:rPr>
          <w:rFonts w:eastAsia="Times New Roman"/>
          <w:bCs/>
          <w:sz w:val="16"/>
          <w:szCs w:val="16"/>
          <w:lang w:eastAsia="de-DE"/>
        </w:rPr>
        <w:t xml:space="preserve">Stoffspezifischer Orientierungswert; bei Abweichungen ist die Ursache zu prüfen. </w:t>
      </w:r>
    </w:p>
    <w:p w14:paraId="03571FE0" w14:textId="20E7B8A5" w:rsidR="00EE2B72" w:rsidRPr="00EE2B72" w:rsidRDefault="00EE2B72" w:rsidP="00EE2B72">
      <w:pPr>
        <w:spacing w:before="0" w:after="0"/>
        <w:ind w:left="142" w:hanging="142"/>
        <w:jc w:val="left"/>
        <w:rPr>
          <w:rFonts w:eastAsia="Times New Roman"/>
          <w:bCs/>
          <w:sz w:val="16"/>
          <w:szCs w:val="16"/>
          <w:lang w:eastAsia="de-DE"/>
        </w:rPr>
      </w:pPr>
      <w:r>
        <w:rPr>
          <w:rFonts w:eastAsia="Times New Roman"/>
          <w:bCs/>
          <w:sz w:val="16"/>
          <w:szCs w:val="16"/>
          <w:vertAlign w:val="superscript"/>
          <w:lang w:eastAsia="de-DE"/>
        </w:rPr>
        <w:t xml:space="preserve">5 </w:t>
      </w:r>
      <w:r w:rsidRPr="00EE2B72">
        <w:rPr>
          <w:rFonts w:eastAsia="Times New Roman"/>
          <w:bCs/>
          <w:sz w:val="16"/>
          <w:szCs w:val="16"/>
          <w:lang w:eastAsia="de-DE"/>
        </w:rPr>
        <w:t>Bei Überschreitung des Wertes ist die Ursache zu prüfen. Handelt es sich um naturbedingt erhöhte Sulfatkonzentrationen, ist eine Verwertung innerhalb der betroffenen Gebiete möglich. Außerhalb dieser Gebiete ist über die Verwertungseignung im Einzelfall zu entscheiden.</w:t>
      </w:r>
    </w:p>
    <w:p w14:paraId="6914223F" w14:textId="74A355E6" w:rsidR="00EE2B72" w:rsidRPr="00EE2B72" w:rsidRDefault="00EE2B72" w:rsidP="00EE2B72">
      <w:pPr>
        <w:spacing w:before="0" w:after="0"/>
        <w:ind w:left="142" w:hanging="142"/>
        <w:jc w:val="left"/>
        <w:rPr>
          <w:rFonts w:eastAsia="Times New Roman"/>
          <w:bCs/>
          <w:sz w:val="16"/>
          <w:szCs w:val="16"/>
          <w:lang w:eastAsia="de-DE"/>
        </w:rPr>
      </w:pPr>
      <w:r w:rsidRPr="00EE2B72">
        <w:rPr>
          <w:rFonts w:eastAsia="Times New Roman"/>
          <w:b/>
          <w:bCs/>
          <w:sz w:val="16"/>
          <w:szCs w:val="16"/>
          <w:vertAlign w:val="superscript"/>
          <w:lang w:eastAsia="de-DE"/>
        </w:rPr>
        <w:t xml:space="preserve">6 </w:t>
      </w:r>
      <w:r w:rsidRPr="00EE2B72">
        <w:rPr>
          <w:rFonts w:eastAsia="Times New Roman"/>
          <w:bCs/>
          <w:sz w:val="16"/>
          <w:szCs w:val="16"/>
          <w:lang w:eastAsia="de-DE"/>
        </w:rPr>
        <w:t>Der Wert 1 mg/kg gilt für Bodenmaterial der Bodenarten Sand und Lehm,</w:t>
      </w:r>
      <w:r>
        <w:rPr>
          <w:rFonts w:eastAsia="Times New Roman"/>
          <w:bCs/>
          <w:sz w:val="16"/>
          <w:szCs w:val="16"/>
          <w:lang w:eastAsia="de-DE"/>
        </w:rPr>
        <w:t xml:space="preserve"> </w:t>
      </w:r>
      <w:r w:rsidRPr="00EE2B72">
        <w:rPr>
          <w:rFonts w:eastAsia="Times New Roman"/>
          <w:bCs/>
          <w:sz w:val="16"/>
          <w:szCs w:val="16"/>
          <w:lang w:eastAsia="de-DE"/>
        </w:rPr>
        <w:t>Schluff. Für Bodenmaterial der Bodenart Ton gilt der Wert 1,5 mg/kg.</w:t>
      </w:r>
    </w:p>
    <w:p w14:paraId="0256497F" w14:textId="39234F18" w:rsidR="00EE2B72" w:rsidRPr="00EE2B72" w:rsidRDefault="00EE2B72" w:rsidP="00EE2B72">
      <w:pPr>
        <w:spacing w:before="0" w:after="0"/>
        <w:ind w:left="142" w:hanging="142"/>
        <w:jc w:val="left"/>
        <w:rPr>
          <w:rFonts w:eastAsia="Times New Roman"/>
          <w:bCs/>
          <w:sz w:val="16"/>
          <w:szCs w:val="16"/>
          <w:lang w:eastAsia="de-DE"/>
        </w:rPr>
      </w:pPr>
      <w:r w:rsidRPr="00EE2B72">
        <w:rPr>
          <w:rFonts w:eastAsia="Times New Roman"/>
          <w:b/>
          <w:bCs/>
          <w:sz w:val="16"/>
          <w:szCs w:val="16"/>
          <w:vertAlign w:val="superscript"/>
          <w:lang w:eastAsia="de-DE"/>
        </w:rPr>
        <w:t>7</w:t>
      </w:r>
      <w:r w:rsidRPr="00EE2B72">
        <w:rPr>
          <w:rFonts w:eastAsia="Times New Roman"/>
          <w:bCs/>
          <w:sz w:val="16"/>
          <w:szCs w:val="16"/>
          <w:vertAlign w:val="superscript"/>
          <w:lang w:eastAsia="de-DE"/>
        </w:rPr>
        <w:t xml:space="preserve"> </w:t>
      </w:r>
      <w:r w:rsidRPr="00EE2B72">
        <w:rPr>
          <w:rFonts w:eastAsia="Times New Roman"/>
          <w:bCs/>
          <w:sz w:val="16"/>
          <w:szCs w:val="16"/>
          <w:lang w:eastAsia="de-DE"/>
        </w:rPr>
        <w:t>Bodenmaterialspezifischer Orientierungswert. Der TOC-Gehalt muss nur bei Hinweisen auf erhöhte Gehalte nach den Untersuchungsverfahren in Anlage 5 bestimmt werden. § 6 Absatz 11 Satz 2 und 3 der Bundes-Bodenschutz- und Altlastenverordnung ist entsprechend anzuwenden. Beim Einbau sind Volumenbeständigkeit und Setzungsprozesse zu berücksichtigen.</w:t>
      </w:r>
    </w:p>
    <w:p w14:paraId="2E2280EA" w14:textId="1A9E0CFC" w:rsidR="00EE2B72" w:rsidRPr="00EE2B72" w:rsidRDefault="00EE2B72" w:rsidP="00EE2B72">
      <w:pPr>
        <w:spacing w:before="0" w:after="0"/>
        <w:ind w:left="142" w:hanging="142"/>
        <w:jc w:val="left"/>
        <w:rPr>
          <w:rFonts w:eastAsia="Times New Roman"/>
          <w:bCs/>
          <w:sz w:val="16"/>
          <w:szCs w:val="16"/>
          <w:lang w:eastAsia="de-DE"/>
        </w:rPr>
      </w:pPr>
      <w:r w:rsidRPr="00EE2B72">
        <w:rPr>
          <w:rFonts w:eastAsia="Times New Roman"/>
          <w:b/>
          <w:bCs/>
          <w:sz w:val="16"/>
          <w:szCs w:val="16"/>
          <w:vertAlign w:val="superscript"/>
          <w:lang w:eastAsia="de-DE"/>
        </w:rPr>
        <w:t>8</w:t>
      </w:r>
      <w:r w:rsidRPr="00EE2B72">
        <w:rPr>
          <w:rFonts w:eastAsia="Times New Roman"/>
          <w:bCs/>
          <w:sz w:val="16"/>
          <w:szCs w:val="16"/>
          <w:lang w:eastAsia="de-DE"/>
        </w:rPr>
        <w:t xml:space="preserve"> Die angegebenen Werte gelten für Kohlenwasserstoffverbindungen mit einer Kettenlänge von C10 bis C22. Der Gesamtgehalt bestimmt nach der DIN EN 14039, „Charakterisierung von Abfällen - Bestimmung des Gehalts an Kohlenwasserstoffen von C10 bis C40 mittels Gaschromatographie“, Ausgabe Januar 2005 darf insgesamt den in Klammern genannten Wert nicht überschreiten.</w:t>
      </w:r>
    </w:p>
    <w:p w14:paraId="48E24446" w14:textId="3C64DB0A" w:rsidR="00EE2B72" w:rsidRPr="00EE2B72" w:rsidRDefault="00EE2B72" w:rsidP="00EE2B72">
      <w:pPr>
        <w:spacing w:before="0" w:after="0"/>
        <w:jc w:val="left"/>
        <w:rPr>
          <w:rFonts w:eastAsia="Times New Roman"/>
          <w:sz w:val="16"/>
          <w:szCs w:val="16"/>
          <w:lang w:eastAsia="de-DE"/>
        </w:rPr>
      </w:pPr>
      <w:r w:rsidRPr="00EE2B72">
        <w:rPr>
          <w:rFonts w:eastAsia="Times New Roman"/>
          <w:b/>
          <w:bCs/>
          <w:sz w:val="16"/>
          <w:szCs w:val="16"/>
          <w:vertAlign w:val="superscript"/>
          <w:lang w:eastAsia="de-DE"/>
        </w:rPr>
        <w:t>9</w:t>
      </w:r>
      <w:r w:rsidRPr="00EE2B72">
        <w:rPr>
          <w:rFonts w:eastAsia="Times New Roman"/>
          <w:b/>
          <w:sz w:val="16"/>
          <w:szCs w:val="16"/>
          <w:lang w:eastAsia="de-DE"/>
        </w:rPr>
        <w:t xml:space="preserve"> </w:t>
      </w:r>
      <w:r w:rsidRPr="00EE2B72">
        <w:rPr>
          <w:rFonts w:eastAsia="Times New Roman"/>
          <w:sz w:val="16"/>
          <w:szCs w:val="16"/>
          <w:lang w:eastAsia="de-DE"/>
        </w:rPr>
        <w:t>PAK</w:t>
      </w:r>
      <w:r w:rsidRPr="00EE2B72">
        <w:rPr>
          <w:rFonts w:eastAsia="Times New Roman"/>
          <w:sz w:val="16"/>
          <w:szCs w:val="16"/>
          <w:vertAlign w:val="subscript"/>
          <w:lang w:eastAsia="de-DE"/>
        </w:rPr>
        <w:t>15</w:t>
      </w:r>
      <w:r w:rsidRPr="00EE2B72">
        <w:rPr>
          <w:rFonts w:eastAsia="Times New Roman"/>
          <w:bCs/>
          <w:sz w:val="16"/>
          <w:szCs w:val="16"/>
          <w:lang w:eastAsia="de-DE"/>
        </w:rPr>
        <w:t>: PAK</w:t>
      </w:r>
      <w:r w:rsidRPr="00EE2B72">
        <w:rPr>
          <w:rFonts w:eastAsia="Times New Roman"/>
          <w:sz w:val="16"/>
          <w:szCs w:val="16"/>
          <w:vertAlign w:val="subscript"/>
          <w:lang w:eastAsia="de-DE"/>
        </w:rPr>
        <w:t xml:space="preserve">16 </w:t>
      </w:r>
      <w:r w:rsidRPr="00EE2B72">
        <w:rPr>
          <w:rFonts w:eastAsia="Times New Roman"/>
          <w:sz w:val="16"/>
          <w:szCs w:val="16"/>
          <w:lang w:eastAsia="de-DE"/>
        </w:rPr>
        <w:t xml:space="preserve">ohne Naphthalin und </w:t>
      </w:r>
      <w:proofErr w:type="spellStart"/>
      <w:r w:rsidRPr="00EE2B72">
        <w:rPr>
          <w:rFonts w:eastAsia="Times New Roman"/>
          <w:sz w:val="16"/>
          <w:szCs w:val="16"/>
          <w:lang w:eastAsia="de-DE"/>
        </w:rPr>
        <w:t>Methylnaphthaline</w:t>
      </w:r>
      <w:proofErr w:type="spellEnd"/>
      <w:r w:rsidRPr="00EE2B72">
        <w:rPr>
          <w:rFonts w:eastAsia="Times New Roman"/>
          <w:sz w:val="16"/>
          <w:szCs w:val="16"/>
          <w:lang w:eastAsia="de-DE"/>
        </w:rPr>
        <w:t xml:space="preserve"> </w:t>
      </w:r>
    </w:p>
    <w:p w14:paraId="69FE3741" w14:textId="0433F105" w:rsidR="00EE2B72" w:rsidRPr="00EE2B72" w:rsidRDefault="00EE2B72" w:rsidP="00EE2B72">
      <w:pPr>
        <w:spacing w:before="0" w:after="0"/>
        <w:jc w:val="left"/>
        <w:rPr>
          <w:rFonts w:eastAsia="Times New Roman"/>
          <w:bCs/>
          <w:sz w:val="16"/>
          <w:szCs w:val="16"/>
          <w:lang w:eastAsia="de-DE"/>
        </w:rPr>
      </w:pPr>
      <w:r w:rsidRPr="00EE2B72">
        <w:rPr>
          <w:rFonts w:eastAsia="Times New Roman"/>
          <w:b/>
          <w:bCs/>
          <w:sz w:val="16"/>
          <w:szCs w:val="16"/>
          <w:vertAlign w:val="superscript"/>
          <w:lang w:eastAsia="de-DE"/>
        </w:rPr>
        <w:t>10</w:t>
      </w:r>
      <w:r w:rsidRPr="00EE2B72">
        <w:rPr>
          <w:rFonts w:eastAsia="Times New Roman"/>
          <w:sz w:val="16"/>
          <w:szCs w:val="16"/>
          <w:lang w:eastAsia="de-DE"/>
        </w:rPr>
        <w:t xml:space="preserve"> PAK</w:t>
      </w:r>
      <w:r w:rsidRPr="00EE2B72">
        <w:rPr>
          <w:rFonts w:eastAsia="Times New Roman"/>
          <w:sz w:val="16"/>
          <w:szCs w:val="16"/>
          <w:vertAlign w:val="subscript"/>
          <w:lang w:eastAsia="de-DE"/>
        </w:rPr>
        <w:t>16</w:t>
      </w:r>
      <w:r w:rsidRPr="00EE2B72">
        <w:rPr>
          <w:rFonts w:eastAsia="Times New Roman"/>
          <w:bCs/>
          <w:sz w:val="16"/>
          <w:szCs w:val="16"/>
          <w:lang w:eastAsia="de-DE"/>
        </w:rPr>
        <w:t>: s</w:t>
      </w:r>
      <w:r w:rsidRPr="00EE2B72">
        <w:rPr>
          <w:rFonts w:eastAsia="Times New Roman"/>
          <w:sz w:val="16"/>
          <w:szCs w:val="16"/>
          <w:lang w:eastAsia="de-DE"/>
        </w:rPr>
        <w:t xml:space="preserve">tellvertretend für die Gruppe der polyzyklischen aromatischen Kohlenwasserstoffe (PAK) werden nach der Liste der US-amerikanischen Umweltbehörde, Environmental </w:t>
      </w:r>
      <w:proofErr w:type="spellStart"/>
      <w:r w:rsidRPr="00EE2B72">
        <w:rPr>
          <w:rFonts w:eastAsia="Times New Roman"/>
          <w:sz w:val="16"/>
          <w:szCs w:val="16"/>
          <w:lang w:eastAsia="de-DE"/>
        </w:rPr>
        <w:t>Protection</w:t>
      </w:r>
      <w:proofErr w:type="spellEnd"/>
      <w:r w:rsidRPr="00EE2B72">
        <w:rPr>
          <w:rFonts w:eastAsia="Times New Roman"/>
          <w:sz w:val="16"/>
          <w:szCs w:val="16"/>
          <w:lang w:eastAsia="de-DE"/>
        </w:rPr>
        <w:t xml:space="preserve"> Agency (EPA), 16 ausgewählte PAK untersucht: </w:t>
      </w:r>
      <w:proofErr w:type="spellStart"/>
      <w:r w:rsidRPr="00EE2B72">
        <w:rPr>
          <w:rFonts w:eastAsia="Times New Roman"/>
          <w:sz w:val="16"/>
          <w:szCs w:val="16"/>
          <w:lang w:eastAsia="de-DE"/>
        </w:rPr>
        <w:t>Acenaphthen</w:t>
      </w:r>
      <w:proofErr w:type="spellEnd"/>
      <w:r w:rsidRPr="00EE2B72">
        <w:rPr>
          <w:rFonts w:eastAsia="Times New Roman"/>
          <w:sz w:val="16"/>
          <w:szCs w:val="16"/>
          <w:lang w:eastAsia="de-DE"/>
        </w:rPr>
        <w:t xml:space="preserve">, </w:t>
      </w:r>
      <w:proofErr w:type="spellStart"/>
      <w:r w:rsidRPr="00EE2B72">
        <w:rPr>
          <w:rFonts w:eastAsia="Times New Roman"/>
          <w:sz w:val="16"/>
          <w:szCs w:val="16"/>
          <w:lang w:eastAsia="de-DE"/>
        </w:rPr>
        <w:t>Acenaphthylen</w:t>
      </w:r>
      <w:proofErr w:type="spellEnd"/>
      <w:r w:rsidRPr="00EE2B72">
        <w:rPr>
          <w:rFonts w:eastAsia="Times New Roman"/>
          <w:sz w:val="16"/>
          <w:szCs w:val="16"/>
          <w:lang w:eastAsia="de-DE"/>
        </w:rPr>
        <w:t>, Anthracen, Benzo[a]</w:t>
      </w:r>
      <w:proofErr w:type="spellStart"/>
      <w:r w:rsidRPr="00EE2B72">
        <w:rPr>
          <w:rFonts w:eastAsia="Times New Roman"/>
          <w:sz w:val="16"/>
          <w:szCs w:val="16"/>
          <w:lang w:eastAsia="de-DE"/>
        </w:rPr>
        <w:t>anthracen</w:t>
      </w:r>
      <w:proofErr w:type="spellEnd"/>
      <w:r w:rsidRPr="00EE2B72">
        <w:rPr>
          <w:rFonts w:eastAsia="Times New Roman"/>
          <w:sz w:val="16"/>
          <w:szCs w:val="16"/>
          <w:lang w:eastAsia="de-DE"/>
        </w:rPr>
        <w:t>, Benzo[a]</w:t>
      </w:r>
      <w:proofErr w:type="spellStart"/>
      <w:r w:rsidRPr="00EE2B72">
        <w:rPr>
          <w:rFonts w:eastAsia="Times New Roman"/>
          <w:sz w:val="16"/>
          <w:szCs w:val="16"/>
          <w:lang w:eastAsia="de-DE"/>
        </w:rPr>
        <w:t>pyren</w:t>
      </w:r>
      <w:proofErr w:type="spellEnd"/>
      <w:r w:rsidRPr="00EE2B72">
        <w:rPr>
          <w:rFonts w:eastAsia="Times New Roman"/>
          <w:sz w:val="16"/>
          <w:szCs w:val="16"/>
          <w:lang w:eastAsia="de-DE"/>
        </w:rPr>
        <w:t>, Benzo[b]</w:t>
      </w:r>
      <w:proofErr w:type="spellStart"/>
      <w:r w:rsidRPr="00EE2B72">
        <w:rPr>
          <w:rFonts w:eastAsia="Times New Roman"/>
          <w:sz w:val="16"/>
          <w:szCs w:val="16"/>
          <w:lang w:eastAsia="de-DE"/>
        </w:rPr>
        <w:t>fluoranthen</w:t>
      </w:r>
      <w:proofErr w:type="spellEnd"/>
      <w:r w:rsidRPr="00EE2B72">
        <w:rPr>
          <w:rFonts w:eastAsia="Times New Roman"/>
          <w:sz w:val="16"/>
          <w:szCs w:val="16"/>
          <w:lang w:eastAsia="de-DE"/>
        </w:rPr>
        <w:t>, Benzo[</w:t>
      </w:r>
      <w:proofErr w:type="spellStart"/>
      <w:proofErr w:type="gramStart"/>
      <w:r w:rsidRPr="00EE2B72">
        <w:rPr>
          <w:rFonts w:eastAsia="Times New Roman"/>
          <w:sz w:val="16"/>
          <w:szCs w:val="16"/>
          <w:lang w:eastAsia="de-DE"/>
        </w:rPr>
        <w:t>g,h</w:t>
      </w:r>
      <w:proofErr w:type="gramEnd"/>
      <w:r w:rsidRPr="00EE2B72">
        <w:rPr>
          <w:rFonts w:eastAsia="Times New Roman"/>
          <w:sz w:val="16"/>
          <w:szCs w:val="16"/>
          <w:lang w:eastAsia="de-DE"/>
        </w:rPr>
        <w:t>,i</w:t>
      </w:r>
      <w:proofErr w:type="spellEnd"/>
      <w:r w:rsidRPr="00EE2B72">
        <w:rPr>
          <w:rFonts w:eastAsia="Times New Roman"/>
          <w:sz w:val="16"/>
          <w:szCs w:val="16"/>
          <w:lang w:eastAsia="de-DE"/>
        </w:rPr>
        <w:t>]</w:t>
      </w:r>
      <w:proofErr w:type="spellStart"/>
      <w:r w:rsidRPr="00EE2B72">
        <w:rPr>
          <w:rFonts w:eastAsia="Times New Roman"/>
          <w:sz w:val="16"/>
          <w:szCs w:val="16"/>
          <w:lang w:eastAsia="de-DE"/>
        </w:rPr>
        <w:t>perylen</w:t>
      </w:r>
      <w:proofErr w:type="spellEnd"/>
      <w:r w:rsidRPr="00EE2B72">
        <w:rPr>
          <w:rFonts w:eastAsia="Times New Roman"/>
          <w:sz w:val="16"/>
          <w:szCs w:val="16"/>
          <w:lang w:eastAsia="de-DE"/>
        </w:rPr>
        <w:t>, Benzo- [k]</w:t>
      </w:r>
      <w:proofErr w:type="spellStart"/>
      <w:r w:rsidRPr="00EE2B72">
        <w:rPr>
          <w:rFonts w:eastAsia="Times New Roman"/>
          <w:sz w:val="16"/>
          <w:szCs w:val="16"/>
          <w:lang w:eastAsia="de-DE"/>
        </w:rPr>
        <w:t>fluoranthen</w:t>
      </w:r>
      <w:proofErr w:type="spellEnd"/>
      <w:r w:rsidRPr="00EE2B72">
        <w:rPr>
          <w:rFonts w:eastAsia="Times New Roman"/>
          <w:sz w:val="16"/>
          <w:szCs w:val="16"/>
          <w:lang w:eastAsia="de-DE"/>
        </w:rPr>
        <w:t xml:space="preserve">, </w:t>
      </w:r>
      <w:proofErr w:type="spellStart"/>
      <w:r w:rsidRPr="00EE2B72">
        <w:rPr>
          <w:rFonts w:eastAsia="Times New Roman"/>
          <w:sz w:val="16"/>
          <w:szCs w:val="16"/>
          <w:lang w:eastAsia="de-DE"/>
        </w:rPr>
        <w:t>Chrysen</w:t>
      </w:r>
      <w:proofErr w:type="spellEnd"/>
      <w:r w:rsidRPr="00EE2B72">
        <w:rPr>
          <w:rFonts w:eastAsia="Times New Roman"/>
          <w:sz w:val="16"/>
          <w:szCs w:val="16"/>
          <w:lang w:eastAsia="de-DE"/>
        </w:rPr>
        <w:t xml:space="preserve">, </w:t>
      </w:r>
      <w:proofErr w:type="spellStart"/>
      <w:r w:rsidRPr="00EE2B72">
        <w:rPr>
          <w:rFonts w:eastAsia="Times New Roman"/>
          <w:sz w:val="16"/>
          <w:szCs w:val="16"/>
          <w:lang w:eastAsia="de-DE"/>
        </w:rPr>
        <w:t>Dibenzo</w:t>
      </w:r>
      <w:proofErr w:type="spellEnd"/>
      <w:r w:rsidRPr="00EE2B72">
        <w:rPr>
          <w:rFonts w:eastAsia="Times New Roman"/>
          <w:sz w:val="16"/>
          <w:szCs w:val="16"/>
          <w:lang w:eastAsia="de-DE"/>
        </w:rPr>
        <w:t>[</w:t>
      </w:r>
      <w:proofErr w:type="spellStart"/>
      <w:r w:rsidRPr="00EE2B72">
        <w:rPr>
          <w:rFonts w:eastAsia="Times New Roman"/>
          <w:sz w:val="16"/>
          <w:szCs w:val="16"/>
          <w:lang w:eastAsia="de-DE"/>
        </w:rPr>
        <w:t>a,h</w:t>
      </w:r>
      <w:proofErr w:type="spellEnd"/>
      <w:r w:rsidRPr="00EE2B72">
        <w:rPr>
          <w:rFonts w:eastAsia="Times New Roman"/>
          <w:sz w:val="16"/>
          <w:szCs w:val="16"/>
          <w:lang w:eastAsia="de-DE"/>
        </w:rPr>
        <w:t>]</w:t>
      </w:r>
      <w:proofErr w:type="spellStart"/>
      <w:r w:rsidRPr="00EE2B72">
        <w:rPr>
          <w:rFonts w:eastAsia="Times New Roman"/>
          <w:sz w:val="16"/>
          <w:szCs w:val="16"/>
          <w:lang w:eastAsia="de-DE"/>
        </w:rPr>
        <w:t>anthracen</w:t>
      </w:r>
      <w:proofErr w:type="spellEnd"/>
      <w:r w:rsidRPr="00EE2B72">
        <w:rPr>
          <w:rFonts w:eastAsia="Times New Roman"/>
          <w:sz w:val="16"/>
          <w:szCs w:val="16"/>
          <w:lang w:eastAsia="de-DE"/>
        </w:rPr>
        <w:t xml:space="preserve">, </w:t>
      </w:r>
      <w:proofErr w:type="spellStart"/>
      <w:r w:rsidRPr="00EE2B72">
        <w:rPr>
          <w:rFonts w:eastAsia="Times New Roman"/>
          <w:sz w:val="16"/>
          <w:szCs w:val="16"/>
          <w:lang w:eastAsia="de-DE"/>
        </w:rPr>
        <w:t>Fluoranthen</w:t>
      </w:r>
      <w:proofErr w:type="spellEnd"/>
      <w:r w:rsidRPr="00EE2B72">
        <w:rPr>
          <w:rFonts w:eastAsia="Times New Roman"/>
          <w:sz w:val="16"/>
          <w:szCs w:val="16"/>
          <w:lang w:eastAsia="de-DE"/>
        </w:rPr>
        <w:t xml:space="preserve">, Fluoren, </w:t>
      </w:r>
      <w:proofErr w:type="spellStart"/>
      <w:r w:rsidRPr="00EE2B72">
        <w:rPr>
          <w:rFonts w:eastAsia="Times New Roman"/>
          <w:sz w:val="16"/>
          <w:szCs w:val="16"/>
          <w:lang w:eastAsia="de-DE"/>
        </w:rPr>
        <w:t>Indeno</w:t>
      </w:r>
      <w:proofErr w:type="spellEnd"/>
      <w:r w:rsidRPr="00EE2B72">
        <w:rPr>
          <w:rFonts w:eastAsia="Times New Roman"/>
          <w:sz w:val="16"/>
          <w:szCs w:val="16"/>
          <w:lang w:eastAsia="de-DE"/>
        </w:rPr>
        <w:t>[1,2,3- cd]</w:t>
      </w:r>
      <w:proofErr w:type="spellStart"/>
      <w:r w:rsidRPr="00EE2B72">
        <w:rPr>
          <w:rFonts w:eastAsia="Times New Roman"/>
          <w:sz w:val="16"/>
          <w:szCs w:val="16"/>
          <w:lang w:eastAsia="de-DE"/>
        </w:rPr>
        <w:t>pyren</w:t>
      </w:r>
      <w:proofErr w:type="spellEnd"/>
      <w:r w:rsidRPr="00EE2B72">
        <w:rPr>
          <w:rFonts w:eastAsia="Times New Roman"/>
          <w:sz w:val="16"/>
          <w:szCs w:val="16"/>
          <w:lang w:eastAsia="de-DE"/>
        </w:rPr>
        <w:t xml:space="preserve">, Naphthalin, </w:t>
      </w:r>
      <w:proofErr w:type="spellStart"/>
      <w:r w:rsidRPr="00EE2B72">
        <w:rPr>
          <w:rFonts w:eastAsia="Times New Roman"/>
          <w:sz w:val="16"/>
          <w:szCs w:val="16"/>
          <w:lang w:eastAsia="de-DE"/>
        </w:rPr>
        <w:t>Phenanthren</w:t>
      </w:r>
      <w:proofErr w:type="spellEnd"/>
      <w:r w:rsidRPr="00EE2B72">
        <w:rPr>
          <w:rFonts w:eastAsia="Times New Roman"/>
          <w:sz w:val="16"/>
          <w:szCs w:val="16"/>
          <w:lang w:eastAsia="de-DE"/>
        </w:rPr>
        <w:t xml:space="preserve"> und </w:t>
      </w:r>
      <w:proofErr w:type="spellStart"/>
      <w:r w:rsidRPr="00EE2B72">
        <w:rPr>
          <w:rFonts w:eastAsia="Times New Roman"/>
          <w:sz w:val="16"/>
          <w:szCs w:val="16"/>
          <w:lang w:eastAsia="de-DE"/>
        </w:rPr>
        <w:t>Pyren</w:t>
      </w:r>
      <w:proofErr w:type="spellEnd"/>
      <w:r w:rsidRPr="00EE2B72">
        <w:rPr>
          <w:rFonts w:eastAsia="Times New Roman"/>
          <w:sz w:val="16"/>
          <w:szCs w:val="16"/>
          <w:lang w:eastAsia="de-DE"/>
        </w:rPr>
        <w:t xml:space="preserve">. </w:t>
      </w:r>
    </w:p>
    <w:p w14:paraId="41FEC39E" w14:textId="57B1ECE2" w:rsidR="00EE2B72" w:rsidRPr="00EE2B72" w:rsidRDefault="00EE2B72" w:rsidP="00EE2B72">
      <w:pPr>
        <w:spacing w:before="0" w:after="0"/>
        <w:ind w:left="142" w:hanging="142"/>
        <w:jc w:val="left"/>
        <w:rPr>
          <w:rFonts w:eastAsia="Times New Roman"/>
          <w:bCs/>
          <w:sz w:val="16"/>
          <w:szCs w:val="16"/>
          <w:lang w:eastAsia="de-DE"/>
        </w:rPr>
      </w:pPr>
      <w:r w:rsidRPr="00EE2B72">
        <w:rPr>
          <w:rFonts w:eastAsia="Times New Roman"/>
          <w:b/>
          <w:bCs/>
          <w:sz w:val="16"/>
          <w:szCs w:val="16"/>
          <w:vertAlign w:val="superscript"/>
          <w:lang w:eastAsia="de-DE"/>
        </w:rPr>
        <w:t xml:space="preserve">11 </w:t>
      </w:r>
      <w:r w:rsidRPr="00EE2B72">
        <w:rPr>
          <w:rFonts w:eastAsia="Times New Roman"/>
          <w:bCs/>
          <w:sz w:val="16"/>
          <w:szCs w:val="16"/>
          <w:lang w:eastAsia="de-DE"/>
        </w:rPr>
        <w:t>Bei Überschreitung der Werte sind die Materialien auf fallspezifische Belastungen zu untersuchen.</w:t>
      </w:r>
    </w:p>
    <w:p w14:paraId="455DB31C" w14:textId="5FD99069" w:rsidR="004B6F12" w:rsidRPr="00EE2B72" w:rsidRDefault="00EE2B72" w:rsidP="00EE2B72">
      <w:pPr>
        <w:spacing w:before="0" w:after="0"/>
        <w:ind w:left="142" w:hanging="142"/>
        <w:jc w:val="left"/>
        <w:rPr>
          <w:rFonts w:eastAsia="Times New Roman"/>
          <w:bCs/>
          <w:sz w:val="16"/>
          <w:szCs w:val="16"/>
          <w:lang w:eastAsia="de-DE"/>
        </w:rPr>
      </w:pPr>
      <w:r w:rsidRPr="00EE2B72">
        <w:rPr>
          <w:rFonts w:eastAsia="Times New Roman"/>
          <w:bCs/>
          <w:sz w:val="16"/>
          <w:szCs w:val="16"/>
          <w:vertAlign w:val="superscript"/>
          <w:lang w:eastAsia="de-DE"/>
        </w:rPr>
        <w:t>12</w:t>
      </w:r>
      <w:r w:rsidRPr="00EE2B72">
        <w:rPr>
          <w:rFonts w:eastAsia="Times New Roman"/>
          <w:bCs/>
          <w:sz w:val="16"/>
          <w:szCs w:val="16"/>
          <w:lang w:eastAsia="de-DE"/>
        </w:rPr>
        <w:t xml:space="preserve"> Bei Quecksilber und Thallium ist für die Klassifizierung in die Materialklassen BM-F0*/BG-F0*, BM-F1/ BG-F-1, BM-F2/BG-F-2, BM-F-3/BG-F3 der angegebene Gesamtgehalt maßgeblich. Der </w:t>
      </w:r>
      <w:proofErr w:type="spellStart"/>
      <w:r w:rsidRPr="00EE2B72">
        <w:rPr>
          <w:rFonts w:eastAsia="Times New Roman"/>
          <w:bCs/>
          <w:sz w:val="16"/>
          <w:szCs w:val="16"/>
          <w:lang w:eastAsia="de-DE"/>
        </w:rPr>
        <w:t>Eluatwert</w:t>
      </w:r>
      <w:proofErr w:type="spellEnd"/>
      <w:r w:rsidRPr="00EE2B72">
        <w:rPr>
          <w:rFonts w:eastAsia="Times New Roman"/>
          <w:bCs/>
          <w:sz w:val="16"/>
          <w:szCs w:val="16"/>
          <w:lang w:eastAsia="de-DE"/>
        </w:rPr>
        <w:t xml:space="preserve"> der Materialklasse BM-0*/BG-0* ist einzuhalten.</w:t>
      </w:r>
    </w:p>
    <w:p w14:paraId="57FE7991" w14:textId="77777777" w:rsidR="003006DB" w:rsidRDefault="003006DB" w:rsidP="00EE2B72">
      <w:pPr>
        <w:pStyle w:val="berschrift1"/>
        <w:sectPr w:rsidR="003006DB" w:rsidSect="007947FE">
          <w:pgSz w:w="16839" w:h="11907" w:orient="landscape" w:code="9"/>
          <w:pgMar w:top="1134" w:right="1417" w:bottom="1134" w:left="1701" w:header="709" w:footer="709" w:gutter="0"/>
          <w:cols w:space="708"/>
          <w:docGrid w:linePitch="360"/>
        </w:sectPr>
      </w:pPr>
    </w:p>
    <w:p w14:paraId="36AD1F73" w14:textId="0985403F" w:rsidR="00EE2B72" w:rsidRPr="00EE2B72" w:rsidRDefault="00EE2B72" w:rsidP="00EE2B72">
      <w:pPr>
        <w:pStyle w:val="berschrift1"/>
      </w:pPr>
      <w:r w:rsidRPr="008D0377">
        <w:lastRenderedPageBreak/>
        <w:t>Tabelle 4</w:t>
      </w:r>
    </w:p>
    <w:p w14:paraId="2A9C564C" w14:textId="668A3393" w:rsidR="00EE2B72" w:rsidRDefault="00EE2B72" w:rsidP="00EE2B72">
      <w:pPr>
        <w:pStyle w:val="Text"/>
        <w:jc w:val="left"/>
      </w:pPr>
      <w:r w:rsidRPr="008D0377">
        <w:t xml:space="preserve">Zusätzliche Materialwerte für spezifische Belastungsparameter von Bodenmaterial und Baggergut, </w:t>
      </w:r>
      <w:r w:rsidRPr="008D0377">
        <w:br/>
        <w:t>Zusätzliche Materialwerte für nicht aufbereiteten Bauschutt (zu § 3 Absatz 1 Satz 3 Nummer 1, bei Hinweisen auf diese Schadstoffe anzuwenden)</w:t>
      </w:r>
    </w:p>
    <w:p w14:paraId="5EE97919" w14:textId="77777777" w:rsidR="003006DB" w:rsidRPr="00A10B6A" w:rsidRDefault="003006DB" w:rsidP="00EE2B72">
      <w:pPr>
        <w:pStyle w:val="Text"/>
        <w:jc w:val="left"/>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263"/>
        <w:gridCol w:w="1560"/>
        <w:gridCol w:w="1417"/>
        <w:gridCol w:w="1418"/>
        <w:gridCol w:w="1275"/>
        <w:gridCol w:w="1418"/>
      </w:tblGrid>
      <w:tr w:rsidR="00EE2B72" w:rsidRPr="00EE2B72" w14:paraId="0F79D674" w14:textId="77777777" w:rsidTr="003006DB">
        <w:tc>
          <w:tcPr>
            <w:tcW w:w="2263" w:type="dxa"/>
            <w:shd w:val="clear" w:color="auto" w:fill="FFFFFF" w:themeFill="background1"/>
          </w:tcPr>
          <w:p w14:paraId="4AA75B14" w14:textId="77777777" w:rsidR="00EE2B72" w:rsidRPr="00EE2B72" w:rsidRDefault="00EE2B72" w:rsidP="003006DB">
            <w:pPr>
              <w:spacing w:before="0" w:after="0"/>
              <w:jc w:val="center"/>
              <w:rPr>
                <w:rFonts w:eastAsia="Times New Roman"/>
                <w:lang w:eastAsia="de-DE"/>
              </w:rPr>
            </w:pPr>
            <w:r w:rsidRPr="00EE2B72">
              <w:rPr>
                <w:rFonts w:eastAsia="Times New Roman"/>
                <w:b/>
                <w:lang w:eastAsia="de-DE"/>
              </w:rPr>
              <w:t>Parameter</w:t>
            </w:r>
          </w:p>
        </w:tc>
        <w:tc>
          <w:tcPr>
            <w:tcW w:w="1560" w:type="dxa"/>
            <w:shd w:val="clear" w:color="auto" w:fill="FFFFFF" w:themeFill="background1"/>
          </w:tcPr>
          <w:p w14:paraId="115DF452" w14:textId="77777777" w:rsidR="00EE2B72" w:rsidRPr="00EE2B72" w:rsidRDefault="00EE2B72" w:rsidP="003006DB">
            <w:pPr>
              <w:spacing w:before="0" w:after="0"/>
              <w:jc w:val="center"/>
              <w:rPr>
                <w:rFonts w:eastAsia="Times New Roman"/>
                <w:b/>
                <w:lang w:eastAsia="de-DE"/>
              </w:rPr>
            </w:pPr>
            <w:r w:rsidRPr="00EE2B72">
              <w:rPr>
                <w:rFonts w:eastAsia="Times New Roman"/>
                <w:b/>
                <w:lang w:eastAsia="de-DE"/>
              </w:rPr>
              <w:t>Dim.</w:t>
            </w:r>
          </w:p>
        </w:tc>
        <w:tc>
          <w:tcPr>
            <w:tcW w:w="1417" w:type="dxa"/>
            <w:shd w:val="clear" w:color="auto" w:fill="FFFFFF" w:themeFill="background1"/>
            <w:vAlign w:val="center"/>
          </w:tcPr>
          <w:p w14:paraId="5C72B066" w14:textId="77777777" w:rsidR="00EE2B72" w:rsidRPr="00EE2B72" w:rsidRDefault="00EE2B72" w:rsidP="003006DB">
            <w:pPr>
              <w:spacing w:before="0" w:after="0"/>
              <w:jc w:val="center"/>
              <w:rPr>
                <w:rFonts w:eastAsia="Times New Roman"/>
                <w:b/>
                <w:vertAlign w:val="subscript"/>
                <w:lang w:eastAsia="de-DE"/>
              </w:rPr>
            </w:pPr>
            <w:r w:rsidRPr="00EE2B72">
              <w:rPr>
                <w:rFonts w:eastAsia="Times New Roman"/>
                <w:b/>
                <w:lang w:eastAsia="de-DE"/>
              </w:rPr>
              <w:t>BM-F0*, BG-F0*</w:t>
            </w:r>
          </w:p>
        </w:tc>
        <w:tc>
          <w:tcPr>
            <w:tcW w:w="1418" w:type="dxa"/>
            <w:shd w:val="clear" w:color="auto" w:fill="FFFFFF" w:themeFill="background1"/>
            <w:vAlign w:val="center"/>
          </w:tcPr>
          <w:p w14:paraId="36E62541" w14:textId="77777777" w:rsidR="00EE2B72" w:rsidRPr="00EE2B72" w:rsidRDefault="00EE2B72" w:rsidP="003006DB">
            <w:pPr>
              <w:spacing w:before="0" w:after="0"/>
              <w:jc w:val="center"/>
              <w:rPr>
                <w:rFonts w:eastAsia="Times New Roman"/>
                <w:b/>
                <w:lang w:eastAsia="de-DE"/>
              </w:rPr>
            </w:pPr>
            <w:r w:rsidRPr="00EE2B72">
              <w:rPr>
                <w:rFonts w:eastAsia="Times New Roman"/>
                <w:b/>
                <w:lang w:eastAsia="de-DE"/>
              </w:rPr>
              <w:t xml:space="preserve">BM-F1, </w:t>
            </w:r>
          </w:p>
          <w:p w14:paraId="362FED2E" w14:textId="77777777" w:rsidR="00EE2B72" w:rsidRPr="00EE2B72" w:rsidRDefault="00EE2B72" w:rsidP="003006DB">
            <w:pPr>
              <w:spacing w:before="0" w:after="0"/>
              <w:jc w:val="center"/>
              <w:rPr>
                <w:rFonts w:eastAsia="Times New Roman"/>
                <w:b/>
                <w:lang w:val="en-GB" w:eastAsia="de-DE"/>
              </w:rPr>
            </w:pPr>
            <w:r w:rsidRPr="00EE2B72">
              <w:rPr>
                <w:rFonts w:eastAsia="Times New Roman"/>
                <w:b/>
                <w:lang w:val="en-GB" w:eastAsia="de-DE"/>
              </w:rPr>
              <w:t>BG-F1</w:t>
            </w:r>
          </w:p>
        </w:tc>
        <w:tc>
          <w:tcPr>
            <w:tcW w:w="1275" w:type="dxa"/>
            <w:shd w:val="clear" w:color="auto" w:fill="FFFFFF" w:themeFill="background1"/>
            <w:vAlign w:val="center"/>
          </w:tcPr>
          <w:p w14:paraId="67AACAE3" w14:textId="77777777" w:rsidR="00EE2B72" w:rsidRPr="00EE2B72" w:rsidRDefault="00EE2B72" w:rsidP="003006DB">
            <w:pPr>
              <w:spacing w:before="0" w:after="0"/>
              <w:jc w:val="center"/>
              <w:rPr>
                <w:rFonts w:eastAsia="Times New Roman"/>
                <w:b/>
                <w:lang w:val="en-GB" w:eastAsia="de-DE"/>
              </w:rPr>
            </w:pPr>
            <w:r w:rsidRPr="00EE2B72">
              <w:rPr>
                <w:rFonts w:eastAsia="Times New Roman"/>
                <w:b/>
                <w:lang w:val="en-GB" w:eastAsia="de-DE"/>
              </w:rPr>
              <w:t xml:space="preserve">BM-F2, </w:t>
            </w:r>
          </w:p>
          <w:p w14:paraId="1E3643C1" w14:textId="77777777" w:rsidR="00EE2B72" w:rsidRPr="00EE2B72" w:rsidRDefault="00EE2B72" w:rsidP="003006DB">
            <w:pPr>
              <w:spacing w:before="0" w:after="0"/>
              <w:jc w:val="center"/>
              <w:rPr>
                <w:rFonts w:eastAsia="Times New Roman"/>
                <w:b/>
                <w:lang w:val="en-GB" w:eastAsia="de-DE"/>
              </w:rPr>
            </w:pPr>
            <w:r w:rsidRPr="00EE2B72">
              <w:rPr>
                <w:rFonts w:eastAsia="Times New Roman"/>
                <w:b/>
                <w:lang w:val="en-GB" w:eastAsia="de-DE"/>
              </w:rPr>
              <w:t>BG-F2</w:t>
            </w:r>
          </w:p>
        </w:tc>
        <w:tc>
          <w:tcPr>
            <w:tcW w:w="1418" w:type="dxa"/>
            <w:tcBorders>
              <w:right w:val="single" w:sz="4" w:space="0" w:color="auto"/>
            </w:tcBorders>
            <w:shd w:val="clear" w:color="auto" w:fill="FFFFFF" w:themeFill="background1"/>
            <w:vAlign w:val="center"/>
          </w:tcPr>
          <w:p w14:paraId="22D1FC10" w14:textId="77777777" w:rsidR="00EE2B72" w:rsidRPr="00EE2B72" w:rsidRDefault="00EE2B72" w:rsidP="003006DB">
            <w:pPr>
              <w:spacing w:before="0" w:after="0"/>
              <w:jc w:val="center"/>
              <w:rPr>
                <w:rFonts w:eastAsia="Times New Roman"/>
                <w:b/>
                <w:lang w:val="en-GB" w:eastAsia="de-DE"/>
              </w:rPr>
            </w:pPr>
            <w:r w:rsidRPr="00EE2B72">
              <w:rPr>
                <w:rFonts w:eastAsia="Times New Roman"/>
                <w:b/>
                <w:lang w:val="en-GB" w:eastAsia="de-DE"/>
              </w:rPr>
              <w:t xml:space="preserve">BM-F3, </w:t>
            </w:r>
          </w:p>
          <w:p w14:paraId="6CBFA716" w14:textId="77777777" w:rsidR="00EE2B72" w:rsidRPr="00EE2B72" w:rsidRDefault="00EE2B72" w:rsidP="003006DB">
            <w:pPr>
              <w:spacing w:before="0" w:after="0"/>
              <w:jc w:val="center"/>
              <w:rPr>
                <w:rFonts w:eastAsia="Times New Roman"/>
                <w:b/>
                <w:lang w:val="en-GB" w:eastAsia="de-DE"/>
              </w:rPr>
            </w:pPr>
            <w:r w:rsidRPr="00EE2B72">
              <w:rPr>
                <w:rFonts w:eastAsia="Times New Roman"/>
                <w:b/>
                <w:lang w:val="en-GB" w:eastAsia="de-DE"/>
              </w:rPr>
              <w:t>BG-F3</w:t>
            </w:r>
          </w:p>
        </w:tc>
      </w:tr>
      <w:tr w:rsidR="00EE2B72" w:rsidRPr="00EE2B72" w14:paraId="3AA538AC" w14:textId="77777777" w:rsidTr="003006DB">
        <w:tc>
          <w:tcPr>
            <w:tcW w:w="9351" w:type="dxa"/>
            <w:gridSpan w:val="6"/>
            <w:tcBorders>
              <w:right w:val="single" w:sz="4" w:space="0" w:color="auto"/>
            </w:tcBorders>
            <w:shd w:val="clear" w:color="auto" w:fill="FFFFFF" w:themeFill="background1"/>
            <w:vAlign w:val="center"/>
          </w:tcPr>
          <w:p w14:paraId="5024E380" w14:textId="77777777" w:rsidR="00EE2B72" w:rsidRPr="00EE2B72" w:rsidRDefault="00EE2B72" w:rsidP="003006DB">
            <w:pPr>
              <w:spacing w:before="0" w:after="0"/>
              <w:jc w:val="center"/>
              <w:rPr>
                <w:rFonts w:eastAsia="Times New Roman"/>
                <w:b/>
                <w:i/>
                <w:lang w:eastAsia="de-DE"/>
              </w:rPr>
            </w:pPr>
          </w:p>
          <w:p w14:paraId="32388AA8" w14:textId="77777777" w:rsidR="00EE2B72" w:rsidRPr="00EE2B72" w:rsidRDefault="00EE2B72" w:rsidP="003006DB">
            <w:pPr>
              <w:spacing w:before="0" w:after="0"/>
              <w:jc w:val="center"/>
              <w:rPr>
                <w:rFonts w:eastAsia="Times New Roman"/>
                <w:b/>
                <w:bCs/>
                <w:i/>
                <w:lang w:eastAsia="de-DE"/>
              </w:rPr>
            </w:pPr>
            <w:r w:rsidRPr="00EE2B72">
              <w:rPr>
                <w:rFonts w:eastAsia="Times New Roman"/>
                <w:b/>
                <w:bCs/>
                <w:i/>
                <w:lang w:eastAsia="de-DE"/>
              </w:rPr>
              <w:t>Anorganische Stoffe</w:t>
            </w:r>
          </w:p>
          <w:p w14:paraId="3E2C0AC0" w14:textId="77777777" w:rsidR="00EE2B72" w:rsidRPr="00EE2B72" w:rsidRDefault="00EE2B72" w:rsidP="003006DB">
            <w:pPr>
              <w:spacing w:before="0" w:after="0"/>
              <w:jc w:val="center"/>
              <w:rPr>
                <w:rFonts w:eastAsia="Times New Roman"/>
                <w:i/>
                <w:lang w:eastAsia="de-DE"/>
              </w:rPr>
            </w:pPr>
          </w:p>
        </w:tc>
      </w:tr>
      <w:tr w:rsidR="00EE2B72" w:rsidRPr="00EE2B72" w14:paraId="0AA5711E" w14:textId="77777777" w:rsidTr="003006DB">
        <w:tc>
          <w:tcPr>
            <w:tcW w:w="2263" w:type="dxa"/>
            <w:shd w:val="clear" w:color="auto" w:fill="FFFFFF" w:themeFill="background1"/>
            <w:vAlign w:val="bottom"/>
          </w:tcPr>
          <w:p w14:paraId="6F7BFEEA" w14:textId="77777777" w:rsidR="00EE2B72" w:rsidRPr="00EE2B72" w:rsidRDefault="00EE2B72" w:rsidP="003006DB">
            <w:pPr>
              <w:spacing w:before="0" w:after="0"/>
              <w:jc w:val="left"/>
              <w:rPr>
                <w:rFonts w:eastAsia="Times New Roman"/>
                <w:b/>
                <w:bCs/>
                <w:lang w:eastAsia="de-DE"/>
              </w:rPr>
            </w:pPr>
            <w:r w:rsidRPr="00EE2B72">
              <w:rPr>
                <w:rFonts w:eastAsia="Times New Roman"/>
                <w:b/>
                <w:bCs/>
                <w:lang w:eastAsia="de-DE"/>
              </w:rPr>
              <w:t>Antimon</w:t>
            </w:r>
          </w:p>
        </w:tc>
        <w:tc>
          <w:tcPr>
            <w:tcW w:w="1560" w:type="dxa"/>
            <w:shd w:val="clear" w:color="auto" w:fill="FFFFFF" w:themeFill="background1"/>
          </w:tcPr>
          <w:p w14:paraId="02EF4E73" w14:textId="77777777" w:rsidR="00EE2B72" w:rsidRPr="00EE2B72" w:rsidRDefault="00EE2B72" w:rsidP="003006DB">
            <w:pPr>
              <w:spacing w:before="0" w:after="0"/>
              <w:jc w:val="center"/>
              <w:rPr>
                <w:rFonts w:eastAsia="Times New Roman"/>
                <w:lang w:eastAsia="de-DE"/>
              </w:rPr>
            </w:pPr>
            <w:r w:rsidRPr="00EE2B72">
              <w:rPr>
                <w:rFonts w:eastAsia="Times New Roman"/>
                <w:bCs/>
                <w:lang w:eastAsia="de-DE"/>
              </w:rPr>
              <w:t>µg/l</w:t>
            </w:r>
          </w:p>
        </w:tc>
        <w:tc>
          <w:tcPr>
            <w:tcW w:w="1417" w:type="dxa"/>
            <w:shd w:val="clear" w:color="auto" w:fill="FFFFFF" w:themeFill="background1"/>
          </w:tcPr>
          <w:p w14:paraId="31A13392"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7,5</w:t>
            </w:r>
          </w:p>
        </w:tc>
        <w:tc>
          <w:tcPr>
            <w:tcW w:w="1418" w:type="dxa"/>
            <w:shd w:val="clear" w:color="auto" w:fill="FFFFFF" w:themeFill="background1"/>
          </w:tcPr>
          <w:p w14:paraId="10443ED0"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7,5</w:t>
            </w:r>
          </w:p>
        </w:tc>
        <w:tc>
          <w:tcPr>
            <w:tcW w:w="1275" w:type="dxa"/>
            <w:shd w:val="clear" w:color="auto" w:fill="FFFFFF" w:themeFill="background1"/>
          </w:tcPr>
          <w:p w14:paraId="252A62B8"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7,5</w:t>
            </w:r>
          </w:p>
        </w:tc>
        <w:tc>
          <w:tcPr>
            <w:tcW w:w="1418" w:type="dxa"/>
            <w:tcBorders>
              <w:right w:val="single" w:sz="4" w:space="0" w:color="auto"/>
            </w:tcBorders>
            <w:shd w:val="clear" w:color="auto" w:fill="FFFFFF" w:themeFill="background1"/>
          </w:tcPr>
          <w:p w14:paraId="6619E650"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15</w:t>
            </w:r>
          </w:p>
        </w:tc>
      </w:tr>
      <w:tr w:rsidR="00EE2B72" w:rsidRPr="00EE2B72" w14:paraId="011FD7D3" w14:textId="77777777" w:rsidTr="003006DB">
        <w:tc>
          <w:tcPr>
            <w:tcW w:w="2263" w:type="dxa"/>
            <w:shd w:val="clear" w:color="auto" w:fill="FFFFFF" w:themeFill="background1"/>
            <w:vAlign w:val="bottom"/>
          </w:tcPr>
          <w:p w14:paraId="07F14E83" w14:textId="77777777" w:rsidR="00EE2B72" w:rsidRPr="00EE2B72" w:rsidRDefault="00EE2B72" w:rsidP="003006DB">
            <w:pPr>
              <w:spacing w:before="0" w:after="0"/>
              <w:jc w:val="left"/>
              <w:rPr>
                <w:rFonts w:eastAsia="Times New Roman"/>
                <w:b/>
                <w:lang w:eastAsia="de-DE"/>
              </w:rPr>
            </w:pPr>
            <w:r w:rsidRPr="00EE2B72">
              <w:rPr>
                <w:rFonts w:eastAsia="Times New Roman"/>
                <w:b/>
                <w:lang w:eastAsia="de-DE"/>
              </w:rPr>
              <w:t>Molybdän</w:t>
            </w:r>
          </w:p>
        </w:tc>
        <w:tc>
          <w:tcPr>
            <w:tcW w:w="1560" w:type="dxa"/>
            <w:shd w:val="clear" w:color="auto" w:fill="FFFFFF" w:themeFill="background1"/>
          </w:tcPr>
          <w:p w14:paraId="4F5DBD6C"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µg/l</w:t>
            </w:r>
          </w:p>
        </w:tc>
        <w:tc>
          <w:tcPr>
            <w:tcW w:w="1417" w:type="dxa"/>
            <w:shd w:val="clear" w:color="auto" w:fill="FFFFFF" w:themeFill="background1"/>
            <w:vAlign w:val="bottom"/>
          </w:tcPr>
          <w:p w14:paraId="5A38BD29"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55</w:t>
            </w:r>
          </w:p>
        </w:tc>
        <w:tc>
          <w:tcPr>
            <w:tcW w:w="1418" w:type="dxa"/>
            <w:shd w:val="clear" w:color="auto" w:fill="FFFFFF" w:themeFill="background1"/>
            <w:vAlign w:val="bottom"/>
          </w:tcPr>
          <w:p w14:paraId="4DBDC16F"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55</w:t>
            </w:r>
          </w:p>
        </w:tc>
        <w:tc>
          <w:tcPr>
            <w:tcW w:w="1275" w:type="dxa"/>
            <w:shd w:val="clear" w:color="auto" w:fill="FFFFFF" w:themeFill="background1"/>
            <w:vAlign w:val="bottom"/>
          </w:tcPr>
          <w:p w14:paraId="03B29C9D"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55</w:t>
            </w:r>
          </w:p>
        </w:tc>
        <w:tc>
          <w:tcPr>
            <w:tcW w:w="1418" w:type="dxa"/>
            <w:tcBorders>
              <w:right w:val="single" w:sz="4" w:space="0" w:color="auto"/>
            </w:tcBorders>
            <w:shd w:val="clear" w:color="auto" w:fill="FFFFFF" w:themeFill="background1"/>
            <w:vAlign w:val="bottom"/>
          </w:tcPr>
          <w:p w14:paraId="762EEBFA"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110</w:t>
            </w:r>
          </w:p>
        </w:tc>
      </w:tr>
      <w:tr w:rsidR="00EE2B72" w:rsidRPr="00EE2B72" w14:paraId="384643BD" w14:textId="77777777" w:rsidTr="003006DB">
        <w:tc>
          <w:tcPr>
            <w:tcW w:w="2263" w:type="dxa"/>
            <w:shd w:val="clear" w:color="auto" w:fill="FFFFFF" w:themeFill="background1"/>
            <w:vAlign w:val="bottom"/>
          </w:tcPr>
          <w:p w14:paraId="3DA772D3" w14:textId="77777777" w:rsidR="00EE2B72" w:rsidRPr="00EE2B72" w:rsidRDefault="00EE2B72" w:rsidP="003006DB">
            <w:pPr>
              <w:spacing w:before="0" w:after="0"/>
              <w:jc w:val="left"/>
              <w:rPr>
                <w:rFonts w:eastAsia="Times New Roman"/>
                <w:b/>
                <w:bCs/>
                <w:lang w:eastAsia="de-DE"/>
              </w:rPr>
            </w:pPr>
            <w:r w:rsidRPr="00EE2B72">
              <w:rPr>
                <w:rFonts w:eastAsia="Times New Roman"/>
                <w:b/>
                <w:bCs/>
                <w:lang w:eastAsia="de-DE"/>
              </w:rPr>
              <w:t>Vanadium</w:t>
            </w:r>
          </w:p>
        </w:tc>
        <w:tc>
          <w:tcPr>
            <w:tcW w:w="1560" w:type="dxa"/>
            <w:shd w:val="clear" w:color="auto" w:fill="FFFFFF" w:themeFill="background1"/>
          </w:tcPr>
          <w:p w14:paraId="5BECD2D5" w14:textId="77777777" w:rsidR="00EE2B72" w:rsidRPr="00EE2B72" w:rsidRDefault="00EE2B72" w:rsidP="003006DB">
            <w:pPr>
              <w:spacing w:before="0" w:after="0"/>
              <w:jc w:val="center"/>
              <w:rPr>
                <w:rFonts w:eastAsia="Times New Roman"/>
                <w:lang w:eastAsia="de-DE"/>
              </w:rPr>
            </w:pPr>
            <w:r w:rsidRPr="00EE2B72">
              <w:rPr>
                <w:rFonts w:eastAsia="Times New Roman"/>
                <w:bCs/>
                <w:lang w:eastAsia="de-DE"/>
              </w:rPr>
              <w:t>µg/l</w:t>
            </w:r>
          </w:p>
        </w:tc>
        <w:tc>
          <w:tcPr>
            <w:tcW w:w="1417" w:type="dxa"/>
            <w:shd w:val="clear" w:color="auto" w:fill="FFFFFF" w:themeFill="background1"/>
            <w:vAlign w:val="bottom"/>
          </w:tcPr>
          <w:p w14:paraId="276113F1"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30</w:t>
            </w:r>
          </w:p>
        </w:tc>
        <w:tc>
          <w:tcPr>
            <w:tcW w:w="1418" w:type="dxa"/>
            <w:shd w:val="clear" w:color="auto" w:fill="FFFFFF" w:themeFill="background1"/>
            <w:vAlign w:val="bottom"/>
          </w:tcPr>
          <w:p w14:paraId="5246C0DE"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55</w:t>
            </w:r>
          </w:p>
        </w:tc>
        <w:tc>
          <w:tcPr>
            <w:tcW w:w="1275" w:type="dxa"/>
            <w:shd w:val="clear" w:color="auto" w:fill="FFFFFF" w:themeFill="background1"/>
            <w:vAlign w:val="bottom"/>
          </w:tcPr>
          <w:p w14:paraId="7F61E6F3"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450</w:t>
            </w:r>
          </w:p>
        </w:tc>
        <w:tc>
          <w:tcPr>
            <w:tcW w:w="1418" w:type="dxa"/>
            <w:tcBorders>
              <w:right w:val="single" w:sz="4" w:space="0" w:color="auto"/>
            </w:tcBorders>
            <w:shd w:val="clear" w:color="auto" w:fill="FFFFFF" w:themeFill="background1"/>
            <w:vAlign w:val="bottom"/>
          </w:tcPr>
          <w:p w14:paraId="69E60477" w14:textId="77777777" w:rsidR="00EE2B72" w:rsidRPr="00EE2B72" w:rsidRDefault="00EE2B72" w:rsidP="003006DB">
            <w:pPr>
              <w:spacing w:before="0" w:after="0"/>
              <w:jc w:val="center"/>
              <w:rPr>
                <w:rFonts w:eastAsia="Times New Roman"/>
                <w:strike/>
                <w:lang w:eastAsia="de-DE"/>
              </w:rPr>
            </w:pPr>
            <w:r w:rsidRPr="00EE2B72">
              <w:rPr>
                <w:rFonts w:eastAsia="Times New Roman"/>
                <w:lang w:eastAsia="de-DE"/>
              </w:rPr>
              <w:t>840</w:t>
            </w:r>
          </w:p>
        </w:tc>
      </w:tr>
      <w:tr w:rsidR="00EE2B72" w:rsidRPr="00EE2B72" w14:paraId="2EE4DB26" w14:textId="77777777" w:rsidTr="003006DB">
        <w:tc>
          <w:tcPr>
            <w:tcW w:w="9351" w:type="dxa"/>
            <w:gridSpan w:val="6"/>
            <w:tcBorders>
              <w:right w:val="single" w:sz="4" w:space="0" w:color="auto"/>
            </w:tcBorders>
            <w:shd w:val="clear" w:color="auto" w:fill="FFFFFF" w:themeFill="background1"/>
            <w:vAlign w:val="bottom"/>
          </w:tcPr>
          <w:p w14:paraId="7AA182D2" w14:textId="77777777" w:rsidR="00EE2B72" w:rsidRPr="00EE2B72" w:rsidRDefault="00EE2B72" w:rsidP="003006DB">
            <w:pPr>
              <w:spacing w:before="0" w:after="0"/>
              <w:jc w:val="center"/>
              <w:rPr>
                <w:rFonts w:eastAsia="Times New Roman"/>
                <w:b/>
                <w:i/>
                <w:lang w:eastAsia="de-DE"/>
              </w:rPr>
            </w:pPr>
          </w:p>
          <w:p w14:paraId="2124B857" w14:textId="77777777" w:rsidR="00EE2B72" w:rsidRPr="00EE2B72" w:rsidRDefault="00EE2B72" w:rsidP="003006DB">
            <w:pPr>
              <w:spacing w:before="0" w:after="0"/>
              <w:jc w:val="center"/>
              <w:rPr>
                <w:rFonts w:eastAsia="Times New Roman"/>
                <w:b/>
                <w:bCs/>
                <w:i/>
                <w:lang w:eastAsia="de-DE"/>
              </w:rPr>
            </w:pPr>
            <w:r w:rsidRPr="00EE2B72">
              <w:rPr>
                <w:rFonts w:eastAsia="Times New Roman"/>
                <w:b/>
                <w:bCs/>
                <w:i/>
                <w:lang w:eastAsia="de-DE"/>
              </w:rPr>
              <w:t>Organische Stoffe</w:t>
            </w:r>
          </w:p>
          <w:p w14:paraId="18C0936F" w14:textId="77777777" w:rsidR="00EE2B72" w:rsidRPr="00EE2B72" w:rsidRDefault="00EE2B72" w:rsidP="003006DB">
            <w:pPr>
              <w:spacing w:before="0" w:after="0"/>
              <w:jc w:val="center"/>
              <w:rPr>
                <w:rFonts w:eastAsia="Times New Roman"/>
                <w:b/>
                <w:i/>
                <w:lang w:eastAsia="de-DE"/>
              </w:rPr>
            </w:pPr>
          </w:p>
        </w:tc>
      </w:tr>
      <w:tr w:rsidR="00EE2B72" w:rsidRPr="00EE2B72" w14:paraId="44437F14" w14:textId="77777777" w:rsidTr="003006DB">
        <w:tc>
          <w:tcPr>
            <w:tcW w:w="2263" w:type="dxa"/>
            <w:shd w:val="clear" w:color="auto" w:fill="FFFFFF" w:themeFill="background1"/>
            <w:vAlign w:val="bottom"/>
          </w:tcPr>
          <w:p w14:paraId="1CB801C5" w14:textId="77777777" w:rsidR="00EE2B72" w:rsidRPr="00EE2B72" w:rsidRDefault="00EE2B72" w:rsidP="003006DB">
            <w:pPr>
              <w:spacing w:before="0" w:after="0"/>
              <w:jc w:val="left"/>
              <w:rPr>
                <w:rFonts w:eastAsia="Times New Roman"/>
                <w:b/>
                <w:bCs/>
                <w:lang w:eastAsia="de-DE"/>
              </w:rPr>
            </w:pPr>
            <w:r w:rsidRPr="00EE2B72">
              <w:rPr>
                <w:rFonts w:eastAsia="Times New Roman"/>
                <w:b/>
                <w:bCs/>
                <w:lang w:eastAsia="de-DE"/>
              </w:rPr>
              <w:t>BTEX</w:t>
            </w:r>
          </w:p>
        </w:tc>
        <w:tc>
          <w:tcPr>
            <w:tcW w:w="1560" w:type="dxa"/>
            <w:shd w:val="clear" w:color="auto" w:fill="FFFFFF" w:themeFill="background1"/>
          </w:tcPr>
          <w:p w14:paraId="5A28A88C"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mg/kg</w:t>
            </w:r>
          </w:p>
        </w:tc>
        <w:tc>
          <w:tcPr>
            <w:tcW w:w="1417" w:type="dxa"/>
            <w:shd w:val="clear" w:color="auto" w:fill="FFFFFF" w:themeFill="background1"/>
            <w:vAlign w:val="bottom"/>
          </w:tcPr>
          <w:p w14:paraId="64D6F5B9"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1</w:t>
            </w:r>
          </w:p>
        </w:tc>
        <w:tc>
          <w:tcPr>
            <w:tcW w:w="1418" w:type="dxa"/>
            <w:shd w:val="clear" w:color="auto" w:fill="FFFFFF" w:themeFill="background1"/>
            <w:vAlign w:val="bottom"/>
          </w:tcPr>
          <w:p w14:paraId="259DA582"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1</w:t>
            </w:r>
          </w:p>
        </w:tc>
        <w:tc>
          <w:tcPr>
            <w:tcW w:w="1275" w:type="dxa"/>
            <w:shd w:val="clear" w:color="auto" w:fill="FFFFFF" w:themeFill="background1"/>
            <w:vAlign w:val="bottom"/>
          </w:tcPr>
          <w:p w14:paraId="2BE323E6"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1</w:t>
            </w:r>
          </w:p>
        </w:tc>
        <w:tc>
          <w:tcPr>
            <w:tcW w:w="1418" w:type="dxa"/>
            <w:tcBorders>
              <w:right w:val="single" w:sz="4" w:space="0" w:color="auto"/>
            </w:tcBorders>
            <w:shd w:val="clear" w:color="auto" w:fill="FFFFFF" w:themeFill="background1"/>
            <w:vAlign w:val="bottom"/>
          </w:tcPr>
          <w:p w14:paraId="43E506D2"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1</w:t>
            </w:r>
          </w:p>
        </w:tc>
      </w:tr>
      <w:tr w:rsidR="00EE2B72" w:rsidRPr="00EE2B72" w14:paraId="109591C4" w14:textId="77777777" w:rsidTr="003006DB">
        <w:tc>
          <w:tcPr>
            <w:tcW w:w="2263" w:type="dxa"/>
            <w:shd w:val="clear" w:color="auto" w:fill="FFFFFF" w:themeFill="background1"/>
            <w:vAlign w:val="bottom"/>
          </w:tcPr>
          <w:p w14:paraId="6C6F0578" w14:textId="77777777" w:rsidR="00EE2B72" w:rsidRPr="00EE2B72" w:rsidRDefault="00EE2B72" w:rsidP="003006DB">
            <w:pPr>
              <w:spacing w:before="0" w:after="0"/>
              <w:jc w:val="left"/>
              <w:rPr>
                <w:rFonts w:eastAsia="Times New Roman"/>
                <w:b/>
                <w:bCs/>
                <w:lang w:eastAsia="de-DE"/>
              </w:rPr>
            </w:pPr>
            <w:r w:rsidRPr="00EE2B72">
              <w:rPr>
                <w:rFonts w:eastAsia="Times New Roman"/>
                <w:b/>
                <w:bCs/>
                <w:lang w:eastAsia="de-DE"/>
              </w:rPr>
              <w:t>EOX</w:t>
            </w:r>
          </w:p>
        </w:tc>
        <w:tc>
          <w:tcPr>
            <w:tcW w:w="1560" w:type="dxa"/>
            <w:shd w:val="clear" w:color="auto" w:fill="FFFFFF" w:themeFill="background1"/>
          </w:tcPr>
          <w:p w14:paraId="7A31B950"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mg/kg</w:t>
            </w:r>
          </w:p>
        </w:tc>
        <w:tc>
          <w:tcPr>
            <w:tcW w:w="1417" w:type="dxa"/>
            <w:shd w:val="clear" w:color="auto" w:fill="FFFFFF" w:themeFill="background1"/>
            <w:vAlign w:val="bottom"/>
          </w:tcPr>
          <w:p w14:paraId="609F217B"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3</w:t>
            </w:r>
          </w:p>
        </w:tc>
        <w:tc>
          <w:tcPr>
            <w:tcW w:w="1418" w:type="dxa"/>
            <w:shd w:val="clear" w:color="auto" w:fill="FFFFFF" w:themeFill="background1"/>
            <w:vAlign w:val="bottom"/>
          </w:tcPr>
          <w:p w14:paraId="53D4496B"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3</w:t>
            </w:r>
          </w:p>
        </w:tc>
        <w:tc>
          <w:tcPr>
            <w:tcW w:w="1275" w:type="dxa"/>
            <w:shd w:val="clear" w:color="auto" w:fill="FFFFFF" w:themeFill="background1"/>
            <w:vAlign w:val="bottom"/>
          </w:tcPr>
          <w:p w14:paraId="121170A1"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3</w:t>
            </w:r>
          </w:p>
        </w:tc>
        <w:tc>
          <w:tcPr>
            <w:tcW w:w="1418" w:type="dxa"/>
            <w:tcBorders>
              <w:right w:val="single" w:sz="4" w:space="0" w:color="auto"/>
            </w:tcBorders>
            <w:shd w:val="clear" w:color="auto" w:fill="FFFFFF" w:themeFill="background1"/>
            <w:vAlign w:val="bottom"/>
          </w:tcPr>
          <w:p w14:paraId="421A9366"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10</w:t>
            </w:r>
          </w:p>
        </w:tc>
      </w:tr>
      <w:tr w:rsidR="00EE2B72" w:rsidRPr="00EE2B72" w14:paraId="44B0151E" w14:textId="77777777" w:rsidTr="003006DB">
        <w:tc>
          <w:tcPr>
            <w:tcW w:w="2263" w:type="dxa"/>
            <w:shd w:val="clear" w:color="auto" w:fill="FFFFFF" w:themeFill="background1"/>
            <w:vAlign w:val="bottom"/>
          </w:tcPr>
          <w:p w14:paraId="5505BA48" w14:textId="77777777" w:rsidR="00EE2B72" w:rsidRPr="00EE2B72" w:rsidRDefault="00EE2B72" w:rsidP="003006DB">
            <w:pPr>
              <w:spacing w:before="0" w:after="0"/>
              <w:jc w:val="left"/>
              <w:rPr>
                <w:rFonts w:eastAsia="Times New Roman"/>
                <w:b/>
                <w:bCs/>
                <w:lang w:eastAsia="de-DE"/>
              </w:rPr>
            </w:pPr>
            <w:r w:rsidRPr="00EE2B72">
              <w:rPr>
                <w:rFonts w:eastAsia="Times New Roman"/>
                <w:b/>
                <w:bCs/>
                <w:lang w:eastAsia="de-DE"/>
              </w:rPr>
              <w:t>MKW</w:t>
            </w:r>
          </w:p>
        </w:tc>
        <w:tc>
          <w:tcPr>
            <w:tcW w:w="1560" w:type="dxa"/>
            <w:shd w:val="clear" w:color="auto" w:fill="FFFFFF" w:themeFill="background1"/>
          </w:tcPr>
          <w:p w14:paraId="57C85131"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µg/l</w:t>
            </w:r>
          </w:p>
        </w:tc>
        <w:tc>
          <w:tcPr>
            <w:tcW w:w="1417" w:type="dxa"/>
            <w:shd w:val="clear" w:color="auto" w:fill="FFFFFF" w:themeFill="background1"/>
            <w:vAlign w:val="bottom"/>
          </w:tcPr>
          <w:p w14:paraId="3ADFBA5D"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150</w:t>
            </w:r>
          </w:p>
        </w:tc>
        <w:tc>
          <w:tcPr>
            <w:tcW w:w="1418" w:type="dxa"/>
            <w:shd w:val="clear" w:color="auto" w:fill="FFFFFF" w:themeFill="background1"/>
            <w:vAlign w:val="bottom"/>
          </w:tcPr>
          <w:p w14:paraId="33FD5B67"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160</w:t>
            </w:r>
          </w:p>
        </w:tc>
        <w:tc>
          <w:tcPr>
            <w:tcW w:w="1275" w:type="dxa"/>
            <w:shd w:val="clear" w:color="auto" w:fill="FFFFFF" w:themeFill="background1"/>
            <w:vAlign w:val="bottom"/>
          </w:tcPr>
          <w:p w14:paraId="19A83B30"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160</w:t>
            </w:r>
          </w:p>
        </w:tc>
        <w:tc>
          <w:tcPr>
            <w:tcW w:w="1418" w:type="dxa"/>
            <w:tcBorders>
              <w:right w:val="single" w:sz="4" w:space="0" w:color="auto"/>
            </w:tcBorders>
            <w:shd w:val="clear" w:color="auto" w:fill="FFFFFF" w:themeFill="background1"/>
            <w:vAlign w:val="bottom"/>
          </w:tcPr>
          <w:p w14:paraId="65F35FD3"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310</w:t>
            </w:r>
          </w:p>
        </w:tc>
      </w:tr>
      <w:tr w:rsidR="00EE2B72" w:rsidRPr="00EE2B72" w14:paraId="7EECB471" w14:textId="77777777" w:rsidTr="003006DB">
        <w:tc>
          <w:tcPr>
            <w:tcW w:w="2263" w:type="dxa"/>
            <w:shd w:val="clear" w:color="auto" w:fill="FFFFFF" w:themeFill="background1"/>
          </w:tcPr>
          <w:p w14:paraId="3226F638" w14:textId="77777777" w:rsidR="00EE2B72" w:rsidRPr="00EE2B72" w:rsidRDefault="00EE2B72" w:rsidP="003006DB">
            <w:pPr>
              <w:spacing w:before="0" w:after="0"/>
              <w:jc w:val="left"/>
              <w:rPr>
                <w:rFonts w:eastAsia="Times New Roman"/>
                <w:b/>
                <w:bCs/>
                <w:lang w:val="en-GB" w:eastAsia="de-DE"/>
              </w:rPr>
            </w:pPr>
            <w:r w:rsidRPr="00EE2B72">
              <w:rPr>
                <w:rFonts w:eastAsia="Times New Roman"/>
                <w:b/>
                <w:bCs/>
                <w:lang w:val="en-GB" w:eastAsia="de-DE"/>
              </w:rPr>
              <w:t>LHKW</w:t>
            </w:r>
          </w:p>
        </w:tc>
        <w:tc>
          <w:tcPr>
            <w:tcW w:w="1560" w:type="dxa"/>
            <w:shd w:val="clear" w:color="auto" w:fill="FFFFFF" w:themeFill="background1"/>
          </w:tcPr>
          <w:p w14:paraId="1BC07F6A"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mg/kg</w:t>
            </w:r>
          </w:p>
        </w:tc>
        <w:tc>
          <w:tcPr>
            <w:tcW w:w="1417" w:type="dxa"/>
            <w:shd w:val="clear" w:color="auto" w:fill="FFFFFF" w:themeFill="background1"/>
            <w:vAlign w:val="bottom"/>
          </w:tcPr>
          <w:p w14:paraId="42E4BA68"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1</w:t>
            </w:r>
          </w:p>
        </w:tc>
        <w:tc>
          <w:tcPr>
            <w:tcW w:w="1418" w:type="dxa"/>
            <w:shd w:val="clear" w:color="auto" w:fill="FFFFFF" w:themeFill="background1"/>
            <w:vAlign w:val="bottom"/>
          </w:tcPr>
          <w:p w14:paraId="5BD00AC3"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1</w:t>
            </w:r>
          </w:p>
        </w:tc>
        <w:tc>
          <w:tcPr>
            <w:tcW w:w="1275" w:type="dxa"/>
            <w:shd w:val="clear" w:color="auto" w:fill="FFFFFF" w:themeFill="background1"/>
            <w:vAlign w:val="bottom"/>
          </w:tcPr>
          <w:p w14:paraId="5739B2A8"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1</w:t>
            </w:r>
          </w:p>
        </w:tc>
        <w:tc>
          <w:tcPr>
            <w:tcW w:w="1418" w:type="dxa"/>
            <w:tcBorders>
              <w:right w:val="single" w:sz="4" w:space="0" w:color="auto"/>
            </w:tcBorders>
            <w:shd w:val="clear" w:color="auto" w:fill="FFFFFF" w:themeFill="background1"/>
            <w:vAlign w:val="bottom"/>
          </w:tcPr>
          <w:p w14:paraId="5B87AC60"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1</w:t>
            </w:r>
          </w:p>
        </w:tc>
      </w:tr>
      <w:tr w:rsidR="00EE2B72" w:rsidRPr="00EE2B72" w14:paraId="0CC48FB6" w14:textId="77777777" w:rsidTr="003006DB">
        <w:tc>
          <w:tcPr>
            <w:tcW w:w="2263" w:type="dxa"/>
            <w:shd w:val="clear" w:color="auto" w:fill="FFFFFF" w:themeFill="background1"/>
          </w:tcPr>
          <w:p w14:paraId="59D33D86" w14:textId="77777777" w:rsidR="00EE2B72" w:rsidRPr="00EE2B72" w:rsidRDefault="00EE2B72" w:rsidP="003006DB">
            <w:pPr>
              <w:spacing w:before="0" w:after="0"/>
              <w:jc w:val="left"/>
              <w:rPr>
                <w:rFonts w:eastAsia="Times New Roman"/>
                <w:b/>
                <w:bCs/>
                <w:lang w:val="en-GB" w:eastAsia="de-DE"/>
              </w:rPr>
            </w:pPr>
            <w:r w:rsidRPr="00EE2B72">
              <w:rPr>
                <w:rFonts w:eastAsia="Times New Roman"/>
                <w:b/>
                <w:bCs/>
                <w:lang w:val="en-GB" w:eastAsia="de-DE"/>
              </w:rPr>
              <w:t>Cyanide</w:t>
            </w:r>
          </w:p>
        </w:tc>
        <w:tc>
          <w:tcPr>
            <w:tcW w:w="1560" w:type="dxa"/>
            <w:shd w:val="clear" w:color="auto" w:fill="FFFFFF" w:themeFill="background1"/>
          </w:tcPr>
          <w:p w14:paraId="17EC1BDE"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mg/kg</w:t>
            </w:r>
          </w:p>
        </w:tc>
        <w:tc>
          <w:tcPr>
            <w:tcW w:w="1417" w:type="dxa"/>
            <w:shd w:val="clear" w:color="auto" w:fill="FFFFFF" w:themeFill="background1"/>
            <w:vAlign w:val="bottom"/>
          </w:tcPr>
          <w:p w14:paraId="57F5D37C"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3</w:t>
            </w:r>
          </w:p>
        </w:tc>
        <w:tc>
          <w:tcPr>
            <w:tcW w:w="1418" w:type="dxa"/>
            <w:shd w:val="clear" w:color="auto" w:fill="FFFFFF" w:themeFill="background1"/>
            <w:vAlign w:val="bottom"/>
          </w:tcPr>
          <w:p w14:paraId="0CBF32F6"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3</w:t>
            </w:r>
          </w:p>
        </w:tc>
        <w:tc>
          <w:tcPr>
            <w:tcW w:w="1275" w:type="dxa"/>
            <w:shd w:val="clear" w:color="auto" w:fill="FFFFFF" w:themeFill="background1"/>
            <w:vAlign w:val="bottom"/>
          </w:tcPr>
          <w:p w14:paraId="1E12C4F6"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3</w:t>
            </w:r>
          </w:p>
        </w:tc>
        <w:tc>
          <w:tcPr>
            <w:tcW w:w="1418" w:type="dxa"/>
            <w:tcBorders>
              <w:right w:val="single" w:sz="4" w:space="0" w:color="auto"/>
            </w:tcBorders>
            <w:shd w:val="clear" w:color="auto" w:fill="FFFFFF" w:themeFill="background1"/>
            <w:vAlign w:val="bottom"/>
          </w:tcPr>
          <w:p w14:paraId="511AD0AE"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10</w:t>
            </w:r>
          </w:p>
        </w:tc>
      </w:tr>
      <w:tr w:rsidR="00EE2B72" w:rsidRPr="00EE2B72" w14:paraId="103606B8" w14:textId="77777777" w:rsidTr="003006DB">
        <w:tc>
          <w:tcPr>
            <w:tcW w:w="2263" w:type="dxa"/>
            <w:shd w:val="clear" w:color="auto" w:fill="FFFFFF" w:themeFill="background1"/>
            <w:vAlign w:val="center"/>
          </w:tcPr>
          <w:p w14:paraId="6BC9ED31" w14:textId="77777777" w:rsidR="00EE2B72" w:rsidRPr="00EE2B72" w:rsidRDefault="00EE2B72" w:rsidP="003006DB">
            <w:pPr>
              <w:spacing w:before="0" w:after="0"/>
              <w:jc w:val="left"/>
              <w:rPr>
                <w:rFonts w:eastAsia="Times New Roman"/>
                <w:b/>
                <w:bCs/>
                <w:lang w:val="en-GB" w:eastAsia="de-DE"/>
              </w:rPr>
            </w:pPr>
            <w:proofErr w:type="spellStart"/>
            <w:r w:rsidRPr="00EE2B72">
              <w:rPr>
                <w:rFonts w:eastAsia="Times New Roman"/>
                <w:b/>
                <w:bCs/>
                <w:lang w:val="en-GB" w:eastAsia="de-DE"/>
              </w:rPr>
              <w:t>Tributylzinn-Kation</w:t>
            </w:r>
            <w:proofErr w:type="spellEnd"/>
          </w:p>
        </w:tc>
        <w:tc>
          <w:tcPr>
            <w:tcW w:w="1560" w:type="dxa"/>
            <w:shd w:val="clear" w:color="auto" w:fill="FFFFFF" w:themeFill="background1"/>
            <w:vAlign w:val="center"/>
          </w:tcPr>
          <w:p w14:paraId="3C9D53DB"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µg/kg</w:t>
            </w:r>
          </w:p>
        </w:tc>
        <w:tc>
          <w:tcPr>
            <w:tcW w:w="1417" w:type="dxa"/>
            <w:shd w:val="clear" w:color="auto" w:fill="FFFFFF" w:themeFill="background1"/>
            <w:vAlign w:val="center"/>
          </w:tcPr>
          <w:p w14:paraId="7AA6D77D"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20</w:t>
            </w:r>
          </w:p>
        </w:tc>
        <w:tc>
          <w:tcPr>
            <w:tcW w:w="1418" w:type="dxa"/>
            <w:shd w:val="clear" w:color="auto" w:fill="FFFFFF" w:themeFill="background1"/>
            <w:vAlign w:val="center"/>
          </w:tcPr>
          <w:p w14:paraId="6DA5DBEE"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100</w:t>
            </w:r>
          </w:p>
        </w:tc>
        <w:tc>
          <w:tcPr>
            <w:tcW w:w="1275" w:type="dxa"/>
            <w:shd w:val="clear" w:color="auto" w:fill="FFFFFF" w:themeFill="background1"/>
            <w:vAlign w:val="center"/>
          </w:tcPr>
          <w:p w14:paraId="0EF32DAE"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100</w:t>
            </w:r>
          </w:p>
        </w:tc>
        <w:tc>
          <w:tcPr>
            <w:tcW w:w="1418" w:type="dxa"/>
            <w:tcBorders>
              <w:right w:val="single" w:sz="4" w:space="0" w:color="auto"/>
            </w:tcBorders>
            <w:shd w:val="clear" w:color="auto" w:fill="FFFFFF" w:themeFill="background1"/>
            <w:vAlign w:val="center"/>
          </w:tcPr>
          <w:p w14:paraId="222C1533"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1.000</w:t>
            </w:r>
          </w:p>
        </w:tc>
      </w:tr>
      <w:tr w:rsidR="00EE2B72" w:rsidRPr="00EE2B72" w14:paraId="04765A33" w14:textId="77777777" w:rsidTr="003006DB">
        <w:tc>
          <w:tcPr>
            <w:tcW w:w="2263" w:type="dxa"/>
            <w:shd w:val="clear" w:color="auto" w:fill="FFFFFF" w:themeFill="background1"/>
            <w:vAlign w:val="center"/>
          </w:tcPr>
          <w:p w14:paraId="03AC755F" w14:textId="77777777" w:rsidR="00EE2B72" w:rsidRPr="00EE2B72" w:rsidRDefault="00EE2B72" w:rsidP="003006DB">
            <w:pPr>
              <w:spacing w:before="0" w:after="0"/>
              <w:jc w:val="left"/>
              <w:rPr>
                <w:rFonts w:eastAsia="Times New Roman"/>
                <w:b/>
                <w:bCs/>
                <w:lang w:val="en-GB" w:eastAsia="de-DE"/>
              </w:rPr>
            </w:pPr>
            <w:proofErr w:type="spellStart"/>
            <w:r w:rsidRPr="00EE2B72">
              <w:rPr>
                <w:rFonts w:eastAsia="Times New Roman"/>
                <w:b/>
                <w:bCs/>
                <w:lang w:val="en-GB" w:eastAsia="de-DE"/>
              </w:rPr>
              <w:t>Phenole</w:t>
            </w:r>
            <w:proofErr w:type="spellEnd"/>
          </w:p>
        </w:tc>
        <w:tc>
          <w:tcPr>
            <w:tcW w:w="1560" w:type="dxa"/>
            <w:shd w:val="clear" w:color="auto" w:fill="FFFFFF" w:themeFill="background1"/>
            <w:vAlign w:val="center"/>
          </w:tcPr>
          <w:p w14:paraId="0A1F7DA7"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µg/l</w:t>
            </w:r>
          </w:p>
        </w:tc>
        <w:tc>
          <w:tcPr>
            <w:tcW w:w="1417" w:type="dxa"/>
            <w:shd w:val="clear" w:color="auto" w:fill="FFFFFF" w:themeFill="background1"/>
            <w:vAlign w:val="center"/>
          </w:tcPr>
          <w:p w14:paraId="752435B9"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12</w:t>
            </w:r>
          </w:p>
        </w:tc>
        <w:tc>
          <w:tcPr>
            <w:tcW w:w="1418" w:type="dxa"/>
            <w:shd w:val="clear" w:color="auto" w:fill="FFFFFF" w:themeFill="background1"/>
            <w:vAlign w:val="center"/>
          </w:tcPr>
          <w:p w14:paraId="092DF40B"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60</w:t>
            </w:r>
          </w:p>
        </w:tc>
        <w:tc>
          <w:tcPr>
            <w:tcW w:w="1275" w:type="dxa"/>
            <w:shd w:val="clear" w:color="auto" w:fill="FFFFFF" w:themeFill="background1"/>
            <w:vAlign w:val="center"/>
          </w:tcPr>
          <w:p w14:paraId="42F80AF6"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60</w:t>
            </w:r>
          </w:p>
        </w:tc>
        <w:tc>
          <w:tcPr>
            <w:tcW w:w="1418" w:type="dxa"/>
            <w:tcBorders>
              <w:right w:val="single" w:sz="4" w:space="0" w:color="auto"/>
            </w:tcBorders>
            <w:shd w:val="clear" w:color="auto" w:fill="FFFFFF" w:themeFill="background1"/>
            <w:vAlign w:val="center"/>
          </w:tcPr>
          <w:p w14:paraId="40C9455A"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2 000</w:t>
            </w:r>
          </w:p>
        </w:tc>
      </w:tr>
      <w:tr w:rsidR="00EE2B72" w:rsidRPr="00EE2B72" w14:paraId="2E48FF9B" w14:textId="77777777" w:rsidTr="003006DB">
        <w:tc>
          <w:tcPr>
            <w:tcW w:w="2263" w:type="dxa"/>
            <w:shd w:val="clear" w:color="auto" w:fill="FFFFFF" w:themeFill="background1"/>
          </w:tcPr>
          <w:p w14:paraId="4B6F1B76" w14:textId="77777777" w:rsidR="00EE2B72" w:rsidRPr="00EE2B72" w:rsidRDefault="00EE2B72" w:rsidP="003006DB">
            <w:pPr>
              <w:spacing w:before="0" w:after="0"/>
              <w:jc w:val="left"/>
              <w:rPr>
                <w:rFonts w:eastAsia="Times New Roman"/>
                <w:b/>
                <w:bCs/>
                <w:vertAlign w:val="subscript"/>
                <w:lang w:eastAsia="de-DE"/>
              </w:rPr>
            </w:pPr>
            <w:r w:rsidRPr="00EE2B72">
              <w:rPr>
                <w:rFonts w:eastAsia="Times New Roman"/>
                <w:b/>
                <w:bCs/>
                <w:lang w:val="en-GB" w:eastAsia="de-DE"/>
              </w:rPr>
              <w:t>PCB</w:t>
            </w:r>
            <w:r w:rsidRPr="00EE2B72">
              <w:rPr>
                <w:rFonts w:eastAsia="Times New Roman"/>
                <w:b/>
                <w:vertAlign w:val="subscript"/>
                <w:lang w:val="en-GB" w:eastAsia="de-DE"/>
              </w:rPr>
              <w:t xml:space="preserve">6 </w:t>
            </w:r>
            <w:r w:rsidRPr="00EE2B72">
              <w:rPr>
                <w:rFonts w:eastAsia="Times New Roman"/>
                <w:b/>
                <w:bCs/>
                <w:lang w:val="en-GB" w:eastAsia="de-DE"/>
              </w:rPr>
              <w:t>und PCB-118</w:t>
            </w:r>
          </w:p>
        </w:tc>
        <w:tc>
          <w:tcPr>
            <w:tcW w:w="1560" w:type="dxa"/>
            <w:shd w:val="clear" w:color="auto" w:fill="FFFFFF" w:themeFill="background1"/>
          </w:tcPr>
          <w:p w14:paraId="007D5BE8"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µg/l</w:t>
            </w:r>
          </w:p>
        </w:tc>
        <w:tc>
          <w:tcPr>
            <w:tcW w:w="1417" w:type="dxa"/>
            <w:shd w:val="clear" w:color="auto" w:fill="FFFFFF" w:themeFill="background1"/>
            <w:vAlign w:val="bottom"/>
          </w:tcPr>
          <w:p w14:paraId="643B852E"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0,02</w:t>
            </w:r>
          </w:p>
        </w:tc>
        <w:tc>
          <w:tcPr>
            <w:tcW w:w="1418" w:type="dxa"/>
            <w:shd w:val="clear" w:color="auto" w:fill="FFFFFF" w:themeFill="background1"/>
            <w:vAlign w:val="bottom"/>
          </w:tcPr>
          <w:p w14:paraId="5A7134DD"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0,02</w:t>
            </w:r>
          </w:p>
        </w:tc>
        <w:tc>
          <w:tcPr>
            <w:tcW w:w="1275" w:type="dxa"/>
            <w:shd w:val="clear" w:color="auto" w:fill="FFFFFF" w:themeFill="background1"/>
            <w:vAlign w:val="bottom"/>
          </w:tcPr>
          <w:p w14:paraId="4405F0F4"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0,02</w:t>
            </w:r>
          </w:p>
        </w:tc>
        <w:tc>
          <w:tcPr>
            <w:tcW w:w="1418" w:type="dxa"/>
            <w:tcBorders>
              <w:right w:val="single" w:sz="4" w:space="0" w:color="auto"/>
            </w:tcBorders>
            <w:shd w:val="clear" w:color="auto" w:fill="FFFFFF" w:themeFill="background1"/>
            <w:vAlign w:val="bottom"/>
          </w:tcPr>
          <w:p w14:paraId="32F9A558"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0,04</w:t>
            </w:r>
          </w:p>
        </w:tc>
      </w:tr>
      <w:tr w:rsidR="00EE2B72" w:rsidRPr="00EE2B72" w14:paraId="7F7718B9" w14:textId="77777777" w:rsidTr="003006DB">
        <w:tc>
          <w:tcPr>
            <w:tcW w:w="2263" w:type="dxa"/>
            <w:shd w:val="clear" w:color="auto" w:fill="FFFFFF" w:themeFill="background1"/>
          </w:tcPr>
          <w:p w14:paraId="4182A098" w14:textId="77777777" w:rsidR="00EE2B72" w:rsidRPr="00EE2B72" w:rsidRDefault="00EE2B72" w:rsidP="003006DB">
            <w:pPr>
              <w:spacing w:before="0" w:after="0"/>
              <w:jc w:val="left"/>
              <w:rPr>
                <w:rFonts w:eastAsia="Times New Roman"/>
                <w:b/>
                <w:bCs/>
                <w:lang w:eastAsia="de-DE"/>
              </w:rPr>
            </w:pPr>
            <w:r w:rsidRPr="00EE2B72">
              <w:rPr>
                <w:rFonts w:eastAsia="Times New Roman"/>
                <w:b/>
                <w:bCs/>
                <w:lang w:eastAsia="de-DE"/>
              </w:rPr>
              <w:t>PCB</w:t>
            </w:r>
            <w:r w:rsidRPr="00EE2B72">
              <w:rPr>
                <w:rFonts w:eastAsia="Times New Roman"/>
                <w:b/>
                <w:bCs/>
                <w:vertAlign w:val="subscript"/>
                <w:lang w:eastAsia="de-DE"/>
              </w:rPr>
              <w:t xml:space="preserve">6 </w:t>
            </w:r>
            <w:r w:rsidRPr="00EE2B72">
              <w:rPr>
                <w:rFonts w:eastAsia="Times New Roman"/>
                <w:b/>
                <w:bCs/>
                <w:lang w:eastAsia="de-DE"/>
              </w:rPr>
              <w:t xml:space="preserve">und </w:t>
            </w:r>
            <w:r w:rsidRPr="00EE2B72">
              <w:rPr>
                <w:rFonts w:eastAsia="Times New Roman"/>
                <w:b/>
                <w:lang w:eastAsia="de-DE"/>
              </w:rPr>
              <w:t>PCB</w:t>
            </w:r>
            <w:r w:rsidRPr="00EE2B72">
              <w:rPr>
                <w:rFonts w:eastAsia="Times New Roman"/>
                <w:b/>
                <w:bCs/>
                <w:lang w:eastAsia="de-DE"/>
              </w:rPr>
              <w:t>-118</w:t>
            </w:r>
          </w:p>
        </w:tc>
        <w:tc>
          <w:tcPr>
            <w:tcW w:w="1560" w:type="dxa"/>
            <w:shd w:val="clear" w:color="auto" w:fill="FFFFFF" w:themeFill="background1"/>
            <w:vAlign w:val="center"/>
          </w:tcPr>
          <w:p w14:paraId="4B57C567"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mg/kg</w:t>
            </w:r>
          </w:p>
        </w:tc>
        <w:tc>
          <w:tcPr>
            <w:tcW w:w="1417" w:type="dxa"/>
            <w:shd w:val="clear" w:color="auto" w:fill="FFFFFF" w:themeFill="background1"/>
            <w:vAlign w:val="center"/>
          </w:tcPr>
          <w:p w14:paraId="013CE6A0"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0,15</w:t>
            </w:r>
          </w:p>
        </w:tc>
        <w:tc>
          <w:tcPr>
            <w:tcW w:w="1418" w:type="dxa"/>
            <w:shd w:val="clear" w:color="auto" w:fill="FFFFFF" w:themeFill="background1"/>
            <w:vAlign w:val="center"/>
          </w:tcPr>
          <w:p w14:paraId="18683250"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0,15</w:t>
            </w:r>
          </w:p>
        </w:tc>
        <w:tc>
          <w:tcPr>
            <w:tcW w:w="1275" w:type="dxa"/>
            <w:shd w:val="clear" w:color="auto" w:fill="FFFFFF" w:themeFill="background1"/>
            <w:vAlign w:val="center"/>
          </w:tcPr>
          <w:p w14:paraId="705EE4A7"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0,15</w:t>
            </w:r>
          </w:p>
        </w:tc>
        <w:tc>
          <w:tcPr>
            <w:tcW w:w="1418" w:type="dxa"/>
            <w:tcBorders>
              <w:right w:val="single" w:sz="4" w:space="0" w:color="auto"/>
            </w:tcBorders>
            <w:shd w:val="clear" w:color="auto" w:fill="FFFFFF" w:themeFill="background1"/>
            <w:vAlign w:val="center"/>
          </w:tcPr>
          <w:p w14:paraId="0376CBDA"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0,5</w:t>
            </w:r>
          </w:p>
        </w:tc>
      </w:tr>
      <w:tr w:rsidR="00EE2B72" w:rsidRPr="00EE2B72" w14:paraId="0317FDAF" w14:textId="77777777" w:rsidTr="003006DB">
        <w:tc>
          <w:tcPr>
            <w:tcW w:w="2263" w:type="dxa"/>
            <w:shd w:val="clear" w:color="auto" w:fill="FFFFFF" w:themeFill="background1"/>
            <w:vAlign w:val="center"/>
          </w:tcPr>
          <w:p w14:paraId="16FC69B2" w14:textId="77777777" w:rsidR="00EE2B72" w:rsidRPr="00EE2B72" w:rsidRDefault="00EE2B72" w:rsidP="003006DB">
            <w:pPr>
              <w:spacing w:before="0" w:after="0"/>
              <w:ind w:left="743" w:hanging="743"/>
              <w:jc w:val="left"/>
              <w:rPr>
                <w:rFonts w:eastAsia="Times New Roman"/>
                <w:b/>
                <w:bCs/>
                <w:lang w:eastAsia="de-DE"/>
              </w:rPr>
            </w:pPr>
            <w:r w:rsidRPr="00EE2B72">
              <w:rPr>
                <w:rFonts w:eastAsia="Times New Roman"/>
                <w:b/>
                <w:bCs/>
                <w:lang w:eastAsia="de-DE"/>
              </w:rPr>
              <w:t>Chlorphenole, ges.</w:t>
            </w:r>
          </w:p>
          <w:p w14:paraId="6C6F8822" w14:textId="77777777" w:rsidR="00EE2B72" w:rsidRPr="00EE2B72" w:rsidRDefault="00EE2B72" w:rsidP="003006DB">
            <w:pPr>
              <w:spacing w:before="0" w:after="0"/>
              <w:jc w:val="center"/>
              <w:rPr>
                <w:rFonts w:eastAsia="Times New Roman"/>
                <w:b/>
                <w:bCs/>
                <w:lang w:eastAsia="de-DE"/>
              </w:rPr>
            </w:pPr>
          </w:p>
        </w:tc>
        <w:tc>
          <w:tcPr>
            <w:tcW w:w="1560" w:type="dxa"/>
            <w:shd w:val="clear" w:color="auto" w:fill="FFFFFF" w:themeFill="background1"/>
            <w:vAlign w:val="center"/>
          </w:tcPr>
          <w:p w14:paraId="0DC68295"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µg/l</w:t>
            </w:r>
          </w:p>
        </w:tc>
        <w:tc>
          <w:tcPr>
            <w:tcW w:w="1417" w:type="dxa"/>
            <w:shd w:val="clear" w:color="auto" w:fill="FFFFFF" w:themeFill="background1"/>
            <w:vAlign w:val="center"/>
          </w:tcPr>
          <w:p w14:paraId="138C35EB"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1,5</w:t>
            </w:r>
          </w:p>
        </w:tc>
        <w:tc>
          <w:tcPr>
            <w:tcW w:w="1418" w:type="dxa"/>
            <w:shd w:val="clear" w:color="auto" w:fill="FFFFFF" w:themeFill="background1"/>
            <w:vAlign w:val="center"/>
          </w:tcPr>
          <w:p w14:paraId="04FD3D29"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10</w:t>
            </w:r>
          </w:p>
        </w:tc>
        <w:tc>
          <w:tcPr>
            <w:tcW w:w="1275" w:type="dxa"/>
            <w:shd w:val="clear" w:color="auto" w:fill="FFFFFF" w:themeFill="background1"/>
            <w:vAlign w:val="center"/>
          </w:tcPr>
          <w:p w14:paraId="021FF7A2"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10</w:t>
            </w:r>
          </w:p>
        </w:tc>
        <w:tc>
          <w:tcPr>
            <w:tcW w:w="1418" w:type="dxa"/>
            <w:tcBorders>
              <w:right w:val="single" w:sz="4" w:space="0" w:color="auto"/>
            </w:tcBorders>
            <w:shd w:val="clear" w:color="auto" w:fill="FFFFFF" w:themeFill="background1"/>
            <w:vAlign w:val="center"/>
          </w:tcPr>
          <w:p w14:paraId="1F6BBC00"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100</w:t>
            </w:r>
          </w:p>
        </w:tc>
      </w:tr>
      <w:tr w:rsidR="00EE2B72" w:rsidRPr="00EE2B72" w14:paraId="4D0B47F5" w14:textId="77777777" w:rsidTr="003006DB">
        <w:tc>
          <w:tcPr>
            <w:tcW w:w="2263" w:type="dxa"/>
            <w:shd w:val="clear" w:color="auto" w:fill="FFFFFF" w:themeFill="background1"/>
          </w:tcPr>
          <w:p w14:paraId="4A6BD719" w14:textId="77777777" w:rsidR="00EE2B72" w:rsidRPr="00EE2B72" w:rsidRDefault="00EE2B72" w:rsidP="003006DB">
            <w:pPr>
              <w:spacing w:before="0" w:after="0"/>
              <w:jc w:val="left"/>
              <w:rPr>
                <w:rFonts w:eastAsia="Times New Roman"/>
                <w:b/>
                <w:bCs/>
                <w:vertAlign w:val="subscript"/>
                <w:lang w:eastAsia="de-DE"/>
              </w:rPr>
            </w:pPr>
            <w:r w:rsidRPr="00EE2B72">
              <w:rPr>
                <w:rFonts w:eastAsia="Times New Roman"/>
                <w:b/>
                <w:bCs/>
                <w:lang w:eastAsia="de-DE"/>
              </w:rPr>
              <w:t>Chlorbenzole, ges.</w:t>
            </w:r>
          </w:p>
        </w:tc>
        <w:tc>
          <w:tcPr>
            <w:tcW w:w="1560" w:type="dxa"/>
            <w:shd w:val="clear" w:color="auto" w:fill="FFFFFF" w:themeFill="background1"/>
          </w:tcPr>
          <w:p w14:paraId="2627C097" w14:textId="77777777" w:rsidR="00EE2B72" w:rsidRPr="00EE2B72" w:rsidRDefault="00EE2B72" w:rsidP="003006DB">
            <w:pPr>
              <w:spacing w:before="0" w:after="0"/>
              <w:jc w:val="center"/>
              <w:rPr>
                <w:rFonts w:eastAsia="Times New Roman"/>
                <w:lang w:eastAsia="de-DE"/>
              </w:rPr>
            </w:pPr>
            <w:r w:rsidRPr="00EE2B72">
              <w:rPr>
                <w:rFonts w:eastAsia="Times New Roman"/>
                <w:bCs/>
                <w:lang w:eastAsia="de-DE"/>
              </w:rPr>
              <w:t>µg/l</w:t>
            </w:r>
          </w:p>
        </w:tc>
        <w:tc>
          <w:tcPr>
            <w:tcW w:w="1417" w:type="dxa"/>
            <w:shd w:val="clear" w:color="auto" w:fill="FFFFFF" w:themeFill="background1"/>
            <w:vAlign w:val="bottom"/>
          </w:tcPr>
          <w:p w14:paraId="5E14178D" w14:textId="77777777" w:rsidR="00EE2B72" w:rsidRPr="00EE2B72" w:rsidRDefault="00EE2B72" w:rsidP="003006DB">
            <w:pPr>
              <w:spacing w:before="0" w:after="0"/>
              <w:jc w:val="center"/>
              <w:rPr>
                <w:rFonts w:eastAsia="Times New Roman"/>
                <w:bCs/>
                <w:lang w:eastAsia="de-DE"/>
              </w:rPr>
            </w:pPr>
            <w:r w:rsidRPr="00EE2B72">
              <w:rPr>
                <w:rFonts w:eastAsia="Times New Roman"/>
                <w:bCs/>
                <w:lang w:eastAsia="de-DE"/>
              </w:rPr>
              <w:t>1,5</w:t>
            </w:r>
          </w:p>
        </w:tc>
        <w:tc>
          <w:tcPr>
            <w:tcW w:w="1418" w:type="dxa"/>
            <w:shd w:val="clear" w:color="auto" w:fill="FFFFFF" w:themeFill="background1"/>
            <w:vAlign w:val="bottom"/>
          </w:tcPr>
          <w:p w14:paraId="43D86CFD"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1,7</w:t>
            </w:r>
          </w:p>
        </w:tc>
        <w:tc>
          <w:tcPr>
            <w:tcW w:w="1275" w:type="dxa"/>
            <w:shd w:val="clear" w:color="auto" w:fill="FFFFFF" w:themeFill="background1"/>
            <w:vAlign w:val="bottom"/>
          </w:tcPr>
          <w:p w14:paraId="60DA0DE9"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1,7</w:t>
            </w:r>
          </w:p>
        </w:tc>
        <w:tc>
          <w:tcPr>
            <w:tcW w:w="1418" w:type="dxa"/>
            <w:tcBorders>
              <w:right w:val="single" w:sz="4" w:space="0" w:color="auto"/>
            </w:tcBorders>
            <w:shd w:val="clear" w:color="auto" w:fill="FFFFFF" w:themeFill="background1"/>
            <w:vAlign w:val="bottom"/>
          </w:tcPr>
          <w:p w14:paraId="285481FB" w14:textId="77777777" w:rsidR="00EE2B72" w:rsidRPr="00EE2B72" w:rsidRDefault="00EE2B72" w:rsidP="003006DB">
            <w:pPr>
              <w:spacing w:before="0" w:after="0"/>
              <w:jc w:val="center"/>
              <w:rPr>
                <w:rFonts w:eastAsia="Times New Roman"/>
                <w:lang w:eastAsia="de-DE"/>
              </w:rPr>
            </w:pPr>
            <w:r w:rsidRPr="00EE2B72">
              <w:rPr>
                <w:rFonts w:eastAsia="Times New Roman"/>
                <w:lang w:eastAsia="de-DE"/>
              </w:rPr>
              <w:t>4</w:t>
            </w:r>
          </w:p>
        </w:tc>
      </w:tr>
      <w:tr w:rsidR="00EE2B72" w:rsidRPr="00EE2B72" w14:paraId="6EF30B26" w14:textId="77777777" w:rsidTr="003006DB">
        <w:tc>
          <w:tcPr>
            <w:tcW w:w="2263" w:type="dxa"/>
            <w:shd w:val="clear" w:color="auto" w:fill="FFFFFF" w:themeFill="background1"/>
          </w:tcPr>
          <w:p w14:paraId="44D470AC" w14:textId="77777777" w:rsidR="00EE2B72" w:rsidRPr="00EE2B72" w:rsidRDefault="00EE2B72" w:rsidP="003006DB">
            <w:pPr>
              <w:spacing w:before="100" w:beforeAutospacing="1" w:after="100" w:afterAutospacing="1"/>
              <w:jc w:val="left"/>
              <w:rPr>
                <w:rFonts w:eastAsia="Times New Roman"/>
                <w:b/>
                <w:bCs/>
                <w:lang w:eastAsia="de-DE"/>
              </w:rPr>
            </w:pPr>
            <w:r w:rsidRPr="00EE2B72">
              <w:rPr>
                <w:rFonts w:eastAsia="Times New Roman"/>
                <w:b/>
                <w:bCs/>
                <w:lang w:eastAsia="de-DE"/>
              </w:rPr>
              <w:t>Atrazin</w:t>
            </w:r>
          </w:p>
        </w:tc>
        <w:tc>
          <w:tcPr>
            <w:tcW w:w="1560" w:type="dxa"/>
            <w:shd w:val="clear" w:color="auto" w:fill="FFFFFF" w:themeFill="background1"/>
          </w:tcPr>
          <w:p w14:paraId="24F35B31" w14:textId="77777777" w:rsidR="00EE2B72" w:rsidRPr="00EE2B72" w:rsidRDefault="00EE2B72" w:rsidP="003006DB">
            <w:pPr>
              <w:spacing w:before="100" w:beforeAutospacing="1" w:after="100" w:afterAutospacing="1"/>
              <w:jc w:val="center"/>
              <w:rPr>
                <w:rFonts w:eastAsia="Times New Roman"/>
                <w:bCs/>
                <w:lang w:eastAsia="de-DE"/>
              </w:rPr>
            </w:pPr>
            <w:r w:rsidRPr="00EE2B72">
              <w:rPr>
                <w:rFonts w:eastAsia="Times New Roman"/>
                <w:bCs/>
                <w:lang w:eastAsia="de-DE"/>
              </w:rPr>
              <w:t>µg/l</w:t>
            </w:r>
          </w:p>
        </w:tc>
        <w:tc>
          <w:tcPr>
            <w:tcW w:w="1417" w:type="dxa"/>
            <w:shd w:val="clear" w:color="auto" w:fill="FFFFFF" w:themeFill="background1"/>
            <w:vAlign w:val="bottom"/>
          </w:tcPr>
          <w:p w14:paraId="26FE1F13" w14:textId="77777777" w:rsidR="00EE2B72" w:rsidRPr="00EE2B72" w:rsidRDefault="00EE2B72" w:rsidP="003006DB">
            <w:pPr>
              <w:spacing w:before="100" w:beforeAutospacing="1" w:after="100" w:afterAutospacing="1"/>
              <w:jc w:val="center"/>
              <w:rPr>
                <w:rFonts w:eastAsia="Times New Roman"/>
                <w:bCs/>
                <w:lang w:eastAsia="de-DE"/>
              </w:rPr>
            </w:pPr>
            <w:r w:rsidRPr="00EE2B72">
              <w:rPr>
                <w:rFonts w:eastAsia="Times New Roman"/>
                <w:bCs/>
                <w:lang w:eastAsia="de-DE"/>
              </w:rPr>
              <w:t>0,2</w:t>
            </w:r>
          </w:p>
        </w:tc>
        <w:tc>
          <w:tcPr>
            <w:tcW w:w="1418" w:type="dxa"/>
            <w:shd w:val="clear" w:color="auto" w:fill="FFFFFF" w:themeFill="background1"/>
            <w:vAlign w:val="bottom"/>
          </w:tcPr>
          <w:p w14:paraId="7DFADF2F"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0,4</w:t>
            </w:r>
          </w:p>
        </w:tc>
        <w:tc>
          <w:tcPr>
            <w:tcW w:w="1275" w:type="dxa"/>
            <w:shd w:val="clear" w:color="auto" w:fill="FFFFFF" w:themeFill="background1"/>
            <w:vAlign w:val="bottom"/>
          </w:tcPr>
          <w:p w14:paraId="1C5112A0"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0,5</w:t>
            </w:r>
          </w:p>
        </w:tc>
        <w:tc>
          <w:tcPr>
            <w:tcW w:w="1418" w:type="dxa"/>
            <w:tcBorders>
              <w:right w:val="single" w:sz="4" w:space="0" w:color="auto"/>
            </w:tcBorders>
            <w:shd w:val="clear" w:color="auto" w:fill="FFFFFF" w:themeFill="background1"/>
            <w:vAlign w:val="bottom"/>
          </w:tcPr>
          <w:p w14:paraId="6D444409"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1,3</w:t>
            </w:r>
          </w:p>
        </w:tc>
      </w:tr>
      <w:tr w:rsidR="00EE2B72" w:rsidRPr="00EE2B72" w14:paraId="4DF61931" w14:textId="77777777" w:rsidTr="003006DB">
        <w:tc>
          <w:tcPr>
            <w:tcW w:w="2263" w:type="dxa"/>
            <w:shd w:val="clear" w:color="auto" w:fill="FFFFFF" w:themeFill="background1"/>
          </w:tcPr>
          <w:p w14:paraId="7CFF90A2" w14:textId="77777777" w:rsidR="00EE2B72" w:rsidRPr="00EE2B72" w:rsidRDefault="00EE2B72" w:rsidP="003006DB">
            <w:pPr>
              <w:spacing w:before="100" w:beforeAutospacing="1" w:after="100" w:afterAutospacing="1"/>
              <w:jc w:val="left"/>
              <w:rPr>
                <w:rFonts w:eastAsia="Times New Roman"/>
                <w:b/>
                <w:bCs/>
                <w:lang w:eastAsia="de-DE"/>
              </w:rPr>
            </w:pPr>
            <w:proofErr w:type="spellStart"/>
            <w:r w:rsidRPr="00EE2B72">
              <w:rPr>
                <w:rFonts w:eastAsia="Times New Roman"/>
                <w:b/>
                <w:bCs/>
                <w:lang w:eastAsia="de-DE"/>
              </w:rPr>
              <w:t>Bromacil</w:t>
            </w:r>
            <w:proofErr w:type="spellEnd"/>
          </w:p>
        </w:tc>
        <w:tc>
          <w:tcPr>
            <w:tcW w:w="1560" w:type="dxa"/>
            <w:shd w:val="clear" w:color="auto" w:fill="FFFFFF" w:themeFill="background1"/>
          </w:tcPr>
          <w:p w14:paraId="735CA357" w14:textId="77777777" w:rsidR="00EE2B72" w:rsidRPr="00EE2B72" w:rsidRDefault="00EE2B72" w:rsidP="003006DB">
            <w:pPr>
              <w:spacing w:before="100" w:beforeAutospacing="1" w:after="100" w:afterAutospacing="1"/>
              <w:jc w:val="center"/>
              <w:rPr>
                <w:rFonts w:eastAsia="Times New Roman"/>
                <w:bCs/>
                <w:lang w:eastAsia="de-DE"/>
              </w:rPr>
            </w:pPr>
            <w:r w:rsidRPr="00EE2B72">
              <w:rPr>
                <w:rFonts w:eastAsia="Times New Roman"/>
                <w:bCs/>
                <w:lang w:eastAsia="de-DE"/>
              </w:rPr>
              <w:t>µg/l</w:t>
            </w:r>
          </w:p>
        </w:tc>
        <w:tc>
          <w:tcPr>
            <w:tcW w:w="1417" w:type="dxa"/>
            <w:shd w:val="clear" w:color="auto" w:fill="FFFFFF" w:themeFill="background1"/>
            <w:vAlign w:val="bottom"/>
          </w:tcPr>
          <w:p w14:paraId="43F330A0" w14:textId="77777777" w:rsidR="00EE2B72" w:rsidRPr="00EE2B72" w:rsidRDefault="00EE2B72" w:rsidP="003006DB">
            <w:pPr>
              <w:spacing w:before="100" w:beforeAutospacing="1" w:after="100" w:afterAutospacing="1"/>
              <w:jc w:val="center"/>
              <w:rPr>
                <w:rFonts w:eastAsia="Times New Roman"/>
                <w:bCs/>
                <w:lang w:eastAsia="de-DE"/>
              </w:rPr>
            </w:pPr>
            <w:r w:rsidRPr="00EE2B72">
              <w:rPr>
                <w:rFonts w:eastAsia="Times New Roman"/>
                <w:bCs/>
                <w:lang w:eastAsia="de-DE"/>
              </w:rPr>
              <w:t>0,2</w:t>
            </w:r>
          </w:p>
        </w:tc>
        <w:tc>
          <w:tcPr>
            <w:tcW w:w="1418" w:type="dxa"/>
            <w:shd w:val="clear" w:color="auto" w:fill="FFFFFF" w:themeFill="background1"/>
            <w:vAlign w:val="bottom"/>
          </w:tcPr>
          <w:p w14:paraId="639D32E1"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0,2</w:t>
            </w:r>
          </w:p>
        </w:tc>
        <w:tc>
          <w:tcPr>
            <w:tcW w:w="1275" w:type="dxa"/>
            <w:shd w:val="clear" w:color="auto" w:fill="FFFFFF" w:themeFill="background1"/>
            <w:vAlign w:val="bottom"/>
          </w:tcPr>
          <w:p w14:paraId="20B5C9E4"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0,3</w:t>
            </w:r>
          </w:p>
        </w:tc>
        <w:tc>
          <w:tcPr>
            <w:tcW w:w="1418" w:type="dxa"/>
            <w:tcBorders>
              <w:right w:val="single" w:sz="4" w:space="0" w:color="auto"/>
            </w:tcBorders>
            <w:shd w:val="clear" w:color="auto" w:fill="FFFFFF" w:themeFill="background1"/>
            <w:vAlign w:val="bottom"/>
          </w:tcPr>
          <w:p w14:paraId="790EF5BC"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0,4</w:t>
            </w:r>
          </w:p>
        </w:tc>
      </w:tr>
      <w:tr w:rsidR="00EE2B72" w:rsidRPr="00EE2B72" w14:paraId="4D4705FE" w14:textId="77777777" w:rsidTr="003006DB">
        <w:tc>
          <w:tcPr>
            <w:tcW w:w="2263" w:type="dxa"/>
            <w:shd w:val="clear" w:color="auto" w:fill="FFFFFF" w:themeFill="background1"/>
          </w:tcPr>
          <w:p w14:paraId="75315C37" w14:textId="77777777" w:rsidR="00EE2B72" w:rsidRPr="00EE2B72" w:rsidRDefault="00EE2B72" w:rsidP="003006DB">
            <w:pPr>
              <w:spacing w:before="100" w:beforeAutospacing="1" w:after="100" w:afterAutospacing="1"/>
              <w:jc w:val="left"/>
              <w:rPr>
                <w:rFonts w:eastAsia="Times New Roman"/>
                <w:b/>
                <w:bCs/>
                <w:lang w:eastAsia="de-DE"/>
              </w:rPr>
            </w:pPr>
            <w:proofErr w:type="spellStart"/>
            <w:r w:rsidRPr="00EE2B72">
              <w:rPr>
                <w:rFonts w:eastAsia="Times New Roman"/>
                <w:b/>
                <w:bCs/>
                <w:lang w:eastAsia="de-DE"/>
              </w:rPr>
              <w:t>Diuron</w:t>
            </w:r>
            <w:proofErr w:type="spellEnd"/>
          </w:p>
        </w:tc>
        <w:tc>
          <w:tcPr>
            <w:tcW w:w="1560" w:type="dxa"/>
            <w:shd w:val="clear" w:color="auto" w:fill="FFFFFF" w:themeFill="background1"/>
          </w:tcPr>
          <w:p w14:paraId="01ABAE02" w14:textId="77777777" w:rsidR="00EE2B72" w:rsidRPr="00EE2B72" w:rsidRDefault="00EE2B72" w:rsidP="003006DB">
            <w:pPr>
              <w:spacing w:before="100" w:beforeAutospacing="1" w:after="100" w:afterAutospacing="1"/>
              <w:jc w:val="center"/>
              <w:rPr>
                <w:rFonts w:eastAsia="Times New Roman"/>
                <w:bCs/>
                <w:lang w:eastAsia="de-DE"/>
              </w:rPr>
            </w:pPr>
            <w:r w:rsidRPr="00EE2B72">
              <w:rPr>
                <w:rFonts w:eastAsia="Times New Roman"/>
                <w:bCs/>
                <w:lang w:eastAsia="de-DE"/>
              </w:rPr>
              <w:t>µg/l</w:t>
            </w:r>
          </w:p>
        </w:tc>
        <w:tc>
          <w:tcPr>
            <w:tcW w:w="1417" w:type="dxa"/>
            <w:shd w:val="clear" w:color="auto" w:fill="FFFFFF" w:themeFill="background1"/>
            <w:vAlign w:val="bottom"/>
          </w:tcPr>
          <w:p w14:paraId="323F384D" w14:textId="77777777" w:rsidR="00EE2B72" w:rsidRPr="00EE2B72" w:rsidRDefault="00EE2B72" w:rsidP="003006DB">
            <w:pPr>
              <w:spacing w:before="100" w:beforeAutospacing="1" w:after="100" w:afterAutospacing="1"/>
              <w:jc w:val="center"/>
              <w:rPr>
                <w:rFonts w:eastAsia="Times New Roman"/>
                <w:bCs/>
                <w:lang w:eastAsia="de-DE"/>
              </w:rPr>
            </w:pPr>
            <w:r w:rsidRPr="00EE2B72">
              <w:rPr>
                <w:rFonts w:eastAsia="Times New Roman"/>
                <w:bCs/>
                <w:lang w:eastAsia="de-DE"/>
              </w:rPr>
              <w:t>0,1</w:t>
            </w:r>
          </w:p>
        </w:tc>
        <w:tc>
          <w:tcPr>
            <w:tcW w:w="1418" w:type="dxa"/>
            <w:shd w:val="clear" w:color="auto" w:fill="FFFFFF" w:themeFill="background1"/>
            <w:vAlign w:val="bottom"/>
          </w:tcPr>
          <w:p w14:paraId="3E5FB6F2"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0,1</w:t>
            </w:r>
          </w:p>
        </w:tc>
        <w:tc>
          <w:tcPr>
            <w:tcW w:w="1275" w:type="dxa"/>
            <w:shd w:val="clear" w:color="auto" w:fill="FFFFFF" w:themeFill="background1"/>
            <w:vAlign w:val="bottom"/>
          </w:tcPr>
          <w:p w14:paraId="78FA2BA4"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0,2</w:t>
            </w:r>
          </w:p>
        </w:tc>
        <w:tc>
          <w:tcPr>
            <w:tcW w:w="1418" w:type="dxa"/>
            <w:tcBorders>
              <w:right w:val="single" w:sz="4" w:space="0" w:color="auto"/>
            </w:tcBorders>
            <w:shd w:val="clear" w:color="auto" w:fill="FFFFFF" w:themeFill="background1"/>
            <w:vAlign w:val="bottom"/>
          </w:tcPr>
          <w:p w14:paraId="30692897"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0,3</w:t>
            </w:r>
          </w:p>
        </w:tc>
      </w:tr>
      <w:tr w:rsidR="00EE2B72" w:rsidRPr="00EE2B72" w14:paraId="4A907684" w14:textId="77777777" w:rsidTr="003006DB">
        <w:tc>
          <w:tcPr>
            <w:tcW w:w="2263" w:type="dxa"/>
            <w:shd w:val="clear" w:color="auto" w:fill="FFFFFF" w:themeFill="background1"/>
          </w:tcPr>
          <w:p w14:paraId="38BDB2A5" w14:textId="77777777" w:rsidR="00EE2B72" w:rsidRPr="00EE2B72" w:rsidRDefault="00EE2B72" w:rsidP="003006DB">
            <w:pPr>
              <w:spacing w:before="100" w:beforeAutospacing="1" w:after="100" w:afterAutospacing="1"/>
              <w:jc w:val="left"/>
              <w:rPr>
                <w:rFonts w:eastAsia="Times New Roman"/>
                <w:b/>
                <w:bCs/>
                <w:lang w:eastAsia="de-DE"/>
              </w:rPr>
            </w:pPr>
            <w:r w:rsidRPr="00EE2B72">
              <w:rPr>
                <w:rFonts w:eastAsia="Times New Roman"/>
                <w:b/>
                <w:bCs/>
                <w:lang w:eastAsia="de-DE"/>
              </w:rPr>
              <w:t>Glyphosat</w:t>
            </w:r>
          </w:p>
        </w:tc>
        <w:tc>
          <w:tcPr>
            <w:tcW w:w="1560" w:type="dxa"/>
            <w:shd w:val="clear" w:color="auto" w:fill="FFFFFF" w:themeFill="background1"/>
          </w:tcPr>
          <w:p w14:paraId="607B47D2" w14:textId="77777777" w:rsidR="00EE2B72" w:rsidRPr="00EE2B72" w:rsidRDefault="00EE2B72" w:rsidP="003006DB">
            <w:pPr>
              <w:spacing w:before="100" w:beforeAutospacing="1" w:after="100" w:afterAutospacing="1"/>
              <w:jc w:val="center"/>
              <w:rPr>
                <w:rFonts w:eastAsia="Times New Roman"/>
                <w:bCs/>
                <w:lang w:eastAsia="de-DE"/>
              </w:rPr>
            </w:pPr>
            <w:r w:rsidRPr="00EE2B72">
              <w:rPr>
                <w:rFonts w:eastAsia="Times New Roman"/>
                <w:bCs/>
                <w:lang w:eastAsia="de-DE"/>
              </w:rPr>
              <w:t>µg/l</w:t>
            </w:r>
          </w:p>
        </w:tc>
        <w:tc>
          <w:tcPr>
            <w:tcW w:w="1417" w:type="dxa"/>
            <w:shd w:val="clear" w:color="auto" w:fill="FFFFFF" w:themeFill="background1"/>
            <w:vAlign w:val="bottom"/>
          </w:tcPr>
          <w:p w14:paraId="747F21FF" w14:textId="77777777" w:rsidR="00EE2B72" w:rsidRPr="00EE2B72" w:rsidRDefault="00EE2B72" w:rsidP="003006DB">
            <w:pPr>
              <w:spacing w:before="100" w:beforeAutospacing="1" w:after="100" w:afterAutospacing="1"/>
              <w:jc w:val="center"/>
              <w:rPr>
                <w:rFonts w:eastAsia="Times New Roman"/>
                <w:bCs/>
                <w:lang w:eastAsia="de-DE"/>
              </w:rPr>
            </w:pPr>
            <w:r w:rsidRPr="00EE2B72">
              <w:rPr>
                <w:rFonts w:eastAsia="Times New Roman"/>
                <w:bCs/>
                <w:lang w:eastAsia="de-DE"/>
              </w:rPr>
              <w:t>0,2</w:t>
            </w:r>
          </w:p>
        </w:tc>
        <w:tc>
          <w:tcPr>
            <w:tcW w:w="1418" w:type="dxa"/>
            <w:shd w:val="clear" w:color="auto" w:fill="FFFFFF" w:themeFill="background1"/>
            <w:vAlign w:val="bottom"/>
          </w:tcPr>
          <w:p w14:paraId="4C482441"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0,6</w:t>
            </w:r>
          </w:p>
        </w:tc>
        <w:tc>
          <w:tcPr>
            <w:tcW w:w="1275" w:type="dxa"/>
            <w:shd w:val="clear" w:color="auto" w:fill="FFFFFF" w:themeFill="background1"/>
            <w:vAlign w:val="bottom"/>
          </w:tcPr>
          <w:p w14:paraId="06A3ABC1"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2,2</w:t>
            </w:r>
          </w:p>
        </w:tc>
        <w:tc>
          <w:tcPr>
            <w:tcW w:w="1418" w:type="dxa"/>
            <w:tcBorders>
              <w:right w:val="single" w:sz="4" w:space="0" w:color="auto"/>
            </w:tcBorders>
            <w:shd w:val="clear" w:color="auto" w:fill="FFFFFF" w:themeFill="background1"/>
            <w:vAlign w:val="bottom"/>
          </w:tcPr>
          <w:p w14:paraId="5000D24B"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4,0</w:t>
            </w:r>
          </w:p>
        </w:tc>
      </w:tr>
      <w:tr w:rsidR="00EE2B72" w:rsidRPr="00EE2B72" w14:paraId="72411E37" w14:textId="77777777" w:rsidTr="003006DB">
        <w:tc>
          <w:tcPr>
            <w:tcW w:w="2263" w:type="dxa"/>
            <w:shd w:val="clear" w:color="auto" w:fill="FFFFFF" w:themeFill="background1"/>
          </w:tcPr>
          <w:p w14:paraId="231F75AE" w14:textId="77777777" w:rsidR="00EE2B72" w:rsidRPr="00EE2B72" w:rsidRDefault="00EE2B72" w:rsidP="003006DB">
            <w:pPr>
              <w:spacing w:before="100" w:beforeAutospacing="1" w:after="100" w:afterAutospacing="1"/>
              <w:jc w:val="left"/>
              <w:rPr>
                <w:rFonts w:eastAsia="Times New Roman"/>
                <w:b/>
                <w:bCs/>
                <w:lang w:eastAsia="de-DE"/>
              </w:rPr>
            </w:pPr>
            <w:r w:rsidRPr="00EE2B72">
              <w:rPr>
                <w:rFonts w:eastAsia="Times New Roman"/>
                <w:b/>
                <w:bCs/>
                <w:lang w:eastAsia="de-DE"/>
              </w:rPr>
              <w:t>AMPA</w:t>
            </w:r>
          </w:p>
        </w:tc>
        <w:tc>
          <w:tcPr>
            <w:tcW w:w="1560" w:type="dxa"/>
            <w:shd w:val="clear" w:color="auto" w:fill="FFFFFF" w:themeFill="background1"/>
          </w:tcPr>
          <w:p w14:paraId="08F251E1" w14:textId="77777777" w:rsidR="00EE2B72" w:rsidRPr="00EE2B72" w:rsidRDefault="00EE2B72" w:rsidP="003006DB">
            <w:pPr>
              <w:spacing w:before="100" w:beforeAutospacing="1" w:after="100" w:afterAutospacing="1"/>
              <w:jc w:val="center"/>
              <w:rPr>
                <w:rFonts w:eastAsia="Times New Roman"/>
                <w:bCs/>
                <w:lang w:eastAsia="de-DE"/>
              </w:rPr>
            </w:pPr>
            <w:r w:rsidRPr="00EE2B72">
              <w:rPr>
                <w:rFonts w:eastAsia="Times New Roman"/>
                <w:bCs/>
                <w:lang w:eastAsia="de-DE"/>
              </w:rPr>
              <w:t>µg/l</w:t>
            </w:r>
          </w:p>
        </w:tc>
        <w:tc>
          <w:tcPr>
            <w:tcW w:w="1417" w:type="dxa"/>
            <w:shd w:val="clear" w:color="auto" w:fill="FFFFFF" w:themeFill="background1"/>
            <w:vAlign w:val="bottom"/>
          </w:tcPr>
          <w:p w14:paraId="533BEB05" w14:textId="77777777" w:rsidR="00EE2B72" w:rsidRPr="00EE2B72" w:rsidRDefault="00EE2B72" w:rsidP="003006DB">
            <w:pPr>
              <w:spacing w:before="100" w:beforeAutospacing="1" w:after="100" w:afterAutospacing="1"/>
              <w:jc w:val="center"/>
              <w:rPr>
                <w:rFonts w:eastAsia="Times New Roman"/>
                <w:bCs/>
                <w:lang w:eastAsia="de-DE"/>
              </w:rPr>
            </w:pPr>
            <w:r w:rsidRPr="00EE2B72">
              <w:rPr>
                <w:rFonts w:eastAsia="Times New Roman"/>
                <w:bCs/>
                <w:lang w:eastAsia="de-DE"/>
              </w:rPr>
              <w:t>2,5</w:t>
            </w:r>
          </w:p>
        </w:tc>
        <w:tc>
          <w:tcPr>
            <w:tcW w:w="1418" w:type="dxa"/>
            <w:shd w:val="clear" w:color="auto" w:fill="FFFFFF" w:themeFill="background1"/>
            <w:vAlign w:val="bottom"/>
          </w:tcPr>
          <w:p w14:paraId="3CB40731"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2,5</w:t>
            </w:r>
          </w:p>
        </w:tc>
        <w:tc>
          <w:tcPr>
            <w:tcW w:w="1275" w:type="dxa"/>
            <w:shd w:val="clear" w:color="auto" w:fill="FFFFFF" w:themeFill="background1"/>
            <w:vAlign w:val="bottom"/>
          </w:tcPr>
          <w:p w14:paraId="6184BD9D"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2,5</w:t>
            </w:r>
          </w:p>
        </w:tc>
        <w:tc>
          <w:tcPr>
            <w:tcW w:w="1418" w:type="dxa"/>
            <w:tcBorders>
              <w:right w:val="single" w:sz="4" w:space="0" w:color="auto"/>
            </w:tcBorders>
            <w:shd w:val="clear" w:color="auto" w:fill="FFFFFF" w:themeFill="background1"/>
            <w:vAlign w:val="bottom"/>
          </w:tcPr>
          <w:p w14:paraId="3C6B0F92"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4,0</w:t>
            </w:r>
          </w:p>
        </w:tc>
      </w:tr>
      <w:tr w:rsidR="00EE2B72" w:rsidRPr="00EE2B72" w14:paraId="508B75D7" w14:textId="77777777" w:rsidTr="003006DB">
        <w:trPr>
          <w:trHeight w:val="469"/>
        </w:trPr>
        <w:tc>
          <w:tcPr>
            <w:tcW w:w="2263" w:type="dxa"/>
            <w:shd w:val="clear" w:color="auto" w:fill="FFFFFF" w:themeFill="background1"/>
          </w:tcPr>
          <w:p w14:paraId="47311D70" w14:textId="77777777" w:rsidR="00EE2B72" w:rsidRPr="00EE2B72" w:rsidRDefault="00EE2B72" w:rsidP="003006DB">
            <w:pPr>
              <w:spacing w:before="100" w:beforeAutospacing="1" w:after="100" w:afterAutospacing="1"/>
              <w:jc w:val="left"/>
              <w:rPr>
                <w:rFonts w:eastAsia="Times New Roman"/>
                <w:b/>
                <w:bCs/>
                <w:lang w:eastAsia="de-DE"/>
              </w:rPr>
            </w:pPr>
            <w:proofErr w:type="spellStart"/>
            <w:r w:rsidRPr="00EE2B72">
              <w:rPr>
                <w:rFonts w:eastAsia="Times New Roman"/>
                <w:b/>
                <w:bCs/>
                <w:lang w:eastAsia="de-DE"/>
              </w:rPr>
              <w:t>Simazin</w:t>
            </w:r>
            <w:proofErr w:type="spellEnd"/>
          </w:p>
        </w:tc>
        <w:tc>
          <w:tcPr>
            <w:tcW w:w="1560" w:type="dxa"/>
            <w:shd w:val="clear" w:color="auto" w:fill="FFFFFF" w:themeFill="background1"/>
          </w:tcPr>
          <w:p w14:paraId="42433C76" w14:textId="77777777" w:rsidR="00EE2B72" w:rsidRPr="00EE2B72" w:rsidRDefault="00EE2B72" w:rsidP="003006DB">
            <w:pPr>
              <w:spacing w:before="100" w:beforeAutospacing="1" w:after="100" w:afterAutospacing="1"/>
              <w:jc w:val="center"/>
              <w:rPr>
                <w:rFonts w:eastAsia="Times New Roman"/>
                <w:bCs/>
                <w:lang w:eastAsia="de-DE"/>
              </w:rPr>
            </w:pPr>
            <w:r w:rsidRPr="00EE2B72">
              <w:rPr>
                <w:rFonts w:eastAsia="Times New Roman"/>
                <w:bCs/>
                <w:lang w:eastAsia="de-DE"/>
              </w:rPr>
              <w:t>µg/l</w:t>
            </w:r>
          </w:p>
        </w:tc>
        <w:tc>
          <w:tcPr>
            <w:tcW w:w="1417" w:type="dxa"/>
            <w:shd w:val="clear" w:color="auto" w:fill="FFFFFF" w:themeFill="background1"/>
            <w:vAlign w:val="bottom"/>
          </w:tcPr>
          <w:p w14:paraId="28734E7D" w14:textId="77777777" w:rsidR="00EE2B72" w:rsidRPr="00EE2B72" w:rsidRDefault="00EE2B72" w:rsidP="003006DB">
            <w:pPr>
              <w:spacing w:before="100" w:beforeAutospacing="1" w:after="100" w:afterAutospacing="1"/>
              <w:jc w:val="center"/>
              <w:rPr>
                <w:rFonts w:eastAsia="Times New Roman"/>
                <w:bCs/>
                <w:lang w:eastAsia="de-DE"/>
              </w:rPr>
            </w:pPr>
            <w:r w:rsidRPr="00EE2B72">
              <w:rPr>
                <w:rFonts w:eastAsia="Times New Roman"/>
                <w:bCs/>
                <w:lang w:eastAsia="de-DE"/>
              </w:rPr>
              <w:t>0,2</w:t>
            </w:r>
          </w:p>
        </w:tc>
        <w:tc>
          <w:tcPr>
            <w:tcW w:w="1418" w:type="dxa"/>
            <w:shd w:val="clear" w:color="auto" w:fill="FFFFFF" w:themeFill="background1"/>
            <w:vAlign w:val="bottom"/>
          </w:tcPr>
          <w:p w14:paraId="6A96E028"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0,6</w:t>
            </w:r>
          </w:p>
        </w:tc>
        <w:tc>
          <w:tcPr>
            <w:tcW w:w="1275" w:type="dxa"/>
            <w:shd w:val="clear" w:color="auto" w:fill="FFFFFF" w:themeFill="background1"/>
            <w:vAlign w:val="bottom"/>
          </w:tcPr>
          <w:p w14:paraId="39225B10"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1,2</w:t>
            </w:r>
          </w:p>
        </w:tc>
        <w:tc>
          <w:tcPr>
            <w:tcW w:w="1418" w:type="dxa"/>
            <w:tcBorders>
              <w:right w:val="single" w:sz="4" w:space="0" w:color="auto"/>
            </w:tcBorders>
            <w:shd w:val="clear" w:color="auto" w:fill="FFFFFF" w:themeFill="background1"/>
            <w:vAlign w:val="bottom"/>
          </w:tcPr>
          <w:p w14:paraId="760C4A4D"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4,0</w:t>
            </w:r>
          </w:p>
        </w:tc>
      </w:tr>
      <w:tr w:rsidR="00EE2B72" w:rsidRPr="00EE2B72" w14:paraId="1A28132E" w14:textId="77777777" w:rsidTr="003006DB">
        <w:tc>
          <w:tcPr>
            <w:tcW w:w="2263" w:type="dxa"/>
            <w:shd w:val="clear" w:color="auto" w:fill="FFFFFF" w:themeFill="background1"/>
          </w:tcPr>
          <w:p w14:paraId="11349B57" w14:textId="77777777" w:rsidR="00EE2B72" w:rsidRPr="00EE2B72" w:rsidRDefault="00EE2B72" w:rsidP="003006DB">
            <w:pPr>
              <w:spacing w:before="100" w:beforeAutospacing="1" w:after="100" w:afterAutospacing="1"/>
              <w:jc w:val="left"/>
              <w:rPr>
                <w:rFonts w:eastAsia="Times New Roman"/>
                <w:b/>
                <w:bCs/>
                <w:lang w:eastAsia="de-DE"/>
              </w:rPr>
            </w:pPr>
            <w:r w:rsidRPr="00EE2B72">
              <w:rPr>
                <w:rFonts w:eastAsia="Times New Roman"/>
                <w:b/>
                <w:bCs/>
                <w:lang w:eastAsia="de-DE"/>
              </w:rPr>
              <w:t>sonst. Herbizide</w:t>
            </w:r>
            <w:r w:rsidRPr="00EE2B72">
              <w:rPr>
                <w:rFonts w:eastAsia="Times New Roman"/>
                <w:b/>
                <w:bCs/>
                <w:vertAlign w:val="superscript"/>
                <w:lang w:eastAsia="de-DE"/>
              </w:rPr>
              <w:t>1</w:t>
            </w:r>
            <w:r w:rsidRPr="00EE2B72">
              <w:rPr>
                <w:rFonts w:eastAsia="Times New Roman"/>
                <w:b/>
                <w:bCs/>
                <w:lang w:eastAsia="de-DE"/>
              </w:rPr>
              <w:t xml:space="preserve"> </w:t>
            </w:r>
          </w:p>
        </w:tc>
        <w:tc>
          <w:tcPr>
            <w:tcW w:w="1560" w:type="dxa"/>
            <w:shd w:val="clear" w:color="auto" w:fill="FFFFFF" w:themeFill="background1"/>
          </w:tcPr>
          <w:p w14:paraId="2A38111A" w14:textId="77777777" w:rsidR="00EE2B72" w:rsidRPr="00EE2B72" w:rsidRDefault="00EE2B72" w:rsidP="003006DB">
            <w:pPr>
              <w:spacing w:before="100" w:beforeAutospacing="1" w:after="100" w:afterAutospacing="1"/>
              <w:jc w:val="center"/>
              <w:rPr>
                <w:rFonts w:eastAsia="Times New Roman"/>
                <w:bCs/>
                <w:lang w:eastAsia="de-DE"/>
              </w:rPr>
            </w:pPr>
            <w:r w:rsidRPr="00EE2B72">
              <w:rPr>
                <w:rFonts w:eastAsia="Times New Roman"/>
                <w:bCs/>
                <w:lang w:eastAsia="de-DE"/>
              </w:rPr>
              <w:t>µg/l</w:t>
            </w:r>
          </w:p>
        </w:tc>
        <w:tc>
          <w:tcPr>
            <w:tcW w:w="1417" w:type="dxa"/>
            <w:shd w:val="clear" w:color="auto" w:fill="FFFFFF" w:themeFill="background1"/>
            <w:vAlign w:val="bottom"/>
          </w:tcPr>
          <w:p w14:paraId="43F4EAA3" w14:textId="77777777" w:rsidR="00EE2B72" w:rsidRPr="00EE2B72" w:rsidRDefault="00EE2B72" w:rsidP="003006DB">
            <w:pPr>
              <w:spacing w:before="100" w:beforeAutospacing="1" w:after="100" w:afterAutospacing="1"/>
              <w:jc w:val="center"/>
              <w:rPr>
                <w:rFonts w:eastAsia="Times New Roman"/>
                <w:bCs/>
                <w:lang w:eastAsia="de-DE"/>
              </w:rPr>
            </w:pPr>
            <w:r w:rsidRPr="00EE2B72">
              <w:rPr>
                <w:rFonts w:eastAsia="Times New Roman"/>
                <w:bCs/>
                <w:lang w:eastAsia="de-DE"/>
              </w:rPr>
              <w:t>0,2</w:t>
            </w:r>
          </w:p>
        </w:tc>
        <w:tc>
          <w:tcPr>
            <w:tcW w:w="1418" w:type="dxa"/>
            <w:shd w:val="clear" w:color="auto" w:fill="FFFFFF" w:themeFill="background1"/>
            <w:vAlign w:val="bottom"/>
          </w:tcPr>
          <w:p w14:paraId="25DA410A"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0,7</w:t>
            </w:r>
          </w:p>
        </w:tc>
        <w:tc>
          <w:tcPr>
            <w:tcW w:w="1275" w:type="dxa"/>
            <w:shd w:val="clear" w:color="auto" w:fill="FFFFFF" w:themeFill="background1"/>
            <w:vAlign w:val="bottom"/>
          </w:tcPr>
          <w:p w14:paraId="40FDDD99"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1,0</w:t>
            </w:r>
          </w:p>
        </w:tc>
        <w:tc>
          <w:tcPr>
            <w:tcW w:w="1418" w:type="dxa"/>
            <w:tcBorders>
              <w:right w:val="single" w:sz="4" w:space="0" w:color="auto"/>
            </w:tcBorders>
            <w:shd w:val="clear" w:color="auto" w:fill="FFFFFF" w:themeFill="background1"/>
            <w:vAlign w:val="bottom"/>
          </w:tcPr>
          <w:p w14:paraId="662AFC90"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4,0</w:t>
            </w:r>
          </w:p>
        </w:tc>
      </w:tr>
      <w:tr w:rsidR="00EE2B72" w:rsidRPr="00EE2B72" w14:paraId="165D57ED" w14:textId="77777777" w:rsidTr="003006DB">
        <w:tc>
          <w:tcPr>
            <w:tcW w:w="2263" w:type="dxa"/>
            <w:shd w:val="clear" w:color="auto" w:fill="FFFFFF" w:themeFill="background1"/>
          </w:tcPr>
          <w:p w14:paraId="0E7490A6" w14:textId="77777777" w:rsidR="00EE2B72" w:rsidRPr="00EE2B72" w:rsidRDefault="00EE2B72" w:rsidP="003006DB">
            <w:pPr>
              <w:spacing w:before="100" w:beforeAutospacing="1" w:after="100" w:afterAutospacing="1"/>
              <w:jc w:val="left"/>
              <w:rPr>
                <w:rFonts w:eastAsia="Times New Roman"/>
                <w:vertAlign w:val="subscript"/>
                <w:lang w:eastAsia="de-DE"/>
              </w:rPr>
            </w:pPr>
            <w:r w:rsidRPr="00EE2B72">
              <w:rPr>
                <w:rFonts w:eastAsia="Times New Roman"/>
                <w:b/>
                <w:bCs/>
                <w:lang w:eastAsia="de-DE"/>
              </w:rPr>
              <w:t>Hexachlorbenzol</w:t>
            </w:r>
          </w:p>
        </w:tc>
        <w:tc>
          <w:tcPr>
            <w:tcW w:w="1560" w:type="dxa"/>
            <w:shd w:val="clear" w:color="auto" w:fill="FFFFFF" w:themeFill="background1"/>
          </w:tcPr>
          <w:p w14:paraId="28DDE7FA"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bCs/>
                <w:lang w:eastAsia="de-DE"/>
              </w:rPr>
              <w:t>µg/l</w:t>
            </w:r>
          </w:p>
        </w:tc>
        <w:tc>
          <w:tcPr>
            <w:tcW w:w="1417" w:type="dxa"/>
            <w:shd w:val="clear" w:color="auto" w:fill="FFFFFF" w:themeFill="background1"/>
            <w:vAlign w:val="bottom"/>
          </w:tcPr>
          <w:p w14:paraId="64193A15" w14:textId="77777777" w:rsidR="00EE2B72" w:rsidRPr="00EE2B72" w:rsidRDefault="00EE2B72" w:rsidP="003006DB">
            <w:pPr>
              <w:spacing w:before="100" w:beforeAutospacing="1" w:after="100" w:afterAutospacing="1"/>
              <w:jc w:val="center"/>
              <w:rPr>
                <w:rFonts w:eastAsia="Times New Roman"/>
                <w:bCs/>
                <w:lang w:eastAsia="de-DE"/>
              </w:rPr>
            </w:pPr>
            <w:r w:rsidRPr="00EE2B72">
              <w:rPr>
                <w:rFonts w:eastAsia="Times New Roman"/>
                <w:bCs/>
                <w:lang w:eastAsia="de-DE"/>
              </w:rPr>
              <w:t>0,02</w:t>
            </w:r>
          </w:p>
        </w:tc>
        <w:tc>
          <w:tcPr>
            <w:tcW w:w="1418" w:type="dxa"/>
            <w:shd w:val="clear" w:color="auto" w:fill="FFFFFF" w:themeFill="background1"/>
            <w:vAlign w:val="bottom"/>
          </w:tcPr>
          <w:p w14:paraId="36D636C8"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0,02</w:t>
            </w:r>
          </w:p>
        </w:tc>
        <w:tc>
          <w:tcPr>
            <w:tcW w:w="1275" w:type="dxa"/>
            <w:shd w:val="clear" w:color="auto" w:fill="FFFFFF" w:themeFill="background1"/>
            <w:vAlign w:val="bottom"/>
          </w:tcPr>
          <w:p w14:paraId="530079DC"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0,02</w:t>
            </w:r>
          </w:p>
        </w:tc>
        <w:tc>
          <w:tcPr>
            <w:tcW w:w="1418" w:type="dxa"/>
            <w:tcBorders>
              <w:right w:val="single" w:sz="4" w:space="0" w:color="auto"/>
            </w:tcBorders>
            <w:shd w:val="clear" w:color="auto" w:fill="FFFFFF" w:themeFill="background1"/>
            <w:vAlign w:val="bottom"/>
          </w:tcPr>
          <w:p w14:paraId="544FD9A4" w14:textId="77777777" w:rsidR="00EE2B72" w:rsidRPr="00EE2B72" w:rsidRDefault="00EE2B72" w:rsidP="003006DB">
            <w:pPr>
              <w:spacing w:before="100" w:beforeAutospacing="1" w:after="100" w:afterAutospacing="1"/>
              <w:jc w:val="center"/>
              <w:rPr>
                <w:rFonts w:eastAsia="Times New Roman"/>
                <w:lang w:eastAsia="de-DE"/>
              </w:rPr>
            </w:pPr>
            <w:r w:rsidRPr="00EE2B72">
              <w:rPr>
                <w:rFonts w:eastAsia="Times New Roman"/>
                <w:lang w:eastAsia="de-DE"/>
              </w:rPr>
              <w:t>0,04</w:t>
            </w:r>
          </w:p>
        </w:tc>
      </w:tr>
    </w:tbl>
    <w:p w14:paraId="1602CF6E" w14:textId="77777777" w:rsidR="00EE2B72" w:rsidRPr="00EE2B72" w:rsidRDefault="00EE2B72" w:rsidP="00EE2B72">
      <w:pPr>
        <w:tabs>
          <w:tab w:val="left" w:pos="7277"/>
        </w:tabs>
        <w:spacing w:before="0" w:after="0"/>
        <w:jc w:val="left"/>
        <w:rPr>
          <w:rFonts w:eastAsia="Times New Roman"/>
          <w:vertAlign w:val="superscript"/>
          <w:lang w:eastAsia="de-DE"/>
        </w:rPr>
      </w:pPr>
    </w:p>
    <w:p w14:paraId="1DD28267" w14:textId="38860514" w:rsidR="003006DB" w:rsidRPr="00EE2B72" w:rsidRDefault="003006DB" w:rsidP="003006DB">
      <w:pPr>
        <w:tabs>
          <w:tab w:val="left" w:pos="7277"/>
        </w:tabs>
        <w:spacing w:before="0" w:after="0"/>
        <w:jc w:val="left"/>
        <w:rPr>
          <w:rFonts w:eastAsia="Times New Roman"/>
          <w:sz w:val="16"/>
          <w:szCs w:val="16"/>
          <w:lang w:eastAsia="de-DE"/>
        </w:rPr>
      </w:pPr>
      <w:r w:rsidRPr="00EE2B72">
        <w:rPr>
          <w:rFonts w:eastAsia="Times New Roman"/>
          <w:sz w:val="16"/>
          <w:szCs w:val="16"/>
          <w:vertAlign w:val="superscript"/>
          <w:lang w:eastAsia="de-DE"/>
        </w:rPr>
        <w:t xml:space="preserve">1 </w:t>
      </w:r>
      <w:r w:rsidRPr="00EE2B72">
        <w:rPr>
          <w:rFonts w:eastAsia="Times New Roman"/>
          <w:sz w:val="16"/>
          <w:szCs w:val="16"/>
          <w:lang w:eastAsia="de-DE"/>
        </w:rPr>
        <w:t xml:space="preserve">Einzelwerte jeweils für </w:t>
      </w:r>
      <w:proofErr w:type="spellStart"/>
      <w:r w:rsidRPr="00EE2B72">
        <w:rPr>
          <w:rFonts w:eastAsia="Times New Roman"/>
          <w:sz w:val="16"/>
          <w:szCs w:val="16"/>
          <w:lang w:eastAsia="de-DE"/>
        </w:rPr>
        <w:t>Dimefuron</w:t>
      </w:r>
      <w:proofErr w:type="spellEnd"/>
      <w:r w:rsidRPr="00EE2B72">
        <w:rPr>
          <w:rFonts w:eastAsia="Times New Roman"/>
          <w:sz w:val="16"/>
          <w:szCs w:val="16"/>
          <w:lang w:eastAsia="de-DE"/>
        </w:rPr>
        <w:t xml:space="preserve">, </w:t>
      </w:r>
      <w:proofErr w:type="spellStart"/>
      <w:r w:rsidRPr="00EE2B72">
        <w:rPr>
          <w:rFonts w:eastAsia="Times New Roman"/>
          <w:sz w:val="16"/>
          <w:szCs w:val="16"/>
          <w:lang w:eastAsia="de-DE"/>
        </w:rPr>
        <w:t>Flazasulfuron</w:t>
      </w:r>
      <w:proofErr w:type="spellEnd"/>
      <w:r w:rsidRPr="00EE2B72">
        <w:rPr>
          <w:rFonts w:eastAsia="Times New Roman"/>
          <w:sz w:val="16"/>
          <w:szCs w:val="16"/>
          <w:lang w:eastAsia="de-DE"/>
        </w:rPr>
        <w:t xml:space="preserve">, </w:t>
      </w:r>
      <w:proofErr w:type="spellStart"/>
      <w:r w:rsidRPr="00EE2B72">
        <w:rPr>
          <w:rFonts w:eastAsia="Times New Roman"/>
          <w:sz w:val="16"/>
          <w:szCs w:val="16"/>
          <w:lang w:eastAsia="de-DE"/>
        </w:rPr>
        <w:t>Flumioxazin</w:t>
      </w:r>
      <w:proofErr w:type="spellEnd"/>
      <w:r w:rsidRPr="00EE2B72">
        <w:rPr>
          <w:rFonts w:eastAsia="Times New Roman"/>
          <w:sz w:val="16"/>
          <w:szCs w:val="16"/>
          <w:lang w:eastAsia="de-DE"/>
        </w:rPr>
        <w:t xml:space="preserve">, </w:t>
      </w:r>
      <w:proofErr w:type="spellStart"/>
      <w:r w:rsidRPr="00EE2B72">
        <w:rPr>
          <w:rFonts w:eastAsia="Times New Roman"/>
          <w:sz w:val="16"/>
          <w:szCs w:val="16"/>
          <w:lang w:eastAsia="de-DE"/>
        </w:rPr>
        <w:t>Ethidimuron</w:t>
      </w:r>
      <w:proofErr w:type="spellEnd"/>
      <w:r w:rsidRPr="00EE2B72">
        <w:rPr>
          <w:rFonts w:eastAsia="Times New Roman"/>
          <w:sz w:val="16"/>
          <w:szCs w:val="16"/>
          <w:lang w:eastAsia="de-DE"/>
        </w:rPr>
        <w:t xml:space="preserve">, </w:t>
      </w:r>
      <w:proofErr w:type="spellStart"/>
      <w:r w:rsidRPr="00EE2B72">
        <w:rPr>
          <w:rFonts w:eastAsia="Times New Roman"/>
          <w:sz w:val="16"/>
          <w:szCs w:val="16"/>
          <w:lang w:eastAsia="de-DE"/>
        </w:rPr>
        <w:t>Thiazafluron</w:t>
      </w:r>
      <w:proofErr w:type="spellEnd"/>
      <w:r w:rsidRPr="00EE2B72">
        <w:rPr>
          <w:rFonts w:eastAsia="Times New Roman"/>
          <w:sz w:val="16"/>
          <w:szCs w:val="16"/>
          <w:lang w:eastAsia="de-DE"/>
        </w:rPr>
        <w:t xml:space="preserve"> sowie für neu zugelassene Wirkstoffe.</w:t>
      </w:r>
    </w:p>
    <w:p w14:paraId="06F475B9" w14:textId="087DB08D" w:rsidR="003006DB" w:rsidRDefault="003006DB" w:rsidP="004B6F12">
      <w:pPr>
        <w:pStyle w:val="AnlageBezeichnernummeriert"/>
        <w:sectPr w:rsidR="003006DB" w:rsidSect="007947FE">
          <w:pgSz w:w="11907" w:h="16839"/>
          <w:pgMar w:top="1134" w:right="1417" w:bottom="1134" w:left="1701" w:header="709" w:footer="709" w:gutter="0"/>
          <w:cols w:space="708"/>
          <w:docGrid w:linePitch="360"/>
        </w:sectPr>
      </w:pPr>
    </w:p>
    <w:p w14:paraId="616207F4" w14:textId="4FABA562" w:rsidR="004B6F12" w:rsidRDefault="004B6F12" w:rsidP="004B6F12">
      <w:pPr>
        <w:pStyle w:val="AnlageBezeichnernummeriert"/>
      </w:pPr>
    </w:p>
    <w:p w14:paraId="08D80837" w14:textId="77777777" w:rsidR="004B6F12" w:rsidRPr="008D0377" w:rsidRDefault="004B6F12" w:rsidP="004B6F12">
      <w:pPr>
        <w:pStyle w:val="AnlageVerweis"/>
      </w:pPr>
      <w:r w:rsidRPr="008D0377">
        <w:t xml:space="preserve"> (zu § 1 Absatz 2 Nummer 3, § 2 Nummer 3 und 16, § 19 Absatz 2, Absatz 3 Nummer 2, Absatz 6 bis 8, § 20, § 21 Absatz 2, § 22 Absatz 1 und 2 sowie § 25 Absatz 1 Nummer 5 und Absatz 3 Nummer 5 bis 8)</w:t>
      </w:r>
    </w:p>
    <w:p w14:paraId="62BFE106" w14:textId="77777777" w:rsidR="004B6F12" w:rsidRPr="008D0377" w:rsidRDefault="004B6F12" w:rsidP="00EE2B72">
      <w:pPr>
        <w:pStyle w:val="Anlageberschrift"/>
      </w:pPr>
      <w:bookmarkStart w:id="37" w:name="_Toc64380062"/>
      <w:r w:rsidRPr="008D0377">
        <w:t>Einsatzmöglichkeiten von mineralischen Ersatzbaustoffen in technischen Bauwerken</w:t>
      </w:r>
      <w:bookmarkEnd w:id="37"/>
    </w:p>
    <w:p w14:paraId="7628821C" w14:textId="77777777" w:rsidR="004B6F12" w:rsidRPr="008D0377" w:rsidRDefault="004B6F12" w:rsidP="004B6F12">
      <w:pPr>
        <w:pStyle w:val="Text"/>
      </w:pPr>
      <w:r w:rsidRPr="008D0377">
        <w:t>Erläuterungen</w:t>
      </w:r>
    </w:p>
    <w:p w14:paraId="0B1471B3" w14:textId="4B4CD719" w:rsidR="004B6F12" w:rsidRPr="008D0377" w:rsidRDefault="004B6F12" w:rsidP="004B6F12">
      <w:pPr>
        <w:pStyle w:val="Text"/>
      </w:pPr>
      <w:r w:rsidRPr="008D0377">
        <w:t>In den Einbautabellen werden die Konfigurationen der Grundwasserdeckschichten unterschieden in „ungünstig“, „günstig - Sand“ und „günstig - Lehm,</w:t>
      </w:r>
      <w:r w:rsidR="007947FE">
        <w:t xml:space="preserve"> </w:t>
      </w:r>
      <w:r w:rsidRPr="008D0377">
        <w:t>Schluff,</w:t>
      </w:r>
      <w:r w:rsidR="007947FE">
        <w:t xml:space="preserve"> </w:t>
      </w:r>
      <w:r w:rsidRPr="008D0377">
        <w:t xml:space="preserve">Ton“. </w:t>
      </w:r>
    </w:p>
    <w:p w14:paraId="2A5A8784" w14:textId="77777777" w:rsidR="004B6F12" w:rsidRPr="008D0377" w:rsidRDefault="004B6F12" w:rsidP="004B6F12">
      <w:pPr>
        <w:pStyle w:val="Text"/>
      </w:pPr>
      <w:r w:rsidRPr="008D0377">
        <w:t>Die Konfigurationen der natürlich vorliegenden oder herzustellenden Grundwasserdeckschichten werden wie folgt festgelegt.</w:t>
      </w:r>
      <w:r w:rsidRPr="008D0377">
        <w:tab/>
      </w:r>
    </w:p>
    <w:p w14:paraId="6E0DA23A" w14:textId="77777777" w:rsidR="00EE2B72" w:rsidRPr="00EE2B72" w:rsidRDefault="00EE2B72" w:rsidP="00EE2B72">
      <w:pPr>
        <w:jc w:val="left"/>
        <w:rPr>
          <w:rFonts w:eastAsia="Times New Roman" w:cs="Times New Roman"/>
          <w:sz w:val="24"/>
          <w:szCs w:val="20"/>
          <w:lang w:eastAsia="de-DE"/>
        </w:rPr>
      </w:pPr>
    </w:p>
    <w:tbl>
      <w:tblPr>
        <w:tblW w:w="10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3"/>
        <w:gridCol w:w="3862"/>
        <w:gridCol w:w="2211"/>
        <w:gridCol w:w="2213"/>
      </w:tblGrid>
      <w:tr w:rsidR="00EE2B72" w:rsidRPr="00EE2B72" w14:paraId="4D37D9A9" w14:textId="77777777" w:rsidTr="00F43C5E">
        <w:trPr>
          <w:cantSplit/>
          <w:trHeight w:val="549"/>
        </w:trPr>
        <w:tc>
          <w:tcPr>
            <w:tcW w:w="2183" w:type="dxa"/>
            <w:vMerge w:val="restart"/>
          </w:tcPr>
          <w:p w14:paraId="1C156BA8" w14:textId="77777777" w:rsidR="00EE2B72" w:rsidRPr="00EE2B72" w:rsidRDefault="00EE2B72" w:rsidP="00EE2B72">
            <w:pPr>
              <w:tabs>
                <w:tab w:val="left" w:pos="641"/>
              </w:tabs>
              <w:spacing w:before="0" w:after="0"/>
              <w:jc w:val="left"/>
              <w:rPr>
                <w:rFonts w:eastAsia="Times New Roman"/>
                <w:b/>
                <w:sz w:val="20"/>
                <w:szCs w:val="20"/>
                <w:lang w:eastAsia="de-DE"/>
              </w:rPr>
            </w:pPr>
            <w:r w:rsidRPr="00EE2B72">
              <w:rPr>
                <w:rFonts w:eastAsia="Times New Roman"/>
                <w:b/>
                <w:sz w:val="20"/>
                <w:szCs w:val="20"/>
                <w:lang w:eastAsia="de-DE"/>
              </w:rPr>
              <w:t>Konfiguration der Grundwasser-deckschicht</w:t>
            </w:r>
          </w:p>
        </w:tc>
        <w:tc>
          <w:tcPr>
            <w:tcW w:w="3862" w:type="dxa"/>
            <w:tcBorders>
              <w:bottom w:val="nil"/>
            </w:tcBorders>
          </w:tcPr>
          <w:p w14:paraId="7CCFC4C0" w14:textId="77777777" w:rsidR="00EE2B72" w:rsidRPr="00EE2B72" w:rsidRDefault="00EE2B72" w:rsidP="00EE2B72">
            <w:pPr>
              <w:tabs>
                <w:tab w:val="left" w:pos="641"/>
              </w:tabs>
              <w:spacing w:before="0" w:after="0"/>
              <w:jc w:val="center"/>
              <w:rPr>
                <w:rFonts w:eastAsia="Times New Roman"/>
                <w:b/>
                <w:sz w:val="20"/>
                <w:szCs w:val="20"/>
                <w:lang w:eastAsia="de-DE"/>
              </w:rPr>
            </w:pPr>
            <w:r w:rsidRPr="00EE2B72">
              <w:rPr>
                <w:rFonts w:eastAsia="Times New Roman"/>
                <w:b/>
                <w:sz w:val="20"/>
                <w:szCs w:val="20"/>
                <w:lang w:eastAsia="de-DE"/>
              </w:rPr>
              <w:t>ungünstig</w:t>
            </w:r>
          </w:p>
          <w:p w14:paraId="49BBE6D8" w14:textId="77777777" w:rsidR="00EE2B72" w:rsidRPr="00EE2B72" w:rsidRDefault="00EE2B72" w:rsidP="00EE2B72">
            <w:pPr>
              <w:tabs>
                <w:tab w:val="left" w:pos="641"/>
              </w:tabs>
              <w:spacing w:before="0" w:after="0"/>
              <w:jc w:val="center"/>
              <w:rPr>
                <w:rFonts w:eastAsia="Times New Roman"/>
                <w:sz w:val="20"/>
                <w:szCs w:val="20"/>
                <w:lang w:eastAsia="de-DE"/>
              </w:rPr>
            </w:pPr>
          </w:p>
        </w:tc>
        <w:tc>
          <w:tcPr>
            <w:tcW w:w="4424" w:type="dxa"/>
            <w:gridSpan w:val="2"/>
            <w:vAlign w:val="center"/>
          </w:tcPr>
          <w:p w14:paraId="4893D84A" w14:textId="77777777" w:rsidR="00EE2B72" w:rsidRPr="00EE2B72" w:rsidRDefault="00EE2B72" w:rsidP="00EE2B72">
            <w:pPr>
              <w:tabs>
                <w:tab w:val="left" w:pos="641"/>
              </w:tabs>
              <w:spacing w:before="0" w:after="0"/>
              <w:jc w:val="center"/>
              <w:rPr>
                <w:rFonts w:eastAsia="Times New Roman"/>
                <w:b/>
                <w:sz w:val="20"/>
                <w:szCs w:val="20"/>
                <w:lang w:eastAsia="de-DE"/>
              </w:rPr>
            </w:pPr>
            <w:r w:rsidRPr="00EE2B72">
              <w:rPr>
                <w:rFonts w:eastAsia="Times New Roman"/>
                <w:b/>
                <w:sz w:val="20"/>
                <w:szCs w:val="20"/>
                <w:lang w:eastAsia="de-DE"/>
              </w:rPr>
              <w:t>günstig</w:t>
            </w:r>
          </w:p>
          <w:p w14:paraId="6ADD7755" w14:textId="77777777" w:rsidR="00EE2B72" w:rsidRPr="00EE2B72" w:rsidRDefault="00EE2B72" w:rsidP="00EE2B72">
            <w:pPr>
              <w:tabs>
                <w:tab w:val="left" w:pos="641"/>
              </w:tabs>
              <w:spacing w:before="0" w:after="0"/>
              <w:jc w:val="center"/>
              <w:rPr>
                <w:rFonts w:eastAsia="Times New Roman"/>
                <w:sz w:val="20"/>
                <w:szCs w:val="20"/>
                <w:lang w:eastAsia="de-DE"/>
              </w:rPr>
            </w:pPr>
          </w:p>
        </w:tc>
      </w:tr>
      <w:tr w:rsidR="00EE2B72" w:rsidRPr="00EE2B72" w14:paraId="1C14C7CD" w14:textId="77777777" w:rsidTr="00F43C5E">
        <w:trPr>
          <w:cantSplit/>
          <w:trHeight w:val="579"/>
        </w:trPr>
        <w:tc>
          <w:tcPr>
            <w:tcW w:w="2183" w:type="dxa"/>
            <w:vMerge/>
            <w:tcBorders>
              <w:bottom w:val="single" w:sz="4" w:space="0" w:color="auto"/>
            </w:tcBorders>
          </w:tcPr>
          <w:p w14:paraId="72A603E1" w14:textId="77777777" w:rsidR="00EE2B72" w:rsidRPr="00EE2B72" w:rsidRDefault="00EE2B72" w:rsidP="00EE2B72">
            <w:pPr>
              <w:tabs>
                <w:tab w:val="left" w:pos="641"/>
              </w:tabs>
              <w:spacing w:before="0" w:after="0"/>
              <w:jc w:val="left"/>
              <w:rPr>
                <w:rFonts w:eastAsia="Times New Roman"/>
                <w:sz w:val="20"/>
                <w:szCs w:val="20"/>
                <w:lang w:eastAsia="de-DE"/>
              </w:rPr>
            </w:pPr>
          </w:p>
        </w:tc>
        <w:tc>
          <w:tcPr>
            <w:tcW w:w="3862" w:type="dxa"/>
            <w:tcBorders>
              <w:top w:val="nil"/>
            </w:tcBorders>
          </w:tcPr>
          <w:p w14:paraId="65EFC69F" w14:textId="6CAAA5C9" w:rsidR="00EE2B72" w:rsidRPr="00EE2B72" w:rsidRDefault="00EE2B72" w:rsidP="00EE2B72">
            <w:pPr>
              <w:tabs>
                <w:tab w:val="left" w:pos="641"/>
              </w:tabs>
              <w:spacing w:before="0" w:after="0"/>
              <w:jc w:val="center"/>
              <w:rPr>
                <w:rFonts w:eastAsia="Times New Roman"/>
                <w:b/>
                <w:sz w:val="20"/>
                <w:szCs w:val="20"/>
                <w:lang w:eastAsia="de-DE"/>
              </w:rPr>
            </w:pPr>
            <w:r w:rsidRPr="00EE2B72">
              <w:rPr>
                <w:rFonts w:eastAsia="Times New Roman"/>
                <w:b/>
                <w:sz w:val="20"/>
                <w:szCs w:val="20"/>
                <w:lang w:eastAsia="de-DE"/>
              </w:rPr>
              <w:t>Sand oder Lehm, Schluff, Ton</w:t>
            </w:r>
          </w:p>
        </w:tc>
        <w:tc>
          <w:tcPr>
            <w:tcW w:w="2211" w:type="dxa"/>
          </w:tcPr>
          <w:p w14:paraId="3AA3B394" w14:textId="77777777" w:rsidR="00EE2B72" w:rsidRPr="00EE2B72" w:rsidRDefault="00EE2B72" w:rsidP="00EE2B72">
            <w:pPr>
              <w:tabs>
                <w:tab w:val="left" w:pos="641"/>
              </w:tabs>
              <w:spacing w:before="0" w:after="0"/>
              <w:jc w:val="center"/>
              <w:rPr>
                <w:rFonts w:eastAsia="Times New Roman"/>
                <w:b/>
                <w:sz w:val="20"/>
                <w:szCs w:val="20"/>
                <w:lang w:eastAsia="de-DE"/>
              </w:rPr>
            </w:pPr>
            <w:r w:rsidRPr="00EE2B72">
              <w:rPr>
                <w:rFonts w:eastAsia="Times New Roman"/>
                <w:b/>
                <w:sz w:val="20"/>
                <w:szCs w:val="20"/>
                <w:lang w:eastAsia="de-DE"/>
              </w:rPr>
              <w:t>Sand</w:t>
            </w:r>
          </w:p>
        </w:tc>
        <w:tc>
          <w:tcPr>
            <w:tcW w:w="2213" w:type="dxa"/>
          </w:tcPr>
          <w:p w14:paraId="352D0B3C" w14:textId="5631704D" w:rsidR="00EE2B72" w:rsidRPr="00EE2B72" w:rsidRDefault="00EE2B72" w:rsidP="00EE2B72">
            <w:pPr>
              <w:tabs>
                <w:tab w:val="left" w:pos="641"/>
              </w:tabs>
              <w:spacing w:before="0" w:after="0"/>
              <w:jc w:val="center"/>
              <w:rPr>
                <w:rFonts w:eastAsia="Times New Roman"/>
                <w:b/>
                <w:sz w:val="20"/>
                <w:szCs w:val="20"/>
                <w:lang w:eastAsia="de-DE"/>
              </w:rPr>
            </w:pPr>
            <w:r w:rsidRPr="00EE2B72">
              <w:rPr>
                <w:rFonts w:eastAsia="Times New Roman"/>
                <w:b/>
                <w:sz w:val="20"/>
                <w:szCs w:val="20"/>
                <w:lang w:eastAsia="de-DE"/>
              </w:rPr>
              <w:t>Lehm, Schluff, Ton</w:t>
            </w:r>
          </w:p>
        </w:tc>
      </w:tr>
      <w:tr w:rsidR="00EE2B72" w:rsidRPr="00EE2B72" w14:paraId="440DA15F" w14:textId="77777777" w:rsidTr="00F43C5E">
        <w:trPr>
          <w:trHeight w:val="2642"/>
        </w:trPr>
        <w:tc>
          <w:tcPr>
            <w:tcW w:w="2183" w:type="dxa"/>
            <w:tcBorders>
              <w:bottom w:val="single" w:sz="4" w:space="0" w:color="auto"/>
            </w:tcBorders>
          </w:tcPr>
          <w:p w14:paraId="6441D67E" w14:textId="77777777" w:rsidR="00EE2B72" w:rsidRPr="00EE2B72" w:rsidRDefault="00EE2B72" w:rsidP="00EE2B72">
            <w:pPr>
              <w:tabs>
                <w:tab w:val="left" w:pos="641"/>
              </w:tabs>
              <w:spacing w:before="0" w:after="0"/>
              <w:jc w:val="left"/>
              <w:rPr>
                <w:rFonts w:eastAsia="Times New Roman"/>
                <w:sz w:val="20"/>
                <w:szCs w:val="20"/>
                <w:lang w:eastAsia="de-DE"/>
              </w:rPr>
            </w:pPr>
          </w:p>
          <w:p w14:paraId="4CCE8381" w14:textId="77777777" w:rsidR="00EE2B72" w:rsidRPr="00EE2B72" w:rsidRDefault="00EE2B72" w:rsidP="00EE2B72">
            <w:pPr>
              <w:tabs>
                <w:tab w:val="left" w:pos="641"/>
              </w:tabs>
              <w:spacing w:before="0" w:after="0"/>
              <w:jc w:val="left"/>
              <w:rPr>
                <w:rFonts w:eastAsia="Times New Roman"/>
                <w:sz w:val="20"/>
                <w:szCs w:val="20"/>
                <w:lang w:eastAsia="de-DE"/>
              </w:rPr>
            </w:pPr>
          </w:p>
          <w:p w14:paraId="2997BCA3" w14:textId="77777777" w:rsidR="00EE2B72" w:rsidRPr="00EE2B72" w:rsidRDefault="00EE2B72" w:rsidP="00EE2B72">
            <w:pPr>
              <w:tabs>
                <w:tab w:val="left" w:pos="641"/>
              </w:tabs>
              <w:spacing w:before="0" w:after="0"/>
              <w:jc w:val="left"/>
              <w:rPr>
                <w:rFonts w:eastAsia="Times New Roman"/>
                <w:b/>
                <w:sz w:val="20"/>
                <w:szCs w:val="20"/>
                <w:lang w:eastAsia="de-DE"/>
              </w:rPr>
            </w:pPr>
            <w:r w:rsidRPr="00EE2B72">
              <w:rPr>
                <w:rFonts w:eastAsia="Times New Roman"/>
                <w:b/>
                <w:sz w:val="20"/>
                <w:szCs w:val="20"/>
                <w:lang w:eastAsia="de-DE"/>
              </w:rPr>
              <w:t>grundwasserfreie</w:t>
            </w:r>
          </w:p>
          <w:p w14:paraId="3D2C8BB6" w14:textId="77777777" w:rsidR="00EE2B72" w:rsidRPr="00EE2B72" w:rsidRDefault="00EE2B72" w:rsidP="00EE2B72">
            <w:pPr>
              <w:tabs>
                <w:tab w:val="left" w:pos="641"/>
              </w:tabs>
              <w:spacing w:before="0" w:after="0"/>
              <w:jc w:val="left"/>
              <w:rPr>
                <w:rFonts w:eastAsia="Times New Roman"/>
                <w:sz w:val="20"/>
                <w:szCs w:val="20"/>
                <w:lang w:eastAsia="de-DE"/>
              </w:rPr>
            </w:pPr>
            <w:r w:rsidRPr="00EE2B72">
              <w:rPr>
                <w:rFonts w:eastAsia="Times New Roman"/>
                <w:b/>
                <w:sz w:val="20"/>
                <w:szCs w:val="20"/>
                <w:lang w:eastAsia="de-DE"/>
              </w:rPr>
              <w:t xml:space="preserve">Sickerstrecke </w:t>
            </w:r>
          </w:p>
        </w:tc>
        <w:tc>
          <w:tcPr>
            <w:tcW w:w="3862" w:type="dxa"/>
          </w:tcPr>
          <w:p w14:paraId="70F89E6E" w14:textId="77777777" w:rsidR="00EE2B72" w:rsidRPr="00EE2B72" w:rsidRDefault="00EE2B72" w:rsidP="00EE2B72">
            <w:pPr>
              <w:tabs>
                <w:tab w:val="left" w:pos="641"/>
              </w:tabs>
              <w:spacing w:before="0" w:after="0"/>
              <w:jc w:val="left"/>
              <w:rPr>
                <w:rFonts w:eastAsia="Times New Roman"/>
                <w:sz w:val="20"/>
                <w:szCs w:val="20"/>
                <w:lang w:eastAsia="de-DE"/>
              </w:rPr>
            </w:pPr>
          </w:p>
          <w:p w14:paraId="0CE2CF96" w14:textId="77777777" w:rsidR="00EE2B72" w:rsidRPr="00EE2B72" w:rsidRDefault="00EE2B72" w:rsidP="00EE2B72">
            <w:pPr>
              <w:tabs>
                <w:tab w:val="left" w:pos="641"/>
              </w:tabs>
              <w:spacing w:before="0" w:after="0"/>
              <w:jc w:val="left"/>
              <w:rPr>
                <w:rFonts w:eastAsia="Times New Roman"/>
                <w:sz w:val="20"/>
                <w:szCs w:val="20"/>
                <w:lang w:eastAsia="de-DE"/>
              </w:rPr>
            </w:pPr>
            <w:r w:rsidRPr="00EE2B72">
              <w:rPr>
                <w:rFonts w:eastAsia="Times New Roman"/>
                <w:sz w:val="20"/>
                <w:szCs w:val="20"/>
                <w:lang w:eastAsia="de-DE"/>
              </w:rPr>
              <w:t xml:space="preserve">für RC-1, BM-0, BM-0*, BM-F0*, BM-F1, BG-0, BG-0*, BG-F0*, BG-F1, GS-0, GS-1, SWS-1, CUM-1, HOS-1, HS, SKG: </w:t>
            </w:r>
            <w:r w:rsidRPr="00EE2B72">
              <w:rPr>
                <w:rFonts w:eastAsia="Times New Roman"/>
                <w:sz w:val="20"/>
                <w:szCs w:val="20"/>
                <w:lang w:eastAsia="de-DE"/>
              </w:rPr>
              <w:sym w:font="Symbol" w:char="F0B3"/>
            </w:r>
            <w:r w:rsidRPr="00EE2B72">
              <w:rPr>
                <w:rFonts w:eastAsia="Times New Roman"/>
                <w:sz w:val="20"/>
                <w:szCs w:val="20"/>
                <w:lang w:eastAsia="de-DE"/>
              </w:rPr>
              <w:t xml:space="preserve"> 0,1 – 1 m</w:t>
            </w:r>
          </w:p>
          <w:p w14:paraId="74425713" w14:textId="77777777" w:rsidR="00EE2B72" w:rsidRPr="00EE2B72" w:rsidRDefault="00EE2B72" w:rsidP="00EE2B72">
            <w:pPr>
              <w:tabs>
                <w:tab w:val="left" w:pos="641"/>
              </w:tabs>
              <w:spacing w:before="0" w:after="0"/>
              <w:jc w:val="left"/>
              <w:rPr>
                <w:rFonts w:eastAsia="Times New Roman"/>
                <w:sz w:val="20"/>
                <w:szCs w:val="20"/>
                <w:lang w:eastAsia="de-DE"/>
              </w:rPr>
            </w:pPr>
          </w:p>
          <w:p w14:paraId="30136CD7" w14:textId="77777777" w:rsidR="00EE2B72" w:rsidRPr="00EE2B72" w:rsidRDefault="00EE2B72" w:rsidP="00EE2B72">
            <w:pPr>
              <w:tabs>
                <w:tab w:val="left" w:pos="641"/>
              </w:tabs>
              <w:spacing w:before="0" w:after="0"/>
              <w:jc w:val="left"/>
              <w:rPr>
                <w:rFonts w:eastAsia="Times New Roman"/>
                <w:sz w:val="20"/>
                <w:szCs w:val="20"/>
                <w:lang w:eastAsia="de-DE"/>
              </w:rPr>
            </w:pPr>
            <w:r w:rsidRPr="00EE2B72">
              <w:rPr>
                <w:rFonts w:eastAsia="Times New Roman"/>
                <w:sz w:val="20"/>
                <w:szCs w:val="20"/>
                <w:lang w:eastAsia="de-DE"/>
              </w:rPr>
              <w:t xml:space="preserve">für alle anderen MEB: </w:t>
            </w:r>
            <w:r w:rsidRPr="00EE2B72">
              <w:rPr>
                <w:rFonts w:eastAsia="Times New Roman"/>
                <w:sz w:val="20"/>
                <w:szCs w:val="20"/>
                <w:lang w:eastAsia="de-DE"/>
              </w:rPr>
              <w:sym w:font="Symbol" w:char="F0B3"/>
            </w:r>
            <w:r w:rsidRPr="00EE2B72">
              <w:rPr>
                <w:rFonts w:eastAsia="Times New Roman"/>
                <w:sz w:val="20"/>
                <w:szCs w:val="20"/>
                <w:lang w:eastAsia="de-DE"/>
              </w:rPr>
              <w:t xml:space="preserve"> 0,5 – 1 m</w:t>
            </w:r>
          </w:p>
          <w:p w14:paraId="74432E2C" w14:textId="77777777" w:rsidR="00EE2B72" w:rsidRPr="00EE2B72" w:rsidRDefault="00EE2B72" w:rsidP="00EE2B72">
            <w:pPr>
              <w:tabs>
                <w:tab w:val="left" w:pos="641"/>
              </w:tabs>
              <w:spacing w:before="0" w:after="0"/>
              <w:jc w:val="left"/>
              <w:rPr>
                <w:rFonts w:eastAsia="Times New Roman"/>
                <w:sz w:val="20"/>
                <w:szCs w:val="20"/>
                <w:lang w:eastAsia="de-DE"/>
              </w:rPr>
            </w:pPr>
          </w:p>
          <w:p w14:paraId="504F456B" w14:textId="77777777" w:rsidR="00EE2B72" w:rsidRPr="00EE2B72" w:rsidRDefault="00EE2B72" w:rsidP="00EE2B72">
            <w:pPr>
              <w:tabs>
                <w:tab w:val="left" w:pos="641"/>
              </w:tabs>
              <w:spacing w:before="0" w:after="0"/>
              <w:jc w:val="left"/>
              <w:rPr>
                <w:rFonts w:eastAsia="Times New Roman"/>
                <w:sz w:val="20"/>
                <w:szCs w:val="20"/>
                <w:lang w:eastAsia="de-DE"/>
              </w:rPr>
            </w:pPr>
            <w:r w:rsidRPr="00EE2B72">
              <w:rPr>
                <w:rFonts w:eastAsia="Times New Roman"/>
                <w:sz w:val="20"/>
                <w:szCs w:val="20"/>
                <w:lang w:eastAsia="de-DE"/>
              </w:rPr>
              <w:t>jeweils zuzüglich eines Sicherheitsabstandes von 0,5 m</w:t>
            </w:r>
          </w:p>
          <w:p w14:paraId="0C270865" w14:textId="77777777" w:rsidR="00EE2B72" w:rsidRPr="00EE2B72" w:rsidRDefault="00EE2B72" w:rsidP="00EE2B72">
            <w:pPr>
              <w:tabs>
                <w:tab w:val="left" w:pos="641"/>
              </w:tabs>
              <w:spacing w:before="0" w:after="0"/>
              <w:jc w:val="center"/>
              <w:rPr>
                <w:rFonts w:eastAsia="Times New Roman"/>
                <w:sz w:val="20"/>
                <w:szCs w:val="20"/>
                <w:lang w:eastAsia="de-DE"/>
              </w:rPr>
            </w:pPr>
          </w:p>
          <w:p w14:paraId="5079BB18" w14:textId="77777777" w:rsidR="00EE2B72" w:rsidRPr="00EE2B72" w:rsidRDefault="00EE2B72" w:rsidP="00EE2B72">
            <w:pPr>
              <w:tabs>
                <w:tab w:val="left" w:pos="641"/>
              </w:tabs>
              <w:spacing w:before="0" w:after="0"/>
              <w:jc w:val="left"/>
              <w:rPr>
                <w:rFonts w:eastAsia="Times New Roman"/>
                <w:sz w:val="20"/>
                <w:szCs w:val="20"/>
                <w:lang w:eastAsia="de-DE"/>
              </w:rPr>
            </w:pPr>
          </w:p>
        </w:tc>
        <w:tc>
          <w:tcPr>
            <w:tcW w:w="2211" w:type="dxa"/>
          </w:tcPr>
          <w:p w14:paraId="690B6E98" w14:textId="77777777" w:rsidR="00EE2B72" w:rsidRPr="00EE2B72" w:rsidRDefault="00EE2B72" w:rsidP="00EE2B72">
            <w:pPr>
              <w:tabs>
                <w:tab w:val="left" w:pos="641"/>
              </w:tabs>
              <w:spacing w:before="0" w:after="0"/>
              <w:jc w:val="left"/>
              <w:rPr>
                <w:rFonts w:eastAsia="Times New Roman"/>
                <w:sz w:val="20"/>
                <w:szCs w:val="20"/>
                <w:lang w:eastAsia="de-DE"/>
              </w:rPr>
            </w:pPr>
          </w:p>
          <w:p w14:paraId="769EA61E" w14:textId="77777777" w:rsidR="00EE2B72" w:rsidRPr="00EE2B72" w:rsidRDefault="00EE2B72" w:rsidP="00EE2B72">
            <w:pPr>
              <w:tabs>
                <w:tab w:val="left" w:pos="641"/>
              </w:tabs>
              <w:spacing w:before="0" w:after="0"/>
              <w:jc w:val="left"/>
              <w:rPr>
                <w:rFonts w:eastAsia="Times New Roman"/>
                <w:sz w:val="20"/>
                <w:szCs w:val="20"/>
                <w:lang w:eastAsia="de-DE"/>
              </w:rPr>
            </w:pPr>
          </w:p>
          <w:p w14:paraId="3F57B220" w14:textId="77777777" w:rsidR="00EE2B72" w:rsidRPr="00EE2B72" w:rsidRDefault="00EE2B72" w:rsidP="00EE2B72">
            <w:pPr>
              <w:tabs>
                <w:tab w:val="left" w:pos="641"/>
              </w:tabs>
              <w:spacing w:before="0" w:after="0"/>
              <w:jc w:val="left"/>
              <w:rPr>
                <w:rFonts w:eastAsia="Times New Roman"/>
                <w:sz w:val="20"/>
                <w:szCs w:val="20"/>
                <w:lang w:eastAsia="de-DE"/>
              </w:rPr>
            </w:pPr>
            <w:r w:rsidRPr="00EE2B72">
              <w:rPr>
                <w:rFonts w:eastAsia="Times New Roman"/>
                <w:sz w:val="20"/>
                <w:szCs w:val="20"/>
                <w:lang w:eastAsia="de-DE"/>
              </w:rPr>
              <w:t>für alle MEB: &gt;1 m</w:t>
            </w:r>
          </w:p>
          <w:p w14:paraId="22595EC0" w14:textId="77777777" w:rsidR="00EE2B72" w:rsidRPr="00EE2B72" w:rsidRDefault="00EE2B72" w:rsidP="00EE2B72">
            <w:pPr>
              <w:tabs>
                <w:tab w:val="left" w:pos="641"/>
              </w:tabs>
              <w:spacing w:before="0" w:after="0"/>
              <w:jc w:val="left"/>
              <w:rPr>
                <w:rFonts w:eastAsia="Times New Roman"/>
                <w:sz w:val="20"/>
                <w:szCs w:val="20"/>
                <w:lang w:eastAsia="de-DE"/>
              </w:rPr>
            </w:pPr>
          </w:p>
          <w:p w14:paraId="5994BF85" w14:textId="77777777" w:rsidR="00EE2B72" w:rsidRPr="00EE2B72" w:rsidRDefault="00EE2B72" w:rsidP="00EE2B72">
            <w:pPr>
              <w:tabs>
                <w:tab w:val="left" w:pos="641"/>
              </w:tabs>
              <w:spacing w:before="0" w:after="0"/>
              <w:jc w:val="left"/>
              <w:rPr>
                <w:rFonts w:eastAsia="Times New Roman"/>
                <w:sz w:val="20"/>
                <w:szCs w:val="20"/>
                <w:lang w:eastAsia="de-DE"/>
              </w:rPr>
            </w:pPr>
            <w:r w:rsidRPr="00EE2B72">
              <w:rPr>
                <w:rFonts w:eastAsia="Times New Roman"/>
                <w:sz w:val="20"/>
                <w:szCs w:val="20"/>
                <w:lang w:eastAsia="de-DE"/>
              </w:rPr>
              <w:t>zuzüglich eines Sicherheitsabstandes von 0,5 m</w:t>
            </w:r>
          </w:p>
        </w:tc>
        <w:tc>
          <w:tcPr>
            <w:tcW w:w="2213" w:type="dxa"/>
          </w:tcPr>
          <w:p w14:paraId="3A842E01" w14:textId="77777777" w:rsidR="00EE2B72" w:rsidRPr="00EE2B72" w:rsidRDefault="00EE2B72" w:rsidP="00EE2B72">
            <w:pPr>
              <w:tabs>
                <w:tab w:val="left" w:pos="641"/>
              </w:tabs>
              <w:spacing w:before="0" w:after="0"/>
              <w:jc w:val="center"/>
              <w:rPr>
                <w:rFonts w:eastAsia="Times New Roman"/>
                <w:sz w:val="20"/>
                <w:szCs w:val="20"/>
                <w:lang w:eastAsia="de-DE"/>
              </w:rPr>
            </w:pPr>
          </w:p>
          <w:p w14:paraId="7BE5AA49" w14:textId="77777777" w:rsidR="00EE2B72" w:rsidRPr="00EE2B72" w:rsidRDefault="00EE2B72" w:rsidP="00EE2B72">
            <w:pPr>
              <w:tabs>
                <w:tab w:val="left" w:pos="641"/>
              </w:tabs>
              <w:spacing w:before="0" w:after="0"/>
              <w:jc w:val="center"/>
              <w:rPr>
                <w:rFonts w:eastAsia="Times New Roman"/>
                <w:sz w:val="20"/>
                <w:szCs w:val="20"/>
                <w:lang w:eastAsia="de-DE"/>
              </w:rPr>
            </w:pPr>
          </w:p>
          <w:p w14:paraId="34C2AF20" w14:textId="77777777" w:rsidR="00EE2B72" w:rsidRPr="00EE2B72" w:rsidRDefault="00EE2B72" w:rsidP="00EE2B72">
            <w:pPr>
              <w:tabs>
                <w:tab w:val="left" w:pos="641"/>
              </w:tabs>
              <w:spacing w:before="0" w:after="0"/>
              <w:jc w:val="center"/>
              <w:rPr>
                <w:rFonts w:eastAsia="Times New Roman"/>
                <w:sz w:val="20"/>
                <w:szCs w:val="20"/>
                <w:lang w:eastAsia="de-DE"/>
              </w:rPr>
            </w:pPr>
            <w:r w:rsidRPr="00EE2B72">
              <w:rPr>
                <w:rFonts w:eastAsia="Times New Roman"/>
                <w:sz w:val="20"/>
                <w:szCs w:val="20"/>
                <w:lang w:eastAsia="de-DE"/>
              </w:rPr>
              <w:t>für alle MEB: &gt;1 m</w:t>
            </w:r>
          </w:p>
          <w:p w14:paraId="2BC53B2A" w14:textId="77777777" w:rsidR="00EE2B72" w:rsidRPr="00EE2B72" w:rsidRDefault="00EE2B72" w:rsidP="00EE2B72">
            <w:pPr>
              <w:tabs>
                <w:tab w:val="left" w:pos="641"/>
              </w:tabs>
              <w:spacing w:before="0" w:after="0"/>
              <w:jc w:val="center"/>
              <w:rPr>
                <w:rFonts w:eastAsia="Times New Roman"/>
                <w:sz w:val="20"/>
                <w:szCs w:val="20"/>
                <w:lang w:eastAsia="de-DE"/>
              </w:rPr>
            </w:pPr>
          </w:p>
          <w:p w14:paraId="487B7A3F" w14:textId="77777777" w:rsidR="00EE2B72" w:rsidRPr="00EE2B72" w:rsidRDefault="00EE2B72" w:rsidP="00EE2B72">
            <w:pPr>
              <w:tabs>
                <w:tab w:val="left" w:pos="641"/>
              </w:tabs>
              <w:spacing w:before="0" w:after="0"/>
              <w:jc w:val="center"/>
              <w:rPr>
                <w:rFonts w:eastAsia="Times New Roman"/>
                <w:sz w:val="20"/>
                <w:szCs w:val="20"/>
                <w:lang w:eastAsia="de-DE"/>
              </w:rPr>
            </w:pPr>
            <w:r w:rsidRPr="00EE2B72">
              <w:rPr>
                <w:rFonts w:eastAsia="Times New Roman"/>
                <w:sz w:val="20"/>
                <w:szCs w:val="20"/>
                <w:lang w:eastAsia="de-DE"/>
              </w:rPr>
              <w:t>zuzüglich eines Sicherheitsabstandes von 0,5 m</w:t>
            </w:r>
          </w:p>
        </w:tc>
      </w:tr>
    </w:tbl>
    <w:p w14:paraId="59F49539" w14:textId="77777777" w:rsidR="00EE2B72" w:rsidRPr="00EE2B72" w:rsidRDefault="00EE2B72" w:rsidP="00EE2B72">
      <w:pPr>
        <w:jc w:val="left"/>
        <w:rPr>
          <w:rFonts w:eastAsia="Times New Roman" w:cs="Times New Roman"/>
          <w:sz w:val="24"/>
          <w:szCs w:val="20"/>
          <w:lang w:eastAsia="de-DE"/>
        </w:rPr>
      </w:pPr>
    </w:p>
    <w:p w14:paraId="170D9223" w14:textId="41AE0CD8" w:rsidR="00EE2B72" w:rsidRPr="00EE2B72" w:rsidRDefault="00EE2B72" w:rsidP="00EE2B72">
      <w:pPr>
        <w:jc w:val="left"/>
        <w:rPr>
          <w:rFonts w:eastAsia="Times New Roman" w:cs="Times New Roman"/>
          <w:lang w:eastAsia="de-DE"/>
        </w:rPr>
      </w:pPr>
      <w:r w:rsidRPr="00EE2B72">
        <w:rPr>
          <w:rFonts w:eastAsia="Times New Roman" w:cs="Times New Roman"/>
          <w:lang w:eastAsia="de-DE"/>
        </w:rPr>
        <w:t xml:space="preserve">Innerhalb von Wasserschutzbereichen sind die Einsatzmöglichkeiten von mineralischen Ersatzbaustoffen auf günstige Eigenschaften der Grundwasserdeckschichten (Sand oder Lehm, Schluff, Ton, grundwasserfreie Sickerstrecke &gt; 1m) beschränkt. </w:t>
      </w:r>
    </w:p>
    <w:p w14:paraId="7EAC07CD" w14:textId="4D2F9043" w:rsidR="00EE2B72" w:rsidRPr="00EE2B72" w:rsidRDefault="00EE2B72" w:rsidP="00EE2B72">
      <w:pPr>
        <w:jc w:val="left"/>
        <w:rPr>
          <w:rFonts w:eastAsia="Times New Roman" w:cs="Times New Roman"/>
          <w:lang w:eastAsia="de-DE"/>
        </w:rPr>
      </w:pPr>
      <w:r w:rsidRPr="00EE2B72">
        <w:rPr>
          <w:rFonts w:eastAsia="Times New Roman" w:cs="Times New Roman"/>
          <w:lang w:eastAsia="de-DE"/>
        </w:rPr>
        <w:t>Bei der Beurteilung der Zulässigkeit von mineralischen Ersatzbaustoffen bei nicht gedeckten Baustraßen in Verfüllungen sowie bei der Böschungsstabilisierung ist § 8 Absatz 6 Bundes-Bodenschutz- und Altlastenverordnung zu beachten.</w:t>
      </w:r>
    </w:p>
    <w:p w14:paraId="28B4416E"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 xml:space="preserve">Der Einsatz von mineralischen Ersatzbaustoffen gemäß den Einbauweisen Nummer 7 und 8 ist bei Straßen mit Entwässerungsrinnen und vollständiger Entwässerung über das Kanalnetz bei günstigen und ungünstigen Eigenschaften der Grundwasserdeckschichten außerhalb und innerhalb von Wasserschutzbereichen zulässig. </w:t>
      </w:r>
    </w:p>
    <w:p w14:paraId="263ED97A"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 xml:space="preserve">Bei allen Einbauweisen der Tabellen ist berücksichtigt, dass bei Straßen im Bankett- und Böschungsbereich eine </w:t>
      </w:r>
      <w:proofErr w:type="spellStart"/>
      <w:r w:rsidRPr="00EE2B72">
        <w:rPr>
          <w:rFonts w:eastAsia="Times New Roman" w:cs="Times New Roman"/>
          <w:lang w:eastAsia="de-DE"/>
        </w:rPr>
        <w:t>Durchsickerung</w:t>
      </w:r>
      <w:proofErr w:type="spellEnd"/>
      <w:r w:rsidRPr="00EE2B72">
        <w:rPr>
          <w:rFonts w:eastAsia="Times New Roman" w:cs="Times New Roman"/>
          <w:lang w:eastAsia="de-DE"/>
        </w:rPr>
        <w:t xml:space="preserve"> stattfindet.</w:t>
      </w:r>
    </w:p>
    <w:p w14:paraId="5429DFDB"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Eintragungen oder Bezeichnungen in den Tabellen:</w:t>
      </w:r>
    </w:p>
    <w:p w14:paraId="657DB9C9"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gebundene Deckschicht: wasserundurchlässige Schicht oder Bauweise mit</w:t>
      </w:r>
    </w:p>
    <w:p w14:paraId="234D3D12"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lastRenderedPageBreak/>
        <w:t>a)</w:t>
      </w:r>
      <w:r w:rsidRPr="00EE2B72">
        <w:rPr>
          <w:rFonts w:eastAsia="Times New Roman" w:cs="Times New Roman"/>
          <w:lang w:eastAsia="de-DE"/>
        </w:rPr>
        <w:tab/>
        <w:t xml:space="preserve">Asphalt nach den Anforderungen </w:t>
      </w:r>
    </w:p>
    <w:p w14:paraId="652CA857"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„Zusätzliche Technische Vertragsbedingungen und Richtlinien für den Bau von Verkehrsflächenbefestigungen aus Asphalt“ - ZTV Asphalt-</w:t>
      </w:r>
      <w:proofErr w:type="spellStart"/>
      <w:r w:rsidRPr="00EE2B72">
        <w:rPr>
          <w:rFonts w:eastAsia="Times New Roman" w:cs="Times New Roman"/>
          <w:lang w:eastAsia="de-DE"/>
        </w:rPr>
        <w:t>StB</w:t>
      </w:r>
      <w:proofErr w:type="spellEnd"/>
      <w:r w:rsidRPr="00EE2B72">
        <w:rPr>
          <w:rFonts w:eastAsia="Times New Roman" w:cs="Times New Roman"/>
          <w:lang w:eastAsia="de-DE"/>
        </w:rPr>
        <w:t xml:space="preserve"> - (FGSV, Ausgabe 2007) oder</w:t>
      </w:r>
    </w:p>
    <w:p w14:paraId="7D42F269"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b)</w:t>
      </w:r>
      <w:r w:rsidRPr="00EE2B72">
        <w:rPr>
          <w:rFonts w:eastAsia="Times New Roman" w:cs="Times New Roman"/>
          <w:lang w:eastAsia="de-DE"/>
        </w:rPr>
        <w:tab/>
        <w:t xml:space="preserve">Beton nach den Anforderungen </w:t>
      </w:r>
    </w:p>
    <w:p w14:paraId="0C5A9A10"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„Zusätzliche Technische Vertragsbedingungen und Richtlinien für den Bau von Tragschichten mit hydraulischen Bindemitteln und Fahrbahndecken aus Beton“ - ZTV Beton-</w:t>
      </w:r>
      <w:proofErr w:type="spellStart"/>
      <w:r w:rsidRPr="00EE2B72">
        <w:rPr>
          <w:rFonts w:eastAsia="Times New Roman" w:cs="Times New Roman"/>
          <w:lang w:eastAsia="de-DE"/>
        </w:rPr>
        <w:t>StB</w:t>
      </w:r>
      <w:proofErr w:type="spellEnd"/>
      <w:r w:rsidRPr="00EE2B72">
        <w:rPr>
          <w:rFonts w:eastAsia="Times New Roman" w:cs="Times New Roman"/>
          <w:lang w:eastAsia="de-DE"/>
        </w:rPr>
        <w:t xml:space="preserve"> - (FGSV, Ausgabe 2007) oder in vergleichbarer Ausführung oder</w:t>
      </w:r>
    </w:p>
    <w:p w14:paraId="0AD50B4B"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c)</w:t>
      </w:r>
      <w:r w:rsidRPr="00EE2B72">
        <w:rPr>
          <w:rFonts w:eastAsia="Times New Roman" w:cs="Times New Roman"/>
          <w:lang w:eastAsia="de-DE"/>
        </w:rPr>
        <w:tab/>
        <w:t xml:space="preserve">Pflasterdecken oder Plattenbelägen mit dauerhaft wasserdichter Fugenabdichtung nach den Anforderungen </w:t>
      </w:r>
    </w:p>
    <w:p w14:paraId="2A1EE78E"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„Zusätzliche Technische Vertragsbedingungen und Richtlinien für Fugen in Verkehrsflächen“ - ZTV Fug-</w:t>
      </w:r>
      <w:proofErr w:type="spellStart"/>
      <w:r w:rsidRPr="00EE2B72">
        <w:rPr>
          <w:rFonts w:eastAsia="Times New Roman" w:cs="Times New Roman"/>
          <w:lang w:eastAsia="de-DE"/>
        </w:rPr>
        <w:t>StB</w:t>
      </w:r>
      <w:proofErr w:type="spellEnd"/>
      <w:r w:rsidRPr="00EE2B72">
        <w:rPr>
          <w:rFonts w:eastAsia="Times New Roman" w:cs="Times New Roman"/>
          <w:lang w:eastAsia="de-DE"/>
        </w:rPr>
        <w:t xml:space="preserve"> – (FGSV, Ausgabe 2001)</w:t>
      </w:r>
    </w:p>
    <w:p w14:paraId="7EA60BF9" w14:textId="77777777" w:rsidR="00EE2B72" w:rsidRPr="00EE2B72" w:rsidRDefault="00EE2B72" w:rsidP="00EE2B72">
      <w:pPr>
        <w:jc w:val="left"/>
        <w:rPr>
          <w:rFonts w:eastAsia="Times New Roman" w:cs="Times New Roman"/>
          <w:lang w:eastAsia="de-DE"/>
        </w:rPr>
      </w:pPr>
      <w:proofErr w:type="spellStart"/>
      <w:r w:rsidRPr="00EE2B72">
        <w:rPr>
          <w:rFonts w:eastAsia="Times New Roman" w:cs="Times New Roman"/>
          <w:lang w:eastAsia="de-DE"/>
        </w:rPr>
        <w:t>ToB</w:t>
      </w:r>
      <w:proofErr w:type="spellEnd"/>
      <w:r w:rsidRPr="00EE2B72">
        <w:rPr>
          <w:rFonts w:eastAsia="Times New Roman" w:cs="Times New Roman"/>
          <w:lang w:eastAsia="de-DE"/>
        </w:rPr>
        <w:t xml:space="preserve"> </w:t>
      </w:r>
      <w:r w:rsidRPr="00EE2B72">
        <w:rPr>
          <w:rFonts w:eastAsia="Times New Roman" w:cs="Times New Roman"/>
          <w:lang w:eastAsia="de-DE"/>
        </w:rPr>
        <w:tab/>
        <w:t>Tragschicht ohne Bindemittel</w:t>
      </w:r>
    </w:p>
    <w:p w14:paraId="4326440C"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K</w:t>
      </w:r>
      <w:r w:rsidRPr="00EE2B72">
        <w:rPr>
          <w:rFonts w:eastAsia="Times New Roman" w:cs="Times New Roman"/>
          <w:lang w:eastAsia="de-DE"/>
        </w:rPr>
        <w:tab/>
        <w:t>zugelassen bei Ausbildung der Bodenabdeckung als Dränschicht (</w:t>
      </w:r>
      <w:proofErr w:type="spellStart"/>
      <w:r w:rsidRPr="00EE2B72">
        <w:rPr>
          <w:rFonts w:eastAsia="Times New Roman" w:cs="Times New Roman"/>
          <w:lang w:eastAsia="de-DE"/>
        </w:rPr>
        <w:t>Kapillarsperreneffekt</w:t>
      </w:r>
      <w:proofErr w:type="spellEnd"/>
      <w:r w:rsidRPr="00EE2B72">
        <w:rPr>
          <w:rFonts w:eastAsia="Times New Roman" w:cs="Times New Roman"/>
          <w:lang w:eastAsia="de-DE"/>
        </w:rPr>
        <w:t>) nach den „Richtlinien für die Anlage von Straßen, Teil: Entwässerung - RAS-</w:t>
      </w:r>
      <w:proofErr w:type="spellStart"/>
      <w:r w:rsidRPr="00EE2B72">
        <w:rPr>
          <w:rFonts w:eastAsia="Times New Roman" w:cs="Times New Roman"/>
          <w:lang w:eastAsia="de-DE"/>
        </w:rPr>
        <w:t>Ew</w:t>
      </w:r>
      <w:proofErr w:type="spellEnd"/>
      <w:r w:rsidRPr="00EE2B72">
        <w:rPr>
          <w:rFonts w:eastAsia="Times New Roman" w:cs="Times New Roman"/>
          <w:lang w:eastAsia="de-DE"/>
        </w:rPr>
        <w:t>“ (FGSV, Ausgabe 2005) oder in analoger Ausführung zur Bauweise E MTSE</w:t>
      </w:r>
    </w:p>
    <w:p w14:paraId="2E0D4C1D"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M</w:t>
      </w:r>
      <w:r w:rsidRPr="00EE2B72">
        <w:rPr>
          <w:rFonts w:eastAsia="Times New Roman" w:cs="Times New Roman"/>
          <w:lang w:eastAsia="de-DE"/>
        </w:rPr>
        <w:tab/>
        <w:t>zugelassen bei Ausbildung der Bodenabdeckung als Dränschicht (</w:t>
      </w:r>
      <w:proofErr w:type="spellStart"/>
      <w:r w:rsidRPr="00EE2B72">
        <w:rPr>
          <w:rFonts w:eastAsia="Times New Roman" w:cs="Times New Roman"/>
          <w:lang w:eastAsia="de-DE"/>
        </w:rPr>
        <w:t>Kapillarsperreneffekt</w:t>
      </w:r>
      <w:proofErr w:type="spellEnd"/>
      <w:r w:rsidRPr="00EE2B72">
        <w:rPr>
          <w:rFonts w:eastAsia="Times New Roman" w:cs="Times New Roman"/>
          <w:lang w:eastAsia="de-DE"/>
        </w:rPr>
        <w:t>)</w:t>
      </w:r>
    </w:p>
    <w:p w14:paraId="4F2DC083"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w:t>
      </w:r>
      <w:r w:rsidRPr="00EE2B72">
        <w:rPr>
          <w:rFonts w:eastAsia="Times New Roman" w:cs="Times New Roman"/>
          <w:lang w:eastAsia="de-DE"/>
        </w:rPr>
        <w:tab/>
        <w:t>nicht relevant</w:t>
      </w:r>
    </w:p>
    <w:p w14:paraId="293F4279"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w:t>
      </w:r>
      <w:r w:rsidRPr="00EE2B72">
        <w:rPr>
          <w:rFonts w:eastAsia="Times New Roman" w:cs="Times New Roman"/>
          <w:lang w:eastAsia="de-DE"/>
        </w:rPr>
        <w:tab/>
        <w:t>Einbau zulässig</w:t>
      </w:r>
    </w:p>
    <w:p w14:paraId="7AE5F079"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w:t>
      </w:r>
      <w:r w:rsidRPr="00EE2B72">
        <w:rPr>
          <w:rFonts w:eastAsia="Times New Roman" w:cs="Times New Roman"/>
          <w:lang w:eastAsia="de-DE"/>
        </w:rPr>
        <w:tab/>
        <w:t>Einbau unzulässig</w:t>
      </w:r>
    </w:p>
    <w:p w14:paraId="62474DF6"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Werden bestimmte Einbauweisen mit mehreren Buchstaben gekennzeichnet, so gelten die Anforderungen kumulativ.</w:t>
      </w:r>
    </w:p>
    <w:p w14:paraId="6486C7E2"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WSG III A</w:t>
      </w:r>
      <w:r w:rsidRPr="00EE2B72">
        <w:rPr>
          <w:rFonts w:eastAsia="Times New Roman" w:cs="Times New Roman"/>
          <w:lang w:eastAsia="de-DE"/>
        </w:rPr>
        <w:tab/>
        <w:t xml:space="preserve">Wasserschutzgebiet Zone III A </w:t>
      </w:r>
    </w:p>
    <w:p w14:paraId="21AF0A10"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WSG III B</w:t>
      </w:r>
      <w:r w:rsidRPr="00EE2B72">
        <w:rPr>
          <w:rFonts w:eastAsia="Times New Roman" w:cs="Times New Roman"/>
          <w:lang w:eastAsia="de-DE"/>
        </w:rPr>
        <w:tab/>
        <w:t>Wasserschutzgebiet Zone III B</w:t>
      </w:r>
    </w:p>
    <w:p w14:paraId="5321BCF0"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HSG III</w:t>
      </w:r>
      <w:r w:rsidRPr="00EE2B72">
        <w:rPr>
          <w:rFonts w:eastAsia="Times New Roman" w:cs="Times New Roman"/>
          <w:lang w:eastAsia="de-DE"/>
        </w:rPr>
        <w:tab/>
        <w:t xml:space="preserve">Heilquellenschutzgebiet der Zone III </w:t>
      </w:r>
    </w:p>
    <w:p w14:paraId="505A14B5"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HSG IV</w:t>
      </w:r>
      <w:r w:rsidRPr="00EE2B72">
        <w:rPr>
          <w:rFonts w:eastAsia="Times New Roman" w:cs="Times New Roman"/>
          <w:lang w:eastAsia="de-DE"/>
        </w:rPr>
        <w:tab/>
        <w:t xml:space="preserve">Heilquellenschutzgebiet der Zone IV </w:t>
      </w:r>
    </w:p>
    <w:p w14:paraId="2AD95592"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Die Bauweisen A-D und die Bauweise E beziehen sich auf das „Merkblatt über Bauweisen für technische Sicherungsmaßnahmen beim Einsatz von Böden und Baustoffen mit umweltrelevanten Inhaltsstoffen im Erdbau“ - M TS E (FGSV, Ausgabe 2017).</w:t>
      </w:r>
    </w:p>
    <w:p w14:paraId="6EB49881"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Fußnotenregelungen</w:t>
      </w:r>
    </w:p>
    <w:p w14:paraId="214B7E3B" w14:textId="77777777" w:rsidR="00EE2B72" w:rsidRPr="00EE2B72" w:rsidRDefault="00EE2B72" w:rsidP="00EE2B72">
      <w:pPr>
        <w:jc w:val="left"/>
        <w:rPr>
          <w:rFonts w:eastAsia="Times New Roman" w:cs="Times New Roman"/>
          <w:lang w:eastAsia="de-DE"/>
        </w:rPr>
      </w:pPr>
      <w:r w:rsidRPr="00EE2B72">
        <w:rPr>
          <w:rFonts w:eastAsia="Times New Roman" w:cs="Times New Roman"/>
          <w:lang w:eastAsia="de-DE"/>
        </w:rPr>
        <w:t xml:space="preserve">Mit Fußnoten werden zusätzlich zu den Materialwerten der Anlage 1 einzelne Konzentrationswerte festgelegt, für die sich weitere Einsatzmöglichkeiten von mineralischen Ersatzbaustoffen ergeben. Mineralische Ersatzbaustoffe, die sowohl die Materialwerte aus Anlage 1 als auch die in den Fußnoten festgelegten Konzentrationswerte einhalten, sind in den mit Fußnoten gekennzeichneten Bauweisen der Einbautabellen, ggf. mit zusätzlichen Einschränkungen, zulässig. </w:t>
      </w:r>
    </w:p>
    <w:p w14:paraId="68367087" w14:textId="166936FA" w:rsidR="00EE2B72" w:rsidRPr="00EE2B72" w:rsidRDefault="00EE2B72" w:rsidP="00EE2B72">
      <w:pPr>
        <w:jc w:val="left"/>
        <w:rPr>
          <w:rFonts w:eastAsia="Times New Roman" w:cs="Times New Roman"/>
          <w:lang w:eastAsia="de-DE"/>
        </w:rPr>
      </w:pPr>
      <w:r w:rsidRPr="00EE2B72">
        <w:rPr>
          <w:rFonts w:eastAsia="Times New Roman" w:cs="Times New Roman"/>
          <w:lang w:eastAsia="de-DE"/>
        </w:rPr>
        <w:t>Einzelne Fußnoten bezeichnen Einschränkungen der Einsatzmöglichkeiten.</w:t>
      </w:r>
      <w:r w:rsidRPr="00EE2B72">
        <w:rPr>
          <w:rFonts w:eastAsia="Times New Roman" w:cs="Times New Roman"/>
          <w:lang w:eastAsia="de-DE"/>
        </w:rPr>
        <w:br w:type="page"/>
      </w:r>
    </w:p>
    <w:p w14:paraId="0B87D5BF" w14:textId="77777777" w:rsidR="00EE2B72" w:rsidRPr="00EE2B72" w:rsidRDefault="00EE2B72" w:rsidP="00EE2B72">
      <w:pPr>
        <w:tabs>
          <w:tab w:val="right" w:leader="dot" w:pos="8779"/>
        </w:tabs>
        <w:spacing w:after="0"/>
      </w:pPr>
      <w:r w:rsidRPr="00EE2B72">
        <w:lastRenderedPageBreak/>
        <w:t>Tabellenverzeichnis:</w:t>
      </w:r>
    </w:p>
    <w:p w14:paraId="751FA6AC" w14:textId="77777777" w:rsidR="00EE2B72" w:rsidRPr="00EE2B72" w:rsidRDefault="00EE2B72" w:rsidP="00EE2B72">
      <w:pPr>
        <w:tabs>
          <w:tab w:val="right" w:leader="dot" w:pos="8779"/>
        </w:tabs>
        <w:spacing w:after="0"/>
        <w:rPr>
          <w:noProof/>
        </w:rPr>
      </w:pPr>
      <w:r w:rsidRPr="00EE2B72">
        <w:fldChar w:fldCharType="begin"/>
      </w:r>
      <w:r w:rsidRPr="00EE2B72">
        <w:instrText xml:space="preserve"> TOC \h \z \c "Tabelle" </w:instrText>
      </w:r>
      <w:r w:rsidRPr="00EE2B72">
        <w:fldChar w:fldCharType="separate"/>
      </w:r>
      <w:hyperlink w:anchor="_Toc30749690" w:history="1">
        <w:r w:rsidRPr="00EE2B72">
          <w:rPr>
            <w:noProof/>
          </w:rPr>
          <w:t>Tabelle 1: Recycling-Baustoff der Klasse 1 (RC-1)</w:t>
        </w:r>
        <w:r w:rsidRPr="00EE2B72">
          <w:rPr>
            <w:noProof/>
            <w:webHidden/>
          </w:rPr>
          <w:tab/>
        </w:r>
        <w:r w:rsidRPr="00EE2B72">
          <w:rPr>
            <w:noProof/>
            <w:webHidden/>
          </w:rPr>
          <w:fldChar w:fldCharType="begin"/>
        </w:r>
        <w:r w:rsidRPr="00EE2B72">
          <w:rPr>
            <w:noProof/>
            <w:webHidden/>
          </w:rPr>
          <w:instrText xml:space="preserve"> PAGEREF _Toc30749690 \h </w:instrText>
        </w:r>
        <w:r w:rsidRPr="00EE2B72">
          <w:rPr>
            <w:noProof/>
            <w:webHidden/>
          </w:rPr>
        </w:r>
        <w:r w:rsidRPr="00EE2B72">
          <w:rPr>
            <w:noProof/>
            <w:webHidden/>
          </w:rPr>
          <w:fldChar w:fldCharType="separate"/>
        </w:r>
        <w:r w:rsidRPr="00EE2B72">
          <w:rPr>
            <w:noProof/>
            <w:webHidden/>
          </w:rPr>
          <w:t>37</w:t>
        </w:r>
        <w:r w:rsidRPr="00EE2B72">
          <w:rPr>
            <w:noProof/>
            <w:webHidden/>
          </w:rPr>
          <w:fldChar w:fldCharType="end"/>
        </w:r>
      </w:hyperlink>
    </w:p>
    <w:p w14:paraId="5A4A0DB8" w14:textId="77777777" w:rsidR="00EE2B72" w:rsidRPr="00EE2B72" w:rsidRDefault="00D27887" w:rsidP="00EE2B72">
      <w:pPr>
        <w:tabs>
          <w:tab w:val="right" w:leader="dot" w:pos="8779"/>
        </w:tabs>
        <w:spacing w:after="0"/>
        <w:rPr>
          <w:noProof/>
        </w:rPr>
      </w:pPr>
      <w:hyperlink w:anchor="_Toc30749691" w:history="1">
        <w:r w:rsidR="00EE2B72" w:rsidRPr="00EE2B72">
          <w:rPr>
            <w:noProof/>
          </w:rPr>
          <w:t>Tabelle 2: Recycling-Baustoff der Klasse 2 (RC-2)</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_Toc30749691 \h </w:instrText>
        </w:r>
        <w:r w:rsidR="00EE2B72" w:rsidRPr="00EE2B72">
          <w:rPr>
            <w:noProof/>
            <w:webHidden/>
          </w:rPr>
        </w:r>
        <w:r w:rsidR="00EE2B72" w:rsidRPr="00EE2B72">
          <w:rPr>
            <w:noProof/>
            <w:webHidden/>
          </w:rPr>
          <w:fldChar w:fldCharType="separate"/>
        </w:r>
        <w:r w:rsidR="00EE2B72" w:rsidRPr="00EE2B72">
          <w:rPr>
            <w:noProof/>
            <w:webHidden/>
          </w:rPr>
          <w:t>38</w:t>
        </w:r>
        <w:r w:rsidR="00EE2B72" w:rsidRPr="00EE2B72">
          <w:rPr>
            <w:noProof/>
            <w:webHidden/>
          </w:rPr>
          <w:fldChar w:fldCharType="end"/>
        </w:r>
      </w:hyperlink>
    </w:p>
    <w:p w14:paraId="65FD21C9" w14:textId="77777777" w:rsidR="00EE2B72" w:rsidRPr="00EE2B72" w:rsidRDefault="00D27887" w:rsidP="00EE2B72">
      <w:pPr>
        <w:tabs>
          <w:tab w:val="right" w:leader="dot" w:pos="8779"/>
        </w:tabs>
        <w:spacing w:after="0"/>
        <w:rPr>
          <w:noProof/>
        </w:rPr>
      </w:pPr>
      <w:hyperlink w:anchor="_Toc30749692" w:history="1">
        <w:r w:rsidR="00EE2B72" w:rsidRPr="00EE2B72">
          <w:rPr>
            <w:noProof/>
          </w:rPr>
          <w:t>Tabelle 3: Recycling-Baustoff der Klasse 3 (RC-3)</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_Toc30749692 \h </w:instrText>
        </w:r>
        <w:r w:rsidR="00EE2B72" w:rsidRPr="00EE2B72">
          <w:rPr>
            <w:noProof/>
            <w:webHidden/>
          </w:rPr>
        </w:r>
        <w:r w:rsidR="00EE2B72" w:rsidRPr="00EE2B72">
          <w:rPr>
            <w:noProof/>
            <w:webHidden/>
          </w:rPr>
          <w:fldChar w:fldCharType="separate"/>
        </w:r>
        <w:r w:rsidR="00EE2B72" w:rsidRPr="00EE2B72">
          <w:rPr>
            <w:noProof/>
            <w:webHidden/>
          </w:rPr>
          <w:t>39</w:t>
        </w:r>
        <w:r w:rsidR="00EE2B72" w:rsidRPr="00EE2B72">
          <w:rPr>
            <w:noProof/>
            <w:webHidden/>
          </w:rPr>
          <w:fldChar w:fldCharType="end"/>
        </w:r>
      </w:hyperlink>
    </w:p>
    <w:p w14:paraId="3B0602F9" w14:textId="77777777" w:rsidR="00EE2B72" w:rsidRPr="00EE2B72" w:rsidRDefault="00D27887" w:rsidP="00EE2B72">
      <w:pPr>
        <w:tabs>
          <w:tab w:val="right" w:leader="dot" w:pos="8779"/>
        </w:tabs>
        <w:spacing w:after="0"/>
        <w:rPr>
          <w:noProof/>
        </w:rPr>
      </w:pPr>
      <w:hyperlink w:anchor="_Toc30749693" w:history="1">
        <w:r w:rsidR="00EE2B72" w:rsidRPr="00EE2B72">
          <w:rPr>
            <w:noProof/>
          </w:rPr>
          <w:t>Tabelle 4: Ziegelmaterial (ZM)</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_Toc30749693 \h </w:instrText>
        </w:r>
        <w:r w:rsidR="00EE2B72" w:rsidRPr="00EE2B72">
          <w:rPr>
            <w:noProof/>
            <w:webHidden/>
          </w:rPr>
        </w:r>
        <w:r w:rsidR="00EE2B72" w:rsidRPr="00EE2B72">
          <w:rPr>
            <w:noProof/>
            <w:webHidden/>
          </w:rPr>
          <w:fldChar w:fldCharType="separate"/>
        </w:r>
        <w:r w:rsidR="00EE2B72" w:rsidRPr="00EE2B72">
          <w:rPr>
            <w:noProof/>
            <w:webHidden/>
          </w:rPr>
          <w:t>40</w:t>
        </w:r>
        <w:r w:rsidR="00EE2B72" w:rsidRPr="00EE2B72">
          <w:rPr>
            <w:noProof/>
            <w:webHidden/>
          </w:rPr>
          <w:fldChar w:fldCharType="end"/>
        </w:r>
      </w:hyperlink>
    </w:p>
    <w:p w14:paraId="70ACD3F6" w14:textId="77777777" w:rsidR="00EE2B72" w:rsidRPr="00EE2B72" w:rsidRDefault="00D27887" w:rsidP="00EE2B72">
      <w:pPr>
        <w:tabs>
          <w:tab w:val="right" w:leader="dot" w:pos="8779"/>
        </w:tabs>
        <w:spacing w:after="0"/>
        <w:rPr>
          <w:noProof/>
        </w:rPr>
      </w:pPr>
      <w:hyperlink w:anchor="_Toc30749694" w:history="1">
        <w:r w:rsidR="00EE2B72" w:rsidRPr="00EE2B72">
          <w:rPr>
            <w:noProof/>
          </w:rPr>
          <w:t>Tabelle 5: Bodenmaterial der Klassen 0* (BM-0*), F0* (BM-F0*) Baggergut der Klassen 0* (BG-0*), F0* (BG-F0*)</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_Toc30749694 \h </w:instrText>
        </w:r>
        <w:r w:rsidR="00EE2B72" w:rsidRPr="00EE2B72">
          <w:rPr>
            <w:noProof/>
            <w:webHidden/>
          </w:rPr>
        </w:r>
        <w:r w:rsidR="00EE2B72" w:rsidRPr="00EE2B72">
          <w:rPr>
            <w:noProof/>
            <w:webHidden/>
          </w:rPr>
          <w:fldChar w:fldCharType="separate"/>
        </w:r>
        <w:r w:rsidR="00EE2B72" w:rsidRPr="00EE2B72">
          <w:rPr>
            <w:noProof/>
            <w:webHidden/>
          </w:rPr>
          <w:t>41</w:t>
        </w:r>
        <w:r w:rsidR="00EE2B72" w:rsidRPr="00EE2B72">
          <w:rPr>
            <w:noProof/>
            <w:webHidden/>
          </w:rPr>
          <w:fldChar w:fldCharType="end"/>
        </w:r>
      </w:hyperlink>
    </w:p>
    <w:p w14:paraId="314C657A" w14:textId="77777777" w:rsidR="00EE2B72" w:rsidRPr="00EE2B72" w:rsidRDefault="00D27887" w:rsidP="00EE2B72">
      <w:pPr>
        <w:tabs>
          <w:tab w:val="right" w:leader="dot" w:pos="8779"/>
        </w:tabs>
        <w:spacing w:after="0"/>
        <w:rPr>
          <w:noProof/>
        </w:rPr>
      </w:pPr>
      <w:hyperlink w:anchor="_Toc30749695" w:history="1">
        <w:r w:rsidR="00EE2B72" w:rsidRPr="00EE2B72">
          <w:rPr>
            <w:noProof/>
          </w:rPr>
          <w:t>Tabelle 6: Bodenmaterial der Klasse F1 (BM-F1), Baggergut der Klasse F1 (BG-F1)</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_Toc30749695 \h </w:instrText>
        </w:r>
        <w:r w:rsidR="00EE2B72" w:rsidRPr="00EE2B72">
          <w:rPr>
            <w:noProof/>
            <w:webHidden/>
          </w:rPr>
        </w:r>
        <w:r w:rsidR="00EE2B72" w:rsidRPr="00EE2B72">
          <w:rPr>
            <w:noProof/>
            <w:webHidden/>
          </w:rPr>
          <w:fldChar w:fldCharType="separate"/>
        </w:r>
        <w:r w:rsidR="00EE2B72" w:rsidRPr="00EE2B72">
          <w:rPr>
            <w:noProof/>
            <w:webHidden/>
          </w:rPr>
          <w:t>42</w:t>
        </w:r>
        <w:r w:rsidR="00EE2B72" w:rsidRPr="00EE2B72">
          <w:rPr>
            <w:noProof/>
            <w:webHidden/>
          </w:rPr>
          <w:fldChar w:fldCharType="end"/>
        </w:r>
      </w:hyperlink>
    </w:p>
    <w:p w14:paraId="5ADDBC61" w14:textId="77777777" w:rsidR="00EE2B72" w:rsidRPr="00EE2B72" w:rsidRDefault="00D27887" w:rsidP="00EE2B72">
      <w:pPr>
        <w:tabs>
          <w:tab w:val="right" w:leader="dot" w:pos="8779"/>
        </w:tabs>
        <w:spacing w:after="0"/>
        <w:rPr>
          <w:noProof/>
        </w:rPr>
      </w:pPr>
      <w:hyperlink w:anchor="_Toc30749696" w:history="1">
        <w:r w:rsidR="00EE2B72" w:rsidRPr="00EE2B72">
          <w:rPr>
            <w:noProof/>
          </w:rPr>
          <w:t>Tabelle 7: Bodenmaterial der Klasse F2 (BM-F2), Baggergut der Klasse F2 (BG-F2)</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_Toc30749696 \h </w:instrText>
        </w:r>
        <w:r w:rsidR="00EE2B72" w:rsidRPr="00EE2B72">
          <w:rPr>
            <w:noProof/>
            <w:webHidden/>
          </w:rPr>
        </w:r>
        <w:r w:rsidR="00EE2B72" w:rsidRPr="00EE2B72">
          <w:rPr>
            <w:noProof/>
            <w:webHidden/>
          </w:rPr>
          <w:fldChar w:fldCharType="separate"/>
        </w:r>
        <w:r w:rsidR="00EE2B72" w:rsidRPr="00EE2B72">
          <w:rPr>
            <w:noProof/>
            <w:webHidden/>
          </w:rPr>
          <w:t>43</w:t>
        </w:r>
        <w:r w:rsidR="00EE2B72" w:rsidRPr="00EE2B72">
          <w:rPr>
            <w:noProof/>
            <w:webHidden/>
          </w:rPr>
          <w:fldChar w:fldCharType="end"/>
        </w:r>
      </w:hyperlink>
    </w:p>
    <w:p w14:paraId="0790C4E3" w14:textId="77777777" w:rsidR="00EE2B72" w:rsidRPr="00EE2B72" w:rsidRDefault="00D27887" w:rsidP="00EE2B72">
      <w:pPr>
        <w:tabs>
          <w:tab w:val="right" w:leader="dot" w:pos="8779"/>
        </w:tabs>
        <w:spacing w:after="0"/>
        <w:rPr>
          <w:noProof/>
        </w:rPr>
      </w:pPr>
      <w:hyperlink w:anchor="_Toc30749697" w:history="1">
        <w:r w:rsidR="00EE2B72" w:rsidRPr="00EE2B72">
          <w:rPr>
            <w:noProof/>
          </w:rPr>
          <w:t>Tabelle 8: Bodenmaterial der Klasse F3 (BM-F3), Baggergut der Klasse F3 (BG-3)</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_Toc30749697 \h </w:instrText>
        </w:r>
        <w:r w:rsidR="00EE2B72" w:rsidRPr="00EE2B72">
          <w:rPr>
            <w:noProof/>
            <w:webHidden/>
          </w:rPr>
        </w:r>
        <w:r w:rsidR="00EE2B72" w:rsidRPr="00EE2B72">
          <w:rPr>
            <w:noProof/>
            <w:webHidden/>
          </w:rPr>
          <w:fldChar w:fldCharType="separate"/>
        </w:r>
        <w:r w:rsidR="00EE2B72" w:rsidRPr="00EE2B72">
          <w:rPr>
            <w:noProof/>
            <w:webHidden/>
          </w:rPr>
          <w:t>44</w:t>
        </w:r>
        <w:r w:rsidR="00EE2B72" w:rsidRPr="00EE2B72">
          <w:rPr>
            <w:noProof/>
            <w:webHidden/>
          </w:rPr>
          <w:fldChar w:fldCharType="end"/>
        </w:r>
      </w:hyperlink>
    </w:p>
    <w:p w14:paraId="57DDDE4D" w14:textId="77777777" w:rsidR="00EE2B72" w:rsidRPr="00EE2B72" w:rsidRDefault="00D27887" w:rsidP="00EE2B72">
      <w:pPr>
        <w:tabs>
          <w:tab w:val="right" w:leader="dot" w:pos="8779"/>
        </w:tabs>
        <w:spacing w:after="0"/>
        <w:rPr>
          <w:noProof/>
        </w:rPr>
      </w:pPr>
      <w:hyperlink w:anchor="_Toc30749698" w:history="1">
        <w:r w:rsidR="00EE2B72" w:rsidRPr="00EE2B72">
          <w:rPr>
            <w:noProof/>
          </w:rPr>
          <w:t>Tabelle 9: Gleisschotter der Klasse 0 (GS-0)</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_Toc30749698 \h </w:instrText>
        </w:r>
        <w:r w:rsidR="00EE2B72" w:rsidRPr="00EE2B72">
          <w:rPr>
            <w:noProof/>
            <w:webHidden/>
          </w:rPr>
        </w:r>
        <w:r w:rsidR="00EE2B72" w:rsidRPr="00EE2B72">
          <w:rPr>
            <w:noProof/>
            <w:webHidden/>
          </w:rPr>
          <w:fldChar w:fldCharType="separate"/>
        </w:r>
        <w:r w:rsidR="00EE2B72" w:rsidRPr="00EE2B72">
          <w:rPr>
            <w:noProof/>
            <w:webHidden/>
          </w:rPr>
          <w:t>45</w:t>
        </w:r>
        <w:r w:rsidR="00EE2B72" w:rsidRPr="00EE2B72">
          <w:rPr>
            <w:noProof/>
            <w:webHidden/>
          </w:rPr>
          <w:fldChar w:fldCharType="end"/>
        </w:r>
      </w:hyperlink>
    </w:p>
    <w:p w14:paraId="75A625C2" w14:textId="77777777" w:rsidR="00EE2B72" w:rsidRPr="00EE2B72" w:rsidRDefault="00D27887" w:rsidP="00EE2B72">
      <w:pPr>
        <w:tabs>
          <w:tab w:val="right" w:leader="dot" w:pos="8779"/>
        </w:tabs>
        <w:spacing w:after="0"/>
        <w:rPr>
          <w:noProof/>
        </w:rPr>
      </w:pPr>
      <w:hyperlink w:anchor="_Toc30749699" w:history="1">
        <w:r w:rsidR="00EE2B72" w:rsidRPr="00EE2B72">
          <w:rPr>
            <w:noProof/>
          </w:rPr>
          <w:t>Tabelle 10: Gleisschotter der Klasse 1 (GS-1)</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_Toc30749699 \h </w:instrText>
        </w:r>
        <w:r w:rsidR="00EE2B72" w:rsidRPr="00EE2B72">
          <w:rPr>
            <w:noProof/>
            <w:webHidden/>
          </w:rPr>
        </w:r>
        <w:r w:rsidR="00EE2B72" w:rsidRPr="00EE2B72">
          <w:rPr>
            <w:noProof/>
            <w:webHidden/>
          </w:rPr>
          <w:fldChar w:fldCharType="separate"/>
        </w:r>
        <w:r w:rsidR="00EE2B72" w:rsidRPr="00EE2B72">
          <w:rPr>
            <w:noProof/>
            <w:webHidden/>
          </w:rPr>
          <w:t>46</w:t>
        </w:r>
        <w:r w:rsidR="00EE2B72" w:rsidRPr="00EE2B72">
          <w:rPr>
            <w:noProof/>
            <w:webHidden/>
          </w:rPr>
          <w:fldChar w:fldCharType="end"/>
        </w:r>
      </w:hyperlink>
    </w:p>
    <w:p w14:paraId="02037200" w14:textId="77777777" w:rsidR="00EE2B72" w:rsidRPr="00EE2B72" w:rsidRDefault="00D27887" w:rsidP="00EE2B72">
      <w:pPr>
        <w:tabs>
          <w:tab w:val="right" w:leader="dot" w:pos="8779"/>
        </w:tabs>
        <w:spacing w:after="0"/>
        <w:rPr>
          <w:noProof/>
        </w:rPr>
      </w:pPr>
      <w:hyperlink w:anchor="_Toc30749700" w:history="1">
        <w:r w:rsidR="00EE2B72" w:rsidRPr="00EE2B72">
          <w:rPr>
            <w:noProof/>
          </w:rPr>
          <w:t>Tabelle 11: Gleisschotter der Klasse 2 (GS-2)</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_Toc30749700 \h </w:instrText>
        </w:r>
        <w:r w:rsidR="00EE2B72" w:rsidRPr="00EE2B72">
          <w:rPr>
            <w:noProof/>
            <w:webHidden/>
          </w:rPr>
        </w:r>
        <w:r w:rsidR="00EE2B72" w:rsidRPr="00EE2B72">
          <w:rPr>
            <w:noProof/>
            <w:webHidden/>
          </w:rPr>
          <w:fldChar w:fldCharType="separate"/>
        </w:r>
        <w:r w:rsidR="00EE2B72" w:rsidRPr="00EE2B72">
          <w:rPr>
            <w:noProof/>
            <w:webHidden/>
          </w:rPr>
          <w:t>47</w:t>
        </w:r>
        <w:r w:rsidR="00EE2B72" w:rsidRPr="00EE2B72">
          <w:rPr>
            <w:noProof/>
            <w:webHidden/>
          </w:rPr>
          <w:fldChar w:fldCharType="end"/>
        </w:r>
      </w:hyperlink>
    </w:p>
    <w:p w14:paraId="59391A7A" w14:textId="77777777" w:rsidR="00EE2B72" w:rsidRPr="00EE2B72" w:rsidRDefault="00D27887" w:rsidP="00EE2B72">
      <w:pPr>
        <w:tabs>
          <w:tab w:val="right" w:leader="dot" w:pos="8779"/>
        </w:tabs>
        <w:spacing w:after="0"/>
        <w:rPr>
          <w:noProof/>
        </w:rPr>
      </w:pPr>
      <w:hyperlink w:anchor="_Toc30749701" w:history="1">
        <w:r w:rsidR="00EE2B72" w:rsidRPr="00EE2B72">
          <w:rPr>
            <w:noProof/>
          </w:rPr>
          <w:t>Tabelle 12: Gleisschotter der Klasse 3 (GS-3)</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_Toc30749701 \h </w:instrText>
        </w:r>
        <w:r w:rsidR="00EE2B72" w:rsidRPr="00EE2B72">
          <w:rPr>
            <w:noProof/>
            <w:webHidden/>
          </w:rPr>
        </w:r>
        <w:r w:rsidR="00EE2B72" w:rsidRPr="00EE2B72">
          <w:rPr>
            <w:noProof/>
            <w:webHidden/>
          </w:rPr>
          <w:fldChar w:fldCharType="separate"/>
        </w:r>
        <w:r w:rsidR="00EE2B72" w:rsidRPr="00EE2B72">
          <w:rPr>
            <w:noProof/>
            <w:webHidden/>
          </w:rPr>
          <w:t>48</w:t>
        </w:r>
        <w:r w:rsidR="00EE2B72" w:rsidRPr="00EE2B72">
          <w:rPr>
            <w:noProof/>
            <w:webHidden/>
          </w:rPr>
          <w:fldChar w:fldCharType="end"/>
        </w:r>
      </w:hyperlink>
    </w:p>
    <w:p w14:paraId="7EB9A82A" w14:textId="77777777" w:rsidR="00EE2B72" w:rsidRPr="00EE2B72" w:rsidRDefault="00D27887" w:rsidP="00EE2B72">
      <w:pPr>
        <w:tabs>
          <w:tab w:val="right" w:leader="dot" w:pos="8779"/>
        </w:tabs>
        <w:spacing w:after="0"/>
        <w:rPr>
          <w:noProof/>
        </w:rPr>
      </w:pPr>
      <w:hyperlink w:anchor="_Toc30749702" w:history="1">
        <w:r w:rsidR="00EE2B72" w:rsidRPr="00EE2B72">
          <w:rPr>
            <w:noProof/>
          </w:rPr>
          <w:t>Tabelle 13: Hochofenstückschlacke der Klasse 1 (HOS-1)</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_Toc30749702 \h </w:instrText>
        </w:r>
        <w:r w:rsidR="00EE2B72" w:rsidRPr="00EE2B72">
          <w:rPr>
            <w:noProof/>
            <w:webHidden/>
          </w:rPr>
        </w:r>
        <w:r w:rsidR="00EE2B72" w:rsidRPr="00EE2B72">
          <w:rPr>
            <w:noProof/>
            <w:webHidden/>
          </w:rPr>
          <w:fldChar w:fldCharType="separate"/>
        </w:r>
        <w:r w:rsidR="00EE2B72" w:rsidRPr="00EE2B72">
          <w:rPr>
            <w:noProof/>
            <w:webHidden/>
          </w:rPr>
          <w:t>49</w:t>
        </w:r>
        <w:r w:rsidR="00EE2B72" w:rsidRPr="00EE2B72">
          <w:rPr>
            <w:noProof/>
            <w:webHidden/>
          </w:rPr>
          <w:fldChar w:fldCharType="end"/>
        </w:r>
      </w:hyperlink>
    </w:p>
    <w:p w14:paraId="33754F0A" w14:textId="77777777" w:rsidR="00EE2B72" w:rsidRPr="00EE2B72" w:rsidRDefault="00D27887" w:rsidP="00EE2B72">
      <w:pPr>
        <w:tabs>
          <w:tab w:val="right" w:leader="dot" w:pos="8779"/>
        </w:tabs>
        <w:spacing w:after="0"/>
        <w:rPr>
          <w:noProof/>
        </w:rPr>
      </w:pPr>
      <w:hyperlink w:anchor="_Toc30749703" w:history="1">
        <w:r w:rsidR="00EE2B72" w:rsidRPr="00EE2B72">
          <w:rPr>
            <w:noProof/>
          </w:rPr>
          <w:t>Tabelle 14: Hochofenstückschlacke der Klasse 2 (HOS-2)</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_Toc30749703 \h </w:instrText>
        </w:r>
        <w:r w:rsidR="00EE2B72" w:rsidRPr="00EE2B72">
          <w:rPr>
            <w:noProof/>
            <w:webHidden/>
          </w:rPr>
        </w:r>
        <w:r w:rsidR="00EE2B72" w:rsidRPr="00EE2B72">
          <w:rPr>
            <w:noProof/>
            <w:webHidden/>
          </w:rPr>
          <w:fldChar w:fldCharType="separate"/>
        </w:r>
        <w:r w:rsidR="00EE2B72" w:rsidRPr="00EE2B72">
          <w:rPr>
            <w:noProof/>
            <w:webHidden/>
          </w:rPr>
          <w:t>50</w:t>
        </w:r>
        <w:r w:rsidR="00EE2B72" w:rsidRPr="00EE2B72">
          <w:rPr>
            <w:noProof/>
            <w:webHidden/>
          </w:rPr>
          <w:fldChar w:fldCharType="end"/>
        </w:r>
      </w:hyperlink>
    </w:p>
    <w:p w14:paraId="36660F2C" w14:textId="77777777" w:rsidR="00EE2B72" w:rsidRPr="00EE2B72" w:rsidRDefault="00D27887" w:rsidP="00EE2B72">
      <w:pPr>
        <w:tabs>
          <w:tab w:val="right" w:leader="dot" w:pos="8779"/>
        </w:tabs>
        <w:spacing w:after="0"/>
        <w:rPr>
          <w:noProof/>
        </w:rPr>
      </w:pPr>
      <w:hyperlink w:anchor="_Toc30749704" w:history="1">
        <w:r w:rsidR="00EE2B72" w:rsidRPr="00EE2B72">
          <w:rPr>
            <w:noProof/>
          </w:rPr>
          <w:t>Tabelle 15: Hüttensand (HS)</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_Toc30749704 \h </w:instrText>
        </w:r>
        <w:r w:rsidR="00EE2B72" w:rsidRPr="00EE2B72">
          <w:rPr>
            <w:noProof/>
            <w:webHidden/>
          </w:rPr>
        </w:r>
        <w:r w:rsidR="00EE2B72" w:rsidRPr="00EE2B72">
          <w:rPr>
            <w:noProof/>
            <w:webHidden/>
          </w:rPr>
          <w:fldChar w:fldCharType="separate"/>
        </w:r>
        <w:r w:rsidR="00EE2B72" w:rsidRPr="00EE2B72">
          <w:rPr>
            <w:noProof/>
            <w:webHidden/>
          </w:rPr>
          <w:t>51</w:t>
        </w:r>
        <w:r w:rsidR="00EE2B72" w:rsidRPr="00EE2B72">
          <w:rPr>
            <w:noProof/>
            <w:webHidden/>
          </w:rPr>
          <w:fldChar w:fldCharType="end"/>
        </w:r>
      </w:hyperlink>
    </w:p>
    <w:p w14:paraId="0460CAFA" w14:textId="77777777" w:rsidR="00EE2B72" w:rsidRPr="00EE2B72" w:rsidRDefault="00D27887" w:rsidP="00EE2B72">
      <w:pPr>
        <w:tabs>
          <w:tab w:val="right" w:leader="dot" w:pos="8779"/>
        </w:tabs>
        <w:spacing w:after="0"/>
        <w:rPr>
          <w:noProof/>
        </w:rPr>
      </w:pPr>
      <w:hyperlink w:anchor="_Toc30749705" w:history="1">
        <w:r w:rsidR="00EE2B72" w:rsidRPr="00EE2B72">
          <w:rPr>
            <w:noProof/>
          </w:rPr>
          <w:t>Tabelle 16: Stahlwerksschlacke der Klasse 1 (SWS-1)</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_Toc30749705 \h </w:instrText>
        </w:r>
        <w:r w:rsidR="00EE2B72" w:rsidRPr="00EE2B72">
          <w:rPr>
            <w:noProof/>
            <w:webHidden/>
          </w:rPr>
        </w:r>
        <w:r w:rsidR="00EE2B72" w:rsidRPr="00EE2B72">
          <w:rPr>
            <w:noProof/>
            <w:webHidden/>
          </w:rPr>
          <w:fldChar w:fldCharType="separate"/>
        </w:r>
        <w:r w:rsidR="00EE2B72" w:rsidRPr="00EE2B72">
          <w:rPr>
            <w:noProof/>
            <w:webHidden/>
          </w:rPr>
          <w:t>52</w:t>
        </w:r>
        <w:r w:rsidR="00EE2B72" w:rsidRPr="00EE2B72">
          <w:rPr>
            <w:noProof/>
            <w:webHidden/>
          </w:rPr>
          <w:fldChar w:fldCharType="end"/>
        </w:r>
      </w:hyperlink>
    </w:p>
    <w:p w14:paraId="105790F2" w14:textId="77777777" w:rsidR="00EE2B72" w:rsidRPr="00EE2B72" w:rsidRDefault="00D27887" w:rsidP="00EE2B72">
      <w:pPr>
        <w:tabs>
          <w:tab w:val="right" w:leader="dot" w:pos="8779"/>
        </w:tabs>
        <w:spacing w:after="0"/>
        <w:rPr>
          <w:noProof/>
        </w:rPr>
      </w:pPr>
      <w:hyperlink w:anchor="_Toc30749706" w:history="1">
        <w:r w:rsidR="00EE2B72" w:rsidRPr="00EE2B72">
          <w:rPr>
            <w:noProof/>
          </w:rPr>
          <w:t>Tabelle 17: Stahlwerksschlacke der Klasse 2 (SWS-2)</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_Toc30749706 \h </w:instrText>
        </w:r>
        <w:r w:rsidR="00EE2B72" w:rsidRPr="00EE2B72">
          <w:rPr>
            <w:noProof/>
            <w:webHidden/>
          </w:rPr>
        </w:r>
        <w:r w:rsidR="00EE2B72" w:rsidRPr="00EE2B72">
          <w:rPr>
            <w:noProof/>
            <w:webHidden/>
          </w:rPr>
          <w:fldChar w:fldCharType="separate"/>
        </w:r>
        <w:r w:rsidR="00EE2B72" w:rsidRPr="00EE2B72">
          <w:rPr>
            <w:noProof/>
            <w:webHidden/>
          </w:rPr>
          <w:t>53</w:t>
        </w:r>
        <w:r w:rsidR="00EE2B72" w:rsidRPr="00EE2B72">
          <w:rPr>
            <w:noProof/>
            <w:webHidden/>
          </w:rPr>
          <w:fldChar w:fldCharType="end"/>
        </w:r>
      </w:hyperlink>
    </w:p>
    <w:p w14:paraId="0A604944" w14:textId="77777777" w:rsidR="00EE2B72" w:rsidRPr="00EE2B72" w:rsidRDefault="00D27887" w:rsidP="00EE2B72">
      <w:pPr>
        <w:tabs>
          <w:tab w:val="right" w:leader="dot" w:pos="8779"/>
        </w:tabs>
        <w:spacing w:after="0"/>
        <w:rPr>
          <w:noProof/>
        </w:rPr>
      </w:pPr>
      <w:hyperlink w:anchor="_Toc30749707" w:history="1">
        <w:r w:rsidR="00EE2B72" w:rsidRPr="00EE2B72">
          <w:rPr>
            <w:noProof/>
          </w:rPr>
          <w:t>Tabelle 18: Gießerei-Kupolofenschlacke (GKOS)</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_Toc30749707 \h </w:instrText>
        </w:r>
        <w:r w:rsidR="00EE2B72" w:rsidRPr="00EE2B72">
          <w:rPr>
            <w:noProof/>
            <w:webHidden/>
          </w:rPr>
        </w:r>
        <w:r w:rsidR="00EE2B72" w:rsidRPr="00EE2B72">
          <w:rPr>
            <w:noProof/>
            <w:webHidden/>
          </w:rPr>
          <w:fldChar w:fldCharType="separate"/>
        </w:r>
        <w:r w:rsidR="00EE2B72" w:rsidRPr="00EE2B72">
          <w:rPr>
            <w:noProof/>
            <w:webHidden/>
          </w:rPr>
          <w:t>54</w:t>
        </w:r>
        <w:r w:rsidR="00EE2B72" w:rsidRPr="00EE2B72">
          <w:rPr>
            <w:noProof/>
            <w:webHidden/>
          </w:rPr>
          <w:fldChar w:fldCharType="end"/>
        </w:r>
      </w:hyperlink>
    </w:p>
    <w:p w14:paraId="2AE775C5" w14:textId="77777777" w:rsidR="00EE2B72" w:rsidRPr="00EE2B72" w:rsidRDefault="00D27887" w:rsidP="00EE2B72">
      <w:pPr>
        <w:tabs>
          <w:tab w:val="right" w:leader="dot" w:pos="8779"/>
        </w:tabs>
        <w:spacing w:after="0"/>
        <w:rPr>
          <w:noProof/>
        </w:rPr>
      </w:pPr>
      <w:hyperlink w:anchor="_Toc30749708" w:history="1">
        <w:r w:rsidR="00EE2B72" w:rsidRPr="00EE2B72">
          <w:rPr>
            <w:noProof/>
          </w:rPr>
          <w:t>Tabelle 19: Kupferhüttenmaterial der Klasse 1 (CUM-1)</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_Toc30749708 \h </w:instrText>
        </w:r>
        <w:r w:rsidR="00EE2B72" w:rsidRPr="00EE2B72">
          <w:rPr>
            <w:noProof/>
            <w:webHidden/>
          </w:rPr>
        </w:r>
        <w:r w:rsidR="00EE2B72" w:rsidRPr="00EE2B72">
          <w:rPr>
            <w:noProof/>
            <w:webHidden/>
          </w:rPr>
          <w:fldChar w:fldCharType="separate"/>
        </w:r>
        <w:r w:rsidR="00EE2B72" w:rsidRPr="00EE2B72">
          <w:rPr>
            <w:noProof/>
            <w:webHidden/>
          </w:rPr>
          <w:t>55</w:t>
        </w:r>
        <w:r w:rsidR="00EE2B72" w:rsidRPr="00EE2B72">
          <w:rPr>
            <w:noProof/>
            <w:webHidden/>
          </w:rPr>
          <w:fldChar w:fldCharType="end"/>
        </w:r>
      </w:hyperlink>
    </w:p>
    <w:p w14:paraId="0C9DC5A9" w14:textId="77777777" w:rsidR="00EE2B72" w:rsidRPr="00EE2B72" w:rsidRDefault="00D27887" w:rsidP="00EE2B72">
      <w:pPr>
        <w:tabs>
          <w:tab w:val="right" w:leader="dot" w:pos="8779"/>
        </w:tabs>
        <w:spacing w:after="0"/>
        <w:rPr>
          <w:noProof/>
        </w:rPr>
      </w:pPr>
      <w:hyperlink w:anchor="_Toc30749709" w:history="1">
        <w:r w:rsidR="00EE2B72" w:rsidRPr="00EE2B72">
          <w:rPr>
            <w:noProof/>
          </w:rPr>
          <w:t>Tabelle 20: Kupferhüttenmaterial der Klasse 2 (CUM-2)</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_Toc30749709 \h </w:instrText>
        </w:r>
        <w:r w:rsidR="00EE2B72" w:rsidRPr="00EE2B72">
          <w:rPr>
            <w:noProof/>
            <w:webHidden/>
          </w:rPr>
        </w:r>
        <w:r w:rsidR="00EE2B72" w:rsidRPr="00EE2B72">
          <w:rPr>
            <w:noProof/>
            <w:webHidden/>
          </w:rPr>
          <w:fldChar w:fldCharType="separate"/>
        </w:r>
        <w:r w:rsidR="00EE2B72" w:rsidRPr="00EE2B72">
          <w:rPr>
            <w:noProof/>
            <w:webHidden/>
          </w:rPr>
          <w:t>56</w:t>
        </w:r>
        <w:r w:rsidR="00EE2B72" w:rsidRPr="00EE2B72">
          <w:rPr>
            <w:noProof/>
            <w:webHidden/>
          </w:rPr>
          <w:fldChar w:fldCharType="end"/>
        </w:r>
      </w:hyperlink>
    </w:p>
    <w:p w14:paraId="1BB495A0" w14:textId="77777777" w:rsidR="00EE2B72" w:rsidRPr="00EE2B72" w:rsidRDefault="00D27887" w:rsidP="00EE2B72">
      <w:pPr>
        <w:tabs>
          <w:tab w:val="right" w:leader="dot" w:pos="8779"/>
        </w:tabs>
        <w:spacing w:after="0"/>
        <w:rPr>
          <w:noProof/>
        </w:rPr>
      </w:pPr>
      <w:hyperlink w:anchor="_Toc30749710" w:history="1">
        <w:r w:rsidR="00EE2B72" w:rsidRPr="00EE2B72">
          <w:rPr>
            <w:noProof/>
          </w:rPr>
          <w:t>Tabelle 21: Gießereirestsand (GRS)</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_Toc30749710 \h </w:instrText>
        </w:r>
        <w:r w:rsidR="00EE2B72" w:rsidRPr="00EE2B72">
          <w:rPr>
            <w:noProof/>
            <w:webHidden/>
          </w:rPr>
        </w:r>
        <w:r w:rsidR="00EE2B72" w:rsidRPr="00EE2B72">
          <w:rPr>
            <w:noProof/>
            <w:webHidden/>
          </w:rPr>
          <w:fldChar w:fldCharType="separate"/>
        </w:r>
        <w:r w:rsidR="00EE2B72" w:rsidRPr="00EE2B72">
          <w:rPr>
            <w:noProof/>
            <w:webHidden/>
          </w:rPr>
          <w:t>57</w:t>
        </w:r>
        <w:r w:rsidR="00EE2B72" w:rsidRPr="00EE2B72">
          <w:rPr>
            <w:noProof/>
            <w:webHidden/>
          </w:rPr>
          <w:fldChar w:fldCharType="end"/>
        </w:r>
      </w:hyperlink>
    </w:p>
    <w:p w14:paraId="79DCDB8F" w14:textId="77777777" w:rsidR="00EE2B72" w:rsidRPr="00EE2B72" w:rsidRDefault="00D27887" w:rsidP="00EE2B72">
      <w:pPr>
        <w:tabs>
          <w:tab w:val="right" w:leader="dot" w:pos="8779"/>
        </w:tabs>
        <w:spacing w:after="0"/>
        <w:rPr>
          <w:noProof/>
        </w:rPr>
      </w:pPr>
      <w:hyperlink w:anchor="_Toc30749711" w:history="1">
        <w:r w:rsidR="00EE2B72" w:rsidRPr="00EE2B72">
          <w:rPr>
            <w:noProof/>
          </w:rPr>
          <w:t>Tabelle 22: Schmelzkammergranulat aus der Feuerung von Steinkohle (SKG)</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_Toc30749711 \h </w:instrText>
        </w:r>
        <w:r w:rsidR="00EE2B72" w:rsidRPr="00EE2B72">
          <w:rPr>
            <w:noProof/>
            <w:webHidden/>
          </w:rPr>
        </w:r>
        <w:r w:rsidR="00EE2B72" w:rsidRPr="00EE2B72">
          <w:rPr>
            <w:noProof/>
            <w:webHidden/>
          </w:rPr>
          <w:fldChar w:fldCharType="separate"/>
        </w:r>
        <w:r w:rsidR="00EE2B72" w:rsidRPr="00EE2B72">
          <w:rPr>
            <w:noProof/>
            <w:webHidden/>
          </w:rPr>
          <w:t>58</w:t>
        </w:r>
        <w:r w:rsidR="00EE2B72" w:rsidRPr="00EE2B72">
          <w:rPr>
            <w:noProof/>
            <w:webHidden/>
          </w:rPr>
          <w:fldChar w:fldCharType="end"/>
        </w:r>
      </w:hyperlink>
    </w:p>
    <w:p w14:paraId="28E0053F" w14:textId="77777777" w:rsidR="00EE2B72" w:rsidRPr="00EE2B72" w:rsidRDefault="00D27887" w:rsidP="00EE2B72">
      <w:pPr>
        <w:tabs>
          <w:tab w:val="right" w:leader="dot" w:pos="8779"/>
        </w:tabs>
        <w:spacing w:after="0"/>
        <w:rPr>
          <w:noProof/>
        </w:rPr>
      </w:pPr>
      <w:hyperlink w:anchor="_Toc30749712" w:history="1">
        <w:r w:rsidR="00EE2B72" w:rsidRPr="00EE2B72">
          <w:rPr>
            <w:noProof/>
          </w:rPr>
          <w:t>Tabelle 23: Steinkohlenkesselasche (SKA)</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_Toc30749712 \h </w:instrText>
        </w:r>
        <w:r w:rsidR="00EE2B72" w:rsidRPr="00EE2B72">
          <w:rPr>
            <w:noProof/>
            <w:webHidden/>
          </w:rPr>
        </w:r>
        <w:r w:rsidR="00EE2B72" w:rsidRPr="00EE2B72">
          <w:rPr>
            <w:noProof/>
            <w:webHidden/>
          </w:rPr>
          <w:fldChar w:fldCharType="separate"/>
        </w:r>
        <w:r w:rsidR="00EE2B72" w:rsidRPr="00EE2B72">
          <w:rPr>
            <w:noProof/>
            <w:webHidden/>
          </w:rPr>
          <w:t>59</w:t>
        </w:r>
        <w:r w:rsidR="00EE2B72" w:rsidRPr="00EE2B72">
          <w:rPr>
            <w:noProof/>
            <w:webHidden/>
          </w:rPr>
          <w:fldChar w:fldCharType="end"/>
        </w:r>
      </w:hyperlink>
    </w:p>
    <w:p w14:paraId="353604F3" w14:textId="77777777" w:rsidR="00EE2B72" w:rsidRPr="00EE2B72" w:rsidRDefault="00D27887" w:rsidP="00EE2B72">
      <w:pPr>
        <w:tabs>
          <w:tab w:val="right" w:leader="dot" w:pos="8779"/>
        </w:tabs>
        <w:spacing w:after="0"/>
        <w:rPr>
          <w:noProof/>
        </w:rPr>
      </w:pPr>
      <w:hyperlink w:anchor="_Toc30749713" w:history="1">
        <w:r w:rsidR="00EE2B72" w:rsidRPr="00EE2B72">
          <w:rPr>
            <w:noProof/>
          </w:rPr>
          <w:t>Tabelle 24: Steinkohlenflugasche (SFA)</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_Toc30749713 \h </w:instrText>
        </w:r>
        <w:r w:rsidR="00EE2B72" w:rsidRPr="00EE2B72">
          <w:rPr>
            <w:noProof/>
            <w:webHidden/>
          </w:rPr>
        </w:r>
        <w:r w:rsidR="00EE2B72" w:rsidRPr="00EE2B72">
          <w:rPr>
            <w:noProof/>
            <w:webHidden/>
          </w:rPr>
          <w:fldChar w:fldCharType="separate"/>
        </w:r>
        <w:r w:rsidR="00EE2B72" w:rsidRPr="00EE2B72">
          <w:rPr>
            <w:noProof/>
            <w:webHidden/>
          </w:rPr>
          <w:t>60</w:t>
        </w:r>
        <w:r w:rsidR="00EE2B72" w:rsidRPr="00EE2B72">
          <w:rPr>
            <w:noProof/>
            <w:webHidden/>
          </w:rPr>
          <w:fldChar w:fldCharType="end"/>
        </w:r>
      </w:hyperlink>
    </w:p>
    <w:p w14:paraId="7468A78E" w14:textId="77777777" w:rsidR="00EE2B72" w:rsidRPr="00EE2B72" w:rsidRDefault="00D27887" w:rsidP="00EE2B72">
      <w:pPr>
        <w:tabs>
          <w:tab w:val="right" w:leader="dot" w:pos="8779"/>
        </w:tabs>
        <w:spacing w:after="0"/>
        <w:rPr>
          <w:noProof/>
        </w:rPr>
      </w:pPr>
      <w:hyperlink w:anchor="_Toc30749714" w:history="1">
        <w:r w:rsidR="00EE2B72" w:rsidRPr="00EE2B72">
          <w:rPr>
            <w:noProof/>
          </w:rPr>
          <w:t>Tabelle 25: Braunkohlenflugasche (BFA)</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_Toc30749714 \h </w:instrText>
        </w:r>
        <w:r w:rsidR="00EE2B72" w:rsidRPr="00EE2B72">
          <w:rPr>
            <w:noProof/>
            <w:webHidden/>
          </w:rPr>
        </w:r>
        <w:r w:rsidR="00EE2B72" w:rsidRPr="00EE2B72">
          <w:rPr>
            <w:noProof/>
            <w:webHidden/>
          </w:rPr>
          <w:fldChar w:fldCharType="separate"/>
        </w:r>
        <w:r w:rsidR="00EE2B72" w:rsidRPr="00EE2B72">
          <w:rPr>
            <w:noProof/>
            <w:webHidden/>
          </w:rPr>
          <w:t>61</w:t>
        </w:r>
        <w:r w:rsidR="00EE2B72" w:rsidRPr="00EE2B72">
          <w:rPr>
            <w:noProof/>
            <w:webHidden/>
          </w:rPr>
          <w:fldChar w:fldCharType="end"/>
        </w:r>
      </w:hyperlink>
    </w:p>
    <w:p w14:paraId="6DF0E526" w14:textId="77777777" w:rsidR="00EE2B72" w:rsidRPr="00EE2B72" w:rsidRDefault="00D27887" w:rsidP="00EE2B72">
      <w:pPr>
        <w:tabs>
          <w:tab w:val="right" w:leader="dot" w:pos="8779"/>
        </w:tabs>
        <w:spacing w:after="0"/>
        <w:rPr>
          <w:noProof/>
        </w:rPr>
      </w:pPr>
      <w:hyperlink w:anchor="_Toc30749715" w:history="1">
        <w:r w:rsidR="00EE2B72" w:rsidRPr="00EE2B72">
          <w:rPr>
            <w:noProof/>
          </w:rPr>
          <w:t>Tabelle 26: Hausmüllverbrennungsasche der Klasse 1 (HMVA-1)</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_Toc30749715 \h </w:instrText>
        </w:r>
        <w:r w:rsidR="00EE2B72" w:rsidRPr="00EE2B72">
          <w:rPr>
            <w:noProof/>
            <w:webHidden/>
          </w:rPr>
        </w:r>
        <w:r w:rsidR="00EE2B72" w:rsidRPr="00EE2B72">
          <w:rPr>
            <w:noProof/>
            <w:webHidden/>
          </w:rPr>
          <w:fldChar w:fldCharType="separate"/>
        </w:r>
        <w:r w:rsidR="00EE2B72" w:rsidRPr="00EE2B72">
          <w:rPr>
            <w:noProof/>
            <w:webHidden/>
          </w:rPr>
          <w:t>62</w:t>
        </w:r>
        <w:r w:rsidR="00EE2B72" w:rsidRPr="00EE2B72">
          <w:rPr>
            <w:noProof/>
            <w:webHidden/>
          </w:rPr>
          <w:fldChar w:fldCharType="end"/>
        </w:r>
      </w:hyperlink>
    </w:p>
    <w:p w14:paraId="4D93D8AB" w14:textId="77777777" w:rsidR="00F43C5E" w:rsidRPr="00EE2B72" w:rsidRDefault="00D27887" w:rsidP="00EE2B72">
      <w:pPr>
        <w:tabs>
          <w:tab w:val="right" w:leader="dot" w:pos="8779"/>
        </w:tabs>
        <w:spacing w:after="0"/>
        <w:rPr>
          <w:noProof/>
        </w:rPr>
      </w:pPr>
      <w:hyperlink w:anchor="_Toc30749716" w:history="1">
        <w:r w:rsidR="00EE2B72" w:rsidRPr="00EE2B72">
          <w:rPr>
            <w:noProof/>
          </w:rPr>
          <w:t>Tabelle 27: Hausmüllverbrennungsasche der Klasse 2 (HMVA-2)</w:t>
        </w:r>
        <w:r w:rsidR="00EE2B72" w:rsidRPr="00EE2B72">
          <w:rPr>
            <w:noProof/>
            <w:webHidden/>
          </w:rPr>
          <w:tab/>
        </w:r>
        <w:r w:rsidR="00EE2B72" w:rsidRPr="00EE2B72">
          <w:rPr>
            <w:noProof/>
            <w:webHidden/>
          </w:rPr>
          <w:fldChar w:fldCharType="begin"/>
        </w:r>
        <w:r w:rsidR="00EE2B72" w:rsidRPr="00EE2B72">
          <w:rPr>
            <w:noProof/>
            <w:webHidden/>
          </w:rPr>
          <w:instrText xml:space="preserve"> PAGEREF _Toc30749716 \h </w:instrText>
        </w:r>
        <w:r w:rsidR="00EE2B72" w:rsidRPr="00EE2B72">
          <w:rPr>
            <w:noProof/>
            <w:webHidden/>
          </w:rPr>
        </w:r>
        <w:r w:rsidR="00EE2B72" w:rsidRPr="00EE2B72">
          <w:rPr>
            <w:noProof/>
            <w:webHidden/>
          </w:rPr>
          <w:fldChar w:fldCharType="separate"/>
        </w:r>
        <w:r w:rsidR="00EE2B72" w:rsidRPr="00EE2B72">
          <w:rPr>
            <w:noProof/>
            <w:webHidden/>
          </w:rPr>
          <w:t>63</w:t>
        </w:r>
        <w:r w:rsidR="00EE2B72" w:rsidRPr="00EE2B72">
          <w:rPr>
            <w:noProof/>
            <w:webHidden/>
          </w:rPr>
          <w:fldChar w:fldCharType="end"/>
        </w:r>
      </w:hyperlink>
    </w:p>
    <w:p w14:paraId="3BEBE752" w14:textId="77777777" w:rsidR="00F43C5E" w:rsidRDefault="00EE2B72" w:rsidP="00EE2B72">
      <w:pPr>
        <w:jc w:val="left"/>
        <w:rPr>
          <w:rFonts w:ascii="Century" w:eastAsia="Times New Roman" w:hAnsi="Century" w:cs="Times New Roman"/>
          <w:sz w:val="24"/>
          <w:szCs w:val="20"/>
          <w:lang w:eastAsia="de-DE"/>
        </w:rPr>
      </w:pPr>
      <w:r w:rsidRPr="00EE2B72">
        <w:rPr>
          <w:rFonts w:ascii="Century" w:eastAsia="Times New Roman" w:hAnsi="Century" w:cs="Times New Roman"/>
          <w:sz w:val="24"/>
          <w:szCs w:val="20"/>
          <w:lang w:eastAsia="de-DE"/>
        </w:rPr>
        <w:fldChar w:fldCharType="end"/>
      </w:r>
    </w:p>
    <w:p w14:paraId="3D33688C" w14:textId="58EAD45B" w:rsidR="00F43C5E" w:rsidRPr="008D0377" w:rsidRDefault="00F43C5E" w:rsidP="00F43C5E">
      <w:pPr>
        <w:pStyle w:val="berschrift1"/>
      </w:pPr>
      <w:r>
        <w:rPr>
          <w:lang w:eastAsia="de-DE"/>
        </w:rPr>
        <w:br w:type="page"/>
      </w:r>
      <w:r w:rsidRPr="008D0377">
        <w:lastRenderedPageBreak/>
        <w:t>Tabelle 1: Recycling-Baustoff der Klasse 1 (RC-1)</w:t>
      </w:r>
    </w:p>
    <w:p w14:paraId="783EA89C" w14:textId="77777777" w:rsidR="000D49B1" w:rsidRDefault="000D49B1" w:rsidP="000D49B1">
      <w:pPr>
        <w:pStyle w:val="Text"/>
      </w:pPr>
    </w:p>
    <w:tbl>
      <w:tblPr>
        <w:tblW w:w="11042" w:type="dxa"/>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607"/>
        <w:gridCol w:w="715"/>
        <w:gridCol w:w="500"/>
        <w:gridCol w:w="715"/>
        <w:gridCol w:w="542"/>
        <w:gridCol w:w="715"/>
      </w:tblGrid>
      <w:tr w:rsidR="000D49B1" w:rsidRPr="000D49B1" w14:paraId="31C3D335" w14:textId="77777777" w:rsidTr="000D49B1">
        <w:trPr>
          <w:trHeight w:val="330"/>
        </w:trPr>
        <w:tc>
          <w:tcPr>
            <w:tcW w:w="11042" w:type="dxa"/>
            <w:gridSpan w:val="11"/>
            <w:noWrap/>
            <w:vAlign w:val="bottom"/>
          </w:tcPr>
          <w:p w14:paraId="16D75C24" w14:textId="77777777" w:rsidR="000D49B1" w:rsidRPr="000D49B1" w:rsidRDefault="000D49B1" w:rsidP="000D49B1">
            <w:pPr>
              <w:spacing w:before="0" w:after="0"/>
              <w:jc w:val="center"/>
              <w:rPr>
                <w:rFonts w:ascii="Times New Roman" w:eastAsia="Times New Roman" w:hAnsi="Times New Roman" w:cs="Times New Roman"/>
                <w:b/>
                <w:sz w:val="24"/>
                <w:szCs w:val="24"/>
                <w:lang w:eastAsia="de-DE"/>
              </w:rPr>
            </w:pPr>
            <w:r w:rsidRPr="000D49B1">
              <w:rPr>
                <w:rFonts w:ascii="Times New Roman" w:eastAsia="Times New Roman" w:hAnsi="Times New Roman" w:cs="Times New Roman"/>
                <w:b/>
                <w:sz w:val="24"/>
                <w:szCs w:val="24"/>
                <w:lang w:eastAsia="de-DE"/>
              </w:rPr>
              <w:br w:type="page"/>
            </w:r>
            <w:r w:rsidRPr="000D49B1">
              <w:rPr>
                <w:rFonts w:ascii="Times New Roman" w:eastAsia="Times New Roman" w:hAnsi="Times New Roman" w:cs="Times New Roman"/>
                <w:b/>
                <w:sz w:val="24"/>
                <w:szCs w:val="24"/>
                <w:lang w:eastAsia="de-DE"/>
              </w:rPr>
              <w:br w:type="page"/>
            </w:r>
            <w:r w:rsidRPr="000D49B1">
              <w:rPr>
                <w:rFonts w:ascii="Times New Roman" w:eastAsia="Times New Roman" w:hAnsi="Times New Roman" w:cs="Times New Roman"/>
                <w:b/>
                <w:sz w:val="24"/>
                <w:szCs w:val="24"/>
                <w:lang w:eastAsia="de-DE"/>
              </w:rPr>
              <w:br w:type="page"/>
            </w:r>
            <w:r w:rsidRPr="000D49B1">
              <w:rPr>
                <w:rFonts w:ascii="Times New Roman" w:eastAsia="Times New Roman" w:hAnsi="Times New Roman" w:cs="Times New Roman"/>
                <w:b/>
                <w:sz w:val="24"/>
                <w:szCs w:val="24"/>
                <w:lang w:eastAsia="de-DE"/>
              </w:rPr>
              <w:br w:type="page"/>
              <w:t xml:space="preserve">Recycling-Baustoff der Klasse 1 (RC-1) </w:t>
            </w:r>
          </w:p>
          <w:p w14:paraId="5EF6811B" w14:textId="77777777" w:rsidR="000D49B1" w:rsidRPr="000D49B1" w:rsidRDefault="000D49B1" w:rsidP="000D49B1">
            <w:pPr>
              <w:spacing w:before="0" w:after="0"/>
              <w:jc w:val="center"/>
              <w:rPr>
                <w:rFonts w:ascii="Times New Roman" w:eastAsia="Times New Roman" w:hAnsi="Times New Roman" w:cs="Times New Roman"/>
                <w:b/>
                <w:sz w:val="24"/>
                <w:szCs w:val="24"/>
                <w:lang w:eastAsia="de-DE"/>
              </w:rPr>
            </w:pPr>
          </w:p>
        </w:tc>
      </w:tr>
      <w:tr w:rsidR="000D49B1" w:rsidRPr="000D49B1" w14:paraId="4EC4F5A7" w14:textId="77777777" w:rsidTr="000D49B1">
        <w:trPr>
          <w:trHeight w:val="20"/>
        </w:trPr>
        <w:tc>
          <w:tcPr>
            <w:tcW w:w="4683" w:type="dxa"/>
            <w:gridSpan w:val="2"/>
            <w:vMerge w:val="restart"/>
            <w:shd w:val="clear" w:color="auto" w:fill="auto"/>
            <w:noWrap/>
          </w:tcPr>
          <w:p w14:paraId="408A6F65" w14:textId="77777777" w:rsidR="000D49B1" w:rsidRPr="000D49B1" w:rsidRDefault="000D49B1" w:rsidP="000D49B1">
            <w:pPr>
              <w:spacing w:before="0" w:after="0"/>
              <w:jc w:val="center"/>
              <w:rPr>
                <w:rFonts w:ascii="Times New Roman" w:eastAsia="Times New Roman" w:hAnsi="Times New Roman" w:cs="Times New Roman"/>
                <w:b/>
                <w:sz w:val="24"/>
                <w:szCs w:val="24"/>
                <w:lang w:eastAsia="de-DE"/>
              </w:rPr>
            </w:pPr>
            <w:r w:rsidRPr="000D49B1">
              <w:rPr>
                <w:rFonts w:ascii="Times New Roman" w:eastAsia="Times New Roman" w:hAnsi="Times New Roman" w:cs="Times New Roman"/>
                <w:b/>
                <w:sz w:val="24"/>
                <w:szCs w:val="24"/>
                <w:lang w:eastAsia="de-DE"/>
              </w:rPr>
              <w:t>Einbauweise</w:t>
            </w:r>
          </w:p>
        </w:tc>
        <w:tc>
          <w:tcPr>
            <w:tcW w:w="6359" w:type="dxa"/>
            <w:gridSpan w:val="9"/>
            <w:shd w:val="clear" w:color="auto" w:fill="auto"/>
            <w:noWrap/>
            <w:vAlign w:val="center"/>
          </w:tcPr>
          <w:p w14:paraId="19E0590D" w14:textId="77777777" w:rsidR="000D49B1" w:rsidRPr="000D49B1" w:rsidRDefault="000D49B1" w:rsidP="000D49B1">
            <w:pPr>
              <w:spacing w:before="0" w:after="0"/>
              <w:jc w:val="center"/>
              <w:rPr>
                <w:rFonts w:ascii="Times New Roman" w:eastAsia="Times New Roman" w:hAnsi="Times New Roman" w:cs="Times New Roman"/>
                <w:b/>
                <w:sz w:val="24"/>
                <w:szCs w:val="24"/>
                <w:lang w:eastAsia="de-DE"/>
              </w:rPr>
            </w:pPr>
            <w:r w:rsidRPr="000D49B1">
              <w:rPr>
                <w:rFonts w:ascii="Times New Roman" w:eastAsia="Times New Roman" w:hAnsi="Times New Roman" w:cs="Times New Roman"/>
                <w:b/>
                <w:sz w:val="24"/>
                <w:szCs w:val="24"/>
                <w:lang w:eastAsia="de-DE"/>
              </w:rPr>
              <w:t>Eigenschaft der Grundwasserdeckschicht</w:t>
            </w:r>
          </w:p>
        </w:tc>
      </w:tr>
      <w:tr w:rsidR="000D49B1" w:rsidRPr="000D49B1" w14:paraId="7DF4C4FF" w14:textId="77777777" w:rsidTr="000D49B1">
        <w:trPr>
          <w:trHeight w:val="20"/>
        </w:trPr>
        <w:tc>
          <w:tcPr>
            <w:tcW w:w="4683" w:type="dxa"/>
            <w:gridSpan w:val="2"/>
            <w:vMerge/>
            <w:shd w:val="clear" w:color="auto" w:fill="auto"/>
            <w:noWrap/>
            <w:vAlign w:val="center"/>
          </w:tcPr>
          <w:p w14:paraId="7510EEC4" w14:textId="77777777" w:rsidR="000D49B1" w:rsidRPr="000D49B1" w:rsidRDefault="000D49B1" w:rsidP="000D49B1">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25A4D302" w14:textId="77777777" w:rsidR="000D49B1" w:rsidRPr="000D49B1" w:rsidRDefault="000D49B1" w:rsidP="000D49B1">
            <w:pPr>
              <w:spacing w:before="0" w:after="0"/>
              <w:jc w:val="center"/>
              <w:rPr>
                <w:rFonts w:ascii="Times New Roman" w:eastAsia="Times New Roman" w:hAnsi="Times New Roman" w:cs="Times New Roman"/>
                <w:sz w:val="20"/>
                <w:szCs w:val="20"/>
                <w:lang w:eastAsia="de-DE"/>
              </w:rPr>
            </w:pPr>
            <w:r w:rsidRPr="000D49B1">
              <w:rPr>
                <w:rFonts w:ascii="Times New Roman" w:eastAsia="Times New Roman" w:hAnsi="Times New Roman" w:cs="Times New Roman"/>
                <w:sz w:val="20"/>
                <w:szCs w:val="20"/>
                <w:lang w:eastAsia="de-DE"/>
              </w:rPr>
              <w:t>außerhalb von</w:t>
            </w:r>
          </w:p>
          <w:p w14:paraId="3F3FCCAB" w14:textId="77777777" w:rsidR="000D49B1" w:rsidRPr="000D49B1" w:rsidRDefault="000D49B1" w:rsidP="000D49B1">
            <w:pPr>
              <w:spacing w:before="0" w:after="0"/>
              <w:jc w:val="center"/>
              <w:rPr>
                <w:rFonts w:ascii="Times New Roman" w:eastAsia="Times New Roman" w:hAnsi="Times New Roman" w:cs="Times New Roman"/>
                <w:sz w:val="20"/>
                <w:szCs w:val="20"/>
                <w:lang w:eastAsia="de-DE"/>
              </w:rPr>
            </w:pPr>
            <w:r w:rsidRPr="000D49B1">
              <w:rPr>
                <w:rFonts w:ascii="Times New Roman" w:eastAsia="Times New Roman" w:hAnsi="Times New Roman" w:cs="Times New Roman"/>
                <w:sz w:val="20"/>
                <w:szCs w:val="20"/>
                <w:lang w:eastAsia="de-DE"/>
              </w:rPr>
              <w:t>Wasserschutzbereichen</w:t>
            </w:r>
          </w:p>
        </w:tc>
        <w:tc>
          <w:tcPr>
            <w:tcW w:w="3659" w:type="dxa"/>
            <w:gridSpan w:val="6"/>
            <w:shd w:val="clear" w:color="auto" w:fill="auto"/>
            <w:noWrap/>
            <w:vAlign w:val="center"/>
          </w:tcPr>
          <w:p w14:paraId="0D9B86E7" w14:textId="77777777" w:rsidR="000D49B1" w:rsidRPr="000D49B1" w:rsidRDefault="000D49B1" w:rsidP="000D49B1">
            <w:pPr>
              <w:spacing w:before="0" w:after="0"/>
              <w:jc w:val="center"/>
              <w:rPr>
                <w:rFonts w:ascii="Times New Roman" w:eastAsia="Times New Roman" w:hAnsi="Times New Roman" w:cs="Times New Roman"/>
                <w:sz w:val="20"/>
                <w:szCs w:val="20"/>
                <w:lang w:eastAsia="de-DE"/>
              </w:rPr>
            </w:pPr>
            <w:r w:rsidRPr="000D49B1">
              <w:rPr>
                <w:rFonts w:ascii="Times New Roman" w:eastAsia="Times New Roman" w:hAnsi="Times New Roman" w:cs="Times New Roman"/>
                <w:sz w:val="20"/>
                <w:szCs w:val="20"/>
                <w:lang w:eastAsia="de-DE"/>
              </w:rPr>
              <w:t>innerhalb von</w:t>
            </w:r>
          </w:p>
          <w:p w14:paraId="22930A09" w14:textId="77777777" w:rsidR="000D49B1" w:rsidRPr="000D49B1" w:rsidRDefault="000D49B1" w:rsidP="000D49B1">
            <w:pPr>
              <w:spacing w:before="0" w:after="0"/>
              <w:jc w:val="center"/>
              <w:rPr>
                <w:rFonts w:ascii="Times New Roman" w:eastAsia="Times New Roman" w:hAnsi="Times New Roman" w:cs="Times New Roman"/>
                <w:sz w:val="20"/>
                <w:szCs w:val="20"/>
                <w:lang w:eastAsia="de-DE"/>
              </w:rPr>
            </w:pPr>
            <w:r w:rsidRPr="000D49B1">
              <w:rPr>
                <w:rFonts w:ascii="Times New Roman" w:eastAsia="Times New Roman" w:hAnsi="Times New Roman" w:cs="Times New Roman"/>
                <w:sz w:val="20"/>
                <w:szCs w:val="20"/>
                <w:lang w:eastAsia="de-DE"/>
              </w:rPr>
              <w:t>Wasserschutzbereichen</w:t>
            </w:r>
          </w:p>
        </w:tc>
      </w:tr>
      <w:tr w:rsidR="000D49B1" w:rsidRPr="000D49B1" w14:paraId="6FFDAEFC" w14:textId="77777777" w:rsidTr="000D49B1">
        <w:trPr>
          <w:trHeight w:val="20"/>
        </w:trPr>
        <w:tc>
          <w:tcPr>
            <w:tcW w:w="4683" w:type="dxa"/>
            <w:gridSpan w:val="2"/>
            <w:vMerge/>
            <w:shd w:val="clear" w:color="auto" w:fill="auto"/>
            <w:noWrap/>
            <w:vAlign w:val="center"/>
          </w:tcPr>
          <w:p w14:paraId="323660A6"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6B269D70" w14:textId="77777777" w:rsidR="000D49B1" w:rsidRPr="000D49B1" w:rsidRDefault="000D49B1" w:rsidP="000D49B1">
            <w:pPr>
              <w:spacing w:before="0" w:after="0"/>
              <w:jc w:val="center"/>
              <w:rPr>
                <w:rFonts w:ascii="Times New Roman" w:eastAsia="Times New Roman" w:hAnsi="Times New Roman" w:cs="Times New Roman"/>
                <w:sz w:val="20"/>
                <w:szCs w:val="20"/>
                <w:lang w:eastAsia="de-DE"/>
              </w:rPr>
            </w:pPr>
            <w:proofErr w:type="spellStart"/>
            <w:r w:rsidRPr="000D49B1">
              <w:rPr>
                <w:rFonts w:ascii="Times New Roman" w:eastAsia="Times New Roman" w:hAnsi="Times New Roman" w:cs="Times New Roman"/>
                <w:sz w:val="20"/>
                <w:szCs w:val="20"/>
                <w:lang w:eastAsia="de-DE"/>
              </w:rPr>
              <w:t>un</w:t>
            </w:r>
            <w:proofErr w:type="spellEnd"/>
            <w:r w:rsidRPr="000D49B1">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4372C96C" w14:textId="77777777" w:rsidR="000D49B1" w:rsidRPr="000D49B1" w:rsidRDefault="000D49B1" w:rsidP="000D49B1">
            <w:pPr>
              <w:spacing w:before="0" w:after="0"/>
              <w:jc w:val="center"/>
              <w:rPr>
                <w:rFonts w:ascii="Times New Roman" w:eastAsia="Times New Roman" w:hAnsi="Times New Roman" w:cs="Times New Roman"/>
                <w:sz w:val="20"/>
                <w:szCs w:val="20"/>
                <w:lang w:eastAsia="de-DE"/>
              </w:rPr>
            </w:pPr>
            <w:r w:rsidRPr="000D49B1">
              <w:rPr>
                <w:rFonts w:ascii="Times New Roman" w:eastAsia="Times New Roman" w:hAnsi="Times New Roman" w:cs="Times New Roman"/>
                <w:sz w:val="20"/>
                <w:szCs w:val="20"/>
                <w:lang w:eastAsia="de-DE"/>
              </w:rPr>
              <w:t>günstig</w:t>
            </w:r>
          </w:p>
        </w:tc>
        <w:tc>
          <w:tcPr>
            <w:tcW w:w="3659" w:type="dxa"/>
            <w:gridSpan w:val="6"/>
            <w:shd w:val="clear" w:color="auto" w:fill="auto"/>
            <w:noWrap/>
            <w:vAlign w:val="center"/>
          </w:tcPr>
          <w:p w14:paraId="25A61844" w14:textId="77777777" w:rsidR="000D49B1" w:rsidRPr="000D49B1" w:rsidRDefault="000D49B1" w:rsidP="000D49B1">
            <w:pPr>
              <w:spacing w:before="0" w:after="0"/>
              <w:jc w:val="center"/>
              <w:rPr>
                <w:rFonts w:ascii="Times New Roman" w:eastAsia="Times New Roman" w:hAnsi="Times New Roman" w:cs="Times New Roman"/>
                <w:sz w:val="20"/>
                <w:szCs w:val="20"/>
                <w:lang w:eastAsia="de-DE"/>
              </w:rPr>
            </w:pPr>
            <w:r w:rsidRPr="000D49B1">
              <w:rPr>
                <w:rFonts w:ascii="Times New Roman" w:eastAsia="Times New Roman" w:hAnsi="Times New Roman" w:cs="Times New Roman"/>
                <w:sz w:val="20"/>
                <w:szCs w:val="20"/>
                <w:lang w:eastAsia="de-DE"/>
              </w:rPr>
              <w:t>günstig</w:t>
            </w:r>
          </w:p>
        </w:tc>
      </w:tr>
      <w:tr w:rsidR="000D49B1" w:rsidRPr="000D49B1" w14:paraId="7D9DB255" w14:textId="77777777" w:rsidTr="000D49B1">
        <w:trPr>
          <w:trHeight w:val="20"/>
        </w:trPr>
        <w:tc>
          <w:tcPr>
            <w:tcW w:w="4683" w:type="dxa"/>
            <w:gridSpan w:val="2"/>
            <w:vMerge/>
            <w:shd w:val="clear" w:color="auto" w:fill="auto"/>
            <w:noWrap/>
            <w:vAlign w:val="center"/>
          </w:tcPr>
          <w:p w14:paraId="722EE1EB"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0B9DF5A0"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45E4BB57"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72F3C5A1" w14:textId="21BEE938"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Lehm,</w:t>
            </w:r>
          </w:p>
          <w:p w14:paraId="0CF1A734" w14:textId="3405CC8E"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Schluff,</w:t>
            </w:r>
          </w:p>
          <w:p w14:paraId="2DA83728"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Ton</w:t>
            </w:r>
          </w:p>
        </w:tc>
        <w:tc>
          <w:tcPr>
            <w:tcW w:w="1277" w:type="dxa"/>
            <w:gridSpan w:val="2"/>
            <w:shd w:val="clear" w:color="auto" w:fill="auto"/>
            <w:noWrap/>
            <w:vAlign w:val="center"/>
          </w:tcPr>
          <w:p w14:paraId="2958B507"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4B25898F"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WSG III B</w:t>
            </w:r>
          </w:p>
        </w:tc>
        <w:tc>
          <w:tcPr>
            <w:tcW w:w="1212" w:type="dxa"/>
            <w:gridSpan w:val="2"/>
            <w:shd w:val="clear" w:color="auto" w:fill="auto"/>
            <w:noWrap/>
            <w:vAlign w:val="center"/>
          </w:tcPr>
          <w:p w14:paraId="7A1B1FBE"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Wasservor-</w:t>
            </w:r>
          </w:p>
        </w:tc>
      </w:tr>
      <w:tr w:rsidR="000D49B1" w:rsidRPr="000D49B1" w14:paraId="317704D1" w14:textId="77777777" w:rsidTr="000D49B1">
        <w:trPr>
          <w:trHeight w:val="80"/>
        </w:trPr>
        <w:tc>
          <w:tcPr>
            <w:tcW w:w="4683" w:type="dxa"/>
            <w:gridSpan w:val="2"/>
            <w:vMerge/>
            <w:shd w:val="clear" w:color="auto" w:fill="auto"/>
            <w:noWrap/>
            <w:vAlign w:val="center"/>
          </w:tcPr>
          <w:p w14:paraId="25CF5FE4"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1F9E6ECB"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1C0D27BB"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3FB9FD70"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1277" w:type="dxa"/>
            <w:gridSpan w:val="2"/>
            <w:shd w:val="clear" w:color="auto" w:fill="auto"/>
            <w:noWrap/>
            <w:vAlign w:val="center"/>
          </w:tcPr>
          <w:p w14:paraId="5D3C769F"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739F8FCB"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HSG IV</w:t>
            </w:r>
          </w:p>
        </w:tc>
        <w:tc>
          <w:tcPr>
            <w:tcW w:w="1212" w:type="dxa"/>
            <w:gridSpan w:val="2"/>
            <w:shd w:val="clear" w:color="auto" w:fill="auto"/>
            <w:noWrap/>
            <w:vAlign w:val="center"/>
          </w:tcPr>
          <w:p w14:paraId="4B5C5D60"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ranggebiete</w:t>
            </w:r>
          </w:p>
        </w:tc>
      </w:tr>
      <w:tr w:rsidR="000D49B1" w:rsidRPr="000D49B1" w14:paraId="2DE4C0C2" w14:textId="77777777" w:rsidTr="000D49B1">
        <w:trPr>
          <w:trHeight w:val="80"/>
        </w:trPr>
        <w:tc>
          <w:tcPr>
            <w:tcW w:w="4683" w:type="dxa"/>
            <w:gridSpan w:val="2"/>
            <w:vMerge/>
            <w:shd w:val="clear" w:color="auto" w:fill="auto"/>
            <w:noWrap/>
            <w:vAlign w:val="center"/>
          </w:tcPr>
          <w:p w14:paraId="3E0090B4"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36BC2DDF"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6C388DBD"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50A281AC"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607" w:type="dxa"/>
            <w:shd w:val="clear" w:color="auto" w:fill="auto"/>
            <w:noWrap/>
            <w:vAlign w:val="center"/>
          </w:tcPr>
          <w:p w14:paraId="055580A0"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Sand</w:t>
            </w:r>
          </w:p>
        </w:tc>
        <w:tc>
          <w:tcPr>
            <w:tcW w:w="670" w:type="dxa"/>
            <w:shd w:val="clear" w:color="auto" w:fill="auto"/>
            <w:vAlign w:val="center"/>
          </w:tcPr>
          <w:p w14:paraId="3C342522" w14:textId="5D853ACD"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Lehm,</w:t>
            </w:r>
          </w:p>
          <w:p w14:paraId="37816D3B" w14:textId="5B2DB4CB"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Schluff,</w:t>
            </w:r>
          </w:p>
          <w:p w14:paraId="7B484F24"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201108B3"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Sand</w:t>
            </w:r>
          </w:p>
        </w:tc>
        <w:tc>
          <w:tcPr>
            <w:tcW w:w="670" w:type="dxa"/>
            <w:shd w:val="clear" w:color="auto" w:fill="auto"/>
            <w:vAlign w:val="center"/>
          </w:tcPr>
          <w:p w14:paraId="48876ECD" w14:textId="037DC649"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Lehm,</w:t>
            </w:r>
          </w:p>
          <w:p w14:paraId="0EB29C05" w14:textId="0B2C9FA3"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Schluff,</w:t>
            </w:r>
          </w:p>
          <w:p w14:paraId="751834B8"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3CAB6CEE"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Sand</w:t>
            </w:r>
          </w:p>
        </w:tc>
        <w:tc>
          <w:tcPr>
            <w:tcW w:w="670" w:type="dxa"/>
            <w:shd w:val="clear" w:color="auto" w:fill="auto"/>
            <w:vAlign w:val="center"/>
          </w:tcPr>
          <w:p w14:paraId="177ECA7E" w14:textId="49F4DDC5"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Lehm,</w:t>
            </w:r>
          </w:p>
          <w:p w14:paraId="762B0A0E" w14:textId="51ECB930"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Schluff,</w:t>
            </w:r>
          </w:p>
          <w:p w14:paraId="6C2DA375"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Ton</w:t>
            </w:r>
          </w:p>
        </w:tc>
      </w:tr>
      <w:tr w:rsidR="000D49B1" w:rsidRPr="000D49B1" w14:paraId="7DB94B58" w14:textId="77777777" w:rsidTr="000D49B1">
        <w:trPr>
          <w:trHeight w:val="111"/>
        </w:trPr>
        <w:tc>
          <w:tcPr>
            <w:tcW w:w="4683" w:type="dxa"/>
            <w:gridSpan w:val="2"/>
            <w:vMerge/>
            <w:shd w:val="clear" w:color="auto" w:fill="auto"/>
            <w:noWrap/>
            <w:vAlign w:val="center"/>
          </w:tcPr>
          <w:p w14:paraId="3BC392B1"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58DF5D53"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1</w:t>
            </w:r>
          </w:p>
        </w:tc>
        <w:tc>
          <w:tcPr>
            <w:tcW w:w="664" w:type="dxa"/>
            <w:shd w:val="clear" w:color="auto" w:fill="auto"/>
            <w:noWrap/>
            <w:vAlign w:val="center"/>
          </w:tcPr>
          <w:p w14:paraId="0C0C2EDE"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2</w:t>
            </w:r>
          </w:p>
        </w:tc>
        <w:tc>
          <w:tcPr>
            <w:tcW w:w="1185" w:type="dxa"/>
            <w:shd w:val="clear" w:color="auto" w:fill="auto"/>
            <w:noWrap/>
            <w:vAlign w:val="center"/>
          </w:tcPr>
          <w:p w14:paraId="4A6EBBD6"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3</w:t>
            </w:r>
          </w:p>
        </w:tc>
        <w:tc>
          <w:tcPr>
            <w:tcW w:w="1277" w:type="dxa"/>
            <w:gridSpan w:val="2"/>
            <w:shd w:val="clear" w:color="auto" w:fill="auto"/>
            <w:noWrap/>
            <w:vAlign w:val="center"/>
          </w:tcPr>
          <w:p w14:paraId="1528DBA2"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5B7E95FD"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5</w:t>
            </w:r>
          </w:p>
        </w:tc>
        <w:tc>
          <w:tcPr>
            <w:tcW w:w="1212" w:type="dxa"/>
            <w:gridSpan w:val="2"/>
            <w:shd w:val="clear" w:color="auto" w:fill="auto"/>
            <w:noWrap/>
            <w:vAlign w:val="center"/>
          </w:tcPr>
          <w:p w14:paraId="224CF755"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6</w:t>
            </w:r>
          </w:p>
        </w:tc>
      </w:tr>
      <w:tr w:rsidR="000D49B1" w:rsidRPr="000D49B1" w14:paraId="6844E300" w14:textId="77777777" w:rsidTr="000D49B1">
        <w:trPr>
          <w:trHeight w:val="20"/>
        </w:trPr>
        <w:tc>
          <w:tcPr>
            <w:tcW w:w="469" w:type="dxa"/>
            <w:shd w:val="clear" w:color="auto" w:fill="auto"/>
            <w:noWrap/>
          </w:tcPr>
          <w:p w14:paraId="488C7C82"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1</w:t>
            </w:r>
          </w:p>
        </w:tc>
        <w:tc>
          <w:tcPr>
            <w:tcW w:w="4214" w:type="dxa"/>
            <w:shd w:val="clear" w:color="auto" w:fill="FFFFFF"/>
          </w:tcPr>
          <w:p w14:paraId="509165B6"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shd w:val="clear" w:color="auto" w:fill="auto"/>
            <w:noWrap/>
            <w:vAlign w:val="center"/>
          </w:tcPr>
          <w:p w14:paraId="74F7D2D4"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64" w:type="dxa"/>
            <w:shd w:val="clear" w:color="auto" w:fill="auto"/>
            <w:noWrap/>
            <w:vAlign w:val="center"/>
          </w:tcPr>
          <w:p w14:paraId="625FF571"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shd w:val="clear" w:color="auto" w:fill="auto"/>
            <w:noWrap/>
            <w:vAlign w:val="center"/>
          </w:tcPr>
          <w:p w14:paraId="1657D595"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07" w:type="dxa"/>
            <w:shd w:val="clear" w:color="auto" w:fill="auto"/>
            <w:noWrap/>
            <w:vAlign w:val="center"/>
          </w:tcPr>
          <w:p w14:paraId="42A96D5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78D3EBD4"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shd w:val="clear" w:color="auto" w:fill="auto"/>
            <w:noWrap/>
            <w:vAlign w:val="center"/>
          </w:tcPr>
          <w:p w14:paraId="750B2CA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48BE1B67"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402E129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428AF77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64F41AD1" w14:textId="77777777" w:rsidTr="000D49B1">
        <w:trPr>
          <w:trHeight w:val="20"/>
        </w:trPr>
        <w:tc>
          <w:tcPr>
            <w:tcW w:w="469" w:type="dxa"/>
            <w:shd w:val="clear" w:color="auto" w:fill="auto"/>
            <w:noWrap/>
          </w:tcPr>
          <w:p w14:paraId="35C5757B"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2</w:t>
            </w:r>
          </w:p>
        </w:tc>
        <w:tc>
          <w:tcPr>
            <w:tcW w:w="4214" w:type="dxa"/>
            <w:shd w:val="clear" w:color="auto" w:fill="FFFFFF"/>
          </w:tcPr>
          <w:p w14:paraId="7338BA89"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shd w:val="clear" w:color="auto" w:fill="auto"/>
            <w:noWrap/>
            <w:vAlign w:val="center"/>
          </w:tcPr>
          <w:p w14:paraId="62590537"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64" w:type="dxa"/>
            <w:shd w:val="clear" w:color="auto" w:fill="auto"/>
            <w:noWrap/>
            <w:vAlign w:val="center"/>
          </w:tcPr>
          <w:p w14:paraId="0C29FB1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shd w:val="clear" w:color="auto" w:fill="auto"/>
            <w:noWrap/>
            <w:vAlign w:val="center"/>
          </w:tcPr>
          <w:p w14:paraId="4192F26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07" w:type="dxa"/>
            <w:shd w:val="clear" w:color="auto" w:fill="auto"/>
            <w:noWrap/>
            <w:vAlign w:val="center"/>
          </w:tcPr>
          <w:p w14:paraId="3D6A5114"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32B5492E"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shd w:val="clear" w:color="auto" w:fill="auto"/>
            <w:noWrap/>
            <w:vAlign w:val="center"/>
          </w:tcPr>
          <w:p w14:paraId="6FC5262D"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79567C96"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05F68A9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5E2FA5A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17224E8C" w14:textId="77777777" w:rsidTr="000D49B1">
        <w:trPr>
          <w:trHeight w:val="20"/>
        </w:trPr>
        <w:tc>
          <w:tcPr>
            <w:tcW w:w="469" w:type="dxa"/>
            <w:shd w:val="clear" w:color="auto" w:fill="auto"/>
            <w:noWrap/>
          </w:tcPr>
          <w:p w14:paraId="03B5A184"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3</w:t>
            </w:r>
          </w:p>
        </w:tc>
        <w:tc>
          <w:tcPr>
            <w:tcW w:w="4214" w:type="dxa"/>
            <w:shd w:val="clear" w:color="auto" w:fill="FFFFFF"/>
          </w:tcPr>
          <w:p w14:paraId="6A01F368"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Tragschicht mit hydraulischen Bindemitteln unter gebundener Deckschicht</w:t>
            </w:r>
          </w:p>
        </w:tc>
        <w:tc>
          <w:tcPr>
            <w:tcW w:w="851" w:type="dxa"/>
            <w:shd w:val="clear" w:color="auto" w:fill="auto"/>
            <w:noWrap/>
            <w:vAlign w:val="center"/>
          </w:tcPr>
          <w:p w14:paraId="67E3CE4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64" w:type="dxa"/>
            <w:shd w:val="clear" w:color="auto" w:fill="auto"/>
            <w:noWrap/>
            <w:vAlign w:val="center"/>
          </w:tcPr>
          <w:p w14:paraId="296E1A91"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shd w:val="clear" w:color="auto" w:fill="auto"/>
            <w:noWrap/>
            <w:vAlign w:val="center"/>
          </w:tcPr>
          <w:p w14:paraId="7FFE082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07" w:type="dxa"/>
            <w:shd w:val="clear" w:color="auto" w:fill="auto"/>
            <w:noWrap/>
            <w:vAlign w:val="center"/>
          </w:tcPr>
          <w:p w14:paraId="4F8C04C7"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49A0381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shd w:val="clear" w:color="auto" w:fill="auto"/>
            <w:noWrap/>
            <w:vAlign w:val="center"/>
          </w:tcPr>
          <w:p w14:paraId="229560A4"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57A93E95"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12D2AD27"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37496E8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0D7FAC0F" w14:textId="77777777" w:rsidTr="000D49B1">
        <w:trPr>
          <w:trHeight w:val="20"/>
        </w:trPr>
        <w:tc>
          <w:tcPr>
            <w:tcW w:w="469" w:type="dxa"/>
            <w:shd w:val="clear" w:color="auto" w:fill="auto"/>
            <w:noWrap/>
          </w:tcPr>
          <w:p w14:paraId="1A2BFCFF"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4</w:t>
            </w:r>
          </w:p>
        </w:tc>
        <w:tc>
          <w:tcPr>
            <w:tcW w:w="4214" w:type="dxa"/>
            <w:shd w:val="clear" w:color="auto" w:fill="FFFFFF"/>
          </w:tcPr>
          <w:p w14:paraId="24957597"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Verfüllung von Baugruben und Leitungsgräben unter gebundener Deckschicht</w:t>
            </w:r>
          </w:p>
        </w:tc>
        <w:tc>
          <w:tcPr>
            <w:tcW w:w="851" w:type="dxa"/>
            <w:shd w:val="clear" w:color="auto" w:fill="auto"/>
            <w:noWrap/>
            <w:vAlign w:val="center"/>
          </w:tcPr>
          <w:p w14:paraId="14CCE91E"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64" w:type="dxa"/>
            <w:shd w:val="clear" w:color="auto" w:fill="auto"/>
            <w:noWrap/>
            <w:vAlign w:val="center"/>
          </w:tcPr>
          <w:p w14:paraId="1417CD6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shd w:val="clear" w:color="auto" w:fill="auto"/>
            <w:noWrap/>
            <w:vAlign w:val="center"/>
          </w:tcPr>
          <w:p w14:paraId="703000B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07" w:type="dxa"/>
            <w:shd w:val="clear" w:color="auto" w:fill="auto"/>
            <w:noWrap/>
            <w:vAlign w:val="center"/>
          </w:tcPr>
          <w:p w14:paraId="7C9983C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2861C58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shd w:val="clear" w:color="auto" w:fill="auto"/>
            <w:noWrap/>
            <w:vAlign w:val="center"/>
          </w:tcPr>
          <w:p w14:paraId="49E2E01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1FBAF63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6283A5F7"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6F82F1B5"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7A3A568A" w14:textId="77777777" w:rsidTr="000D49B1">
        <w:trPr>
          <w:trHeight w:val="20"/>
        </w:trPr>
        <w:tc>
          <w:tcPr>
            <w:tcW w:w="469" w:type="dxa"/>
            <w:shd w:val="clear" w:color="auto" w:fill="auto"/>
            <w:noWrap/>
          </w:tcPr>
          <w:p w14:paraId="75F8864D"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5</w:t>
            </w:r>
          </w:p>
        </w:tc>
        <w:tc>
          <w:tcPr>
            <w:tcW w:w="4214" w:type="dxa"/>
            <w:shd w:val="clear" w:color="auto" w:fill="FFFFFF"/>
          </w:tcPr>
          <w:p w14:paraId="5A45236B"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shd w:val="clear" w:color="auto" w:fill="auto"/>
            <w:noWrap/>
            <w:vAlign w:val="center"/>
          </w:tcPr>
          <w:p w14:paraId="296CABF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64" w:type="dxa"/>
            <w:shd w:val="clear" w:color="auto" w:fill="auto"/>
            <w:noWrap/>
            <w:vAlign w:val="center"/>
          </w:tcPr>
          <w:p w14:paraId="490F0D3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shd w:val="clear" w:color="auto" w:fill="auto"/>
            <w:noWrap/>
            <w:vAlign w:val="center"/>
          </w:tcPr>
          <w:p w14:paraId="617B881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07" w:type="dxa"/>
            <w:shd w:val="clear" w:color="auto" w:fill="auto"/>
            <w:noWrap/>
            <w:vAlign w:val="center"/>
          </w:tcPr>
          <w:p w14:paraId="5B20DDA1"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16E34C5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shd w:val="clear" w:color="auto" w:fill="auto"/>
            <w:noWrap/>
            <w:vAlign w:val="center"/>
          </w:tcPr>
          <w:p w14:paraId="28F3AFA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27A710B5"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4F38C49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4FDA068E"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3899D3C4" w14:textId="77777777" w:rsidTr="000D49B1">
        <w:trPr>
          <w:trHeight w:val="20"/>
        </w:trPr>
        <w:tc>
          <w:tcPr>
            <w:tcW w:w="469" w:type="dxa"/>
            <w:shd w:val="clear" w:color="auto" w:fill="auto"/>
            <w:noWrap/>
          </w:tcPr>
          <w:p w14:paraId="2B16EDFC"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6</w:t>
            </w:r>
          </w:p>
        </w:tc>
        <w:tc>
          <w:tcPr>
            <w:tcW w:w="4214" w:type="dxa"/>
            <w:shd w:val="clear" w:color="auto" w:fill="FFFFFF"/>
          </w:tcPr>
          <w:p w14:paraId="29B4AE25"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shd w:val="clear" w:color="auto" w:fill="auto"/>
            <w:noWrap/>
            <w:vAlign w:val="center"/>
          </w:tcPr>
          <w:p w14:paraId="138993DE"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64" w:type="dxa"/>
            <w:shd w:val="clear" w:color="auto" w:fill="auto"/>
            <w:noWrap/>
            <w:vAlign w:val="center"/>
          </w:tcPr>
          <w:p w14:paraId="1FFA57A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shd w:val="clear" w:color="auto" w:fill="auto"/>
            <w:noWrap/>
            <w:vAlign w:val="center"/>
          </w:tcPr>
          <w:p w14:paraId="6200AD3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07" w:type="dxa"/>
            <w:shd w:val="clear" w:color="auto" w:fill="auto"/>
            <w:noWrap/>
            <w:vAlign w:val="center"/>
          </w:tcPr>
          <w:p w14:paraId="4F027FE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2DF2C2F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shd w:val="clear" w:color="auto" w:fill="auto"/>
            <w:noWrap/>
            <w:vAlign w:val="center"/>
          </w:tcPr>
          <w:p w14:paraId="552DB6E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55CF62F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101542EE"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1AB54EB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3B8A69C9" w14:textId="77777777" w:rsidTr="000D49B1">
        <w:trPr>
          <w:trHeight w:val="20"/>
        </w:trPr>
        <w:tc>
          <w:tcPr>
            <w:tcW w:w="469" w:type="dxa"/>
            <w:shd w:val="clear" w:color="auto" w:fill="auto"/>
            <w:noWrap/>
          </w:tcPr>
          <w:p w14:paraId="005DE7C4"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7</w:t>
            </w:r>
          </w:p>
        </w:tc>
        <w:tc>
          <w:tcPr>
            <w:tcW w:w="4214" w:type="dxa"/>
            <w:shd w:val="clear" w:color="auto" w:fill="FFFFFF"/>
          </w:tcPr>
          <w:p w14:paraId="2D90EA59"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Schottertragschicht (</w:t>
            </w:r>
            <w:proofErr w:type="spellStart"/>
            <w:r w:rsidRPr="000D49B1">
              <w:rPr>
                <w:rFonts w:ascii="Times New Roman" w:eastAsia="Times New Roman" w:hAnsi="Times New Roman" w:cs="Times New Roman"/>
                <w:sz w:val="18"/>
                <w:szCs w:val="18"/>
                <w:lang w:eastAsia="de-DE"/>
              </w:rPr>
              <w:t>ToB</w:t>
            </w:r>
            <w:proofErr w:type="spellEnd"/>
            <w:r w:rsidRPr="000D49B1">
              <w:rPr>
                <w:rFonts w:ascii="Times New Roman" w:eastAsia="Times New Roman" w:hAnsi="Times New Roman" w:cs="Times New Roman"/>
                <w:sz w:val="18"/>
                <w:szCs w:val="18"/>
                <w:lang w:eastAsia="de-DE"/>
              </w:rPr>
              <w:t xml:space="preserve">) unter gebundener Deckschicht </w:t>
            </w:r>
          </w:p>
        </w:tc>
        <w:tc>
          <w:tcPr>
            <w:tcW w:w="851" w:type="dxa"/>
            <w:shd w:val="clear" w:color="auto" w:fill="auto"/>
            <w:noWrap/>
            <w:vAlign w:val="center"/>
          </w:tcPr>
          <w:p w14:paraId="2B7B2F4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64" w:type="dxa"/>
            <w:shd w:val="clear" w:color="auto" w:fill="auto"/>
            <w:noWrap/>
            <w:vAlign w:val="center"/>
          </w:tcPr>
          <w:p w14:paraId="2FD08716"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shd w:val="clear" w:color="auto" w:fill="auto"/>
            <w:noWrap/>
            <w:vAlign w:val="center"/>
          </w:tcPr>
          <w:p w14:paraId="6DDB32D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07" w:type="dxa"/>
            <w:shd w:val="clear" w:color="auto" w:fill="auto"/>
            <w:noWrap/>
            <w:vAlign w:val="center"/>
          </w:tcPr>
          <w:p w14:paraId="0D3AC99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2353503D"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shd w:val="clear" w:color="auto" w:fill="auto"/>
            <w:noWrap/>
            <w:vAlign w:val="center"/>
          </w:tcPr>
          <w:p w14:paraId="4E39ED1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1F4A007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74FFF4D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1A61F897"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09F16EF0" w14:textId="77777777" w:rsidTr="000D49B1">
        <w:trPr>
          <w:trHeight w:val="20"/>
        </w:trPr>
        <w:tc>
          <w:tcPr>
            <w:tcW w:w="469" w:type="dxa"/>
            <w:shd w:val="clear" w:color="auto" w:fill="auto"/>
            <w:noWrap/>
          </w:tcPr>
          <w:p w14:paraId="48090EF3"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8</w:t>
            </w:r>
          </w:p>
        </w:tc>
        <w:tc>
          <w:tcPr>
            <w:tcW w:w="4214" w:type="dxa"/>
            <w:shd w:val="clear" w:color="auto" w:fill="FFFFFF"/>
          </w:tcPr>
          <w:p w14:paraId="1E8F4C55"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Frostschutzschicht (</w:t>
            </w:r>
            <w:proofErr w:type="spellStart"/>
            <w:r w:rsidRPr="000D49B1">
              <w:rPr>
                <w:rFonts w:ascii="Times New Roman" w:eastAsia="Times New Roman" w:hAnsi="Times New Roman" w:cs="Times New Roman"/>
                <w:sz w:val="18"/>
                <w:szCs w:val="18"/>
                <w:lang w:eastAsia="de-DE"/>
              </w:rPr>
              <w:t>ToB</w:t>
            </w:r>
            <w:proofErr w:type="spellEnd"/>
            <w:r w:rsidRPr="000D49B1">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shd w:val="clear" w:color="auto" w:fill="auto"/>
            <w:noWrap/>
            <w:vAlign w:val="center"/>
          </w:tcPr>
          <w:p w14:paraId="7A701A5D"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1)</w:t>
            </w:r>
          </w:p>
        </w:tc>
        <w:tc>
          <w:tcPr>
            <w:tcW w:w="664" w:type="dxa"/>
            <w:shd w:val="clear" w:color="auto" w:fill="auto"/>
            <w:noWrap/>
            <w:vAlign w:val="center"/>
          </w:tcPr>
          <w:p w14:paraId="39B0588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shd w:val="clear" w:color="auto" w:fill="auto"/>
            <w:noWrap/>
            <w:vAlign w:val="center"/>
          </w:tcPr>
          <w:p w14:paraId="3D41C8F4"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07" w:type="dxa"/>
            <w:shd w:val="clear" w:color="auto" w:fill="auto"/>
            <w:noWrap/>
            <w:vAlign w:val="center"/>
          </w:tcPr>
          <w:p w14:paraId="1FC7072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1)</w:t>
            </w:r>
          </w:p>
        </w:tc>
        <w:tc>
          <w:tcPr>
            <w:tcW w:w="670" w:type="dxa"/>
            <w:shd w:val="clear" w:color="auto" w:fill="auto"/>
            <w:vAlign w:val="center"/>
          </w:tcPr>
          <w:p w14:paraId="316ABDE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shd w:val="clear" w:color="auto" w:fill="auto"/>
            <w:noWrap/>
            <w:vAlign w:val="center"/>
          </w:tcPr>
          <w:p w14:paraId="670368F5"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1)</w:t>
            </w:r>
          </w:p>
        </w:tc>
        <w:tc>
          <w:tcPr>
            <w:tcW w:w="670" w:type="dxa"/>
            <w:shd w:val="clear" w:color="auto" w:fill="auto"/>
            <w:vAlign w:val="center"/>
          </w:tcPr>
          <w:p w14:paraId="08DE616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564AD965"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1082EE0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58C4FE62" w14:textId="77777777" w:rsidTr="000D49B1">
        <w:trPr>
          <w:trHeight w:val="20"/>
        </w:trPr>
        <w:tc>
          <w:tcPr>
            <w:tcW w:w="469" w:type="dxa"/>
            <w:shd w:val="clear" w:color="auto" w:fill="auto"/>
            <w:noWrap/>
          </w:tcPr>
          <w:p w14:paraId="0E39A71C"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9</w:t>
            </w:r>
          </w:p>
        </w:tc>
        <w:tc>
          <w:tcPr>
            <w:tcW w:w="4214" w:type="dxa"/>
            <w:shd w:val="clear" w:color="auto" w:fill="FFFFFF"/>
          </w:tcPr>
          <w:p w14:paraId="54CCA04F"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 xml:space="preserve">Dämme oder Wälle gemäß Bauweisen A-D nach MTSE sowie </w:t>
            </w:r>
            <w:proofErr w:type="spellStart"/>
            <w:r w:rsidRPr="000D49B1">
              <w:rPr>
                <w:rFonts w:ascii="Times New Roman" w:eastAsia="Times New Roman" w:hAnsi="Times New Roman" w:cs="Times New Roman"/>
                <w:sz w:val="18"/>
                <w:szCs w:val="18"/>
                <w:lang w:eastAsia="de-DE"/>
              </w:rPr>
              <w:t>Hinterfüllung</w:t>
            </w:r>
            <w:proofErr w:type="spellEnd"/>
            <w:r w:rsidRPr="000D49B1">
              <w:rPr>
                <w:rFonts w:ascii="Times New Roman" w:eastAsia="Times New Roman" w:hAnsi="Times New Roman" w:cs="Times New Roman"/>
                <w:sz w:val="18"/>
                <w:szCs w:val="18"/>
                <w:lang w:eastAsia="de-DE"/>
              </w:rPr>
              <w:t xml:space="preserve"> von Bauwerken im Böschungsbereich in analoger Bauweise </w:t>
            </w:r>
          </w:p>
        </w:tc>
        <w:tc>
          <w:tcPr>
            <w:tcW w:w="851" w:type="dxa"/>
            <w:shd w:val="clear" w:color="auto" w:fill="auto"/>
            <w:noWrap/>
            <w:vAlign w:val="center"/>
          </w:tcPr>
          <w:p w14:paraId="492EC6F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64" w:type="dxa"/>
            <w:shd w:val="clear" w:color="auto" w:fill="auto"/>
            <w:noWrap/>
            <w:vAlign w:val="center"/>
          </w:tcPr>
          <w:p w14:paraId="2293205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shd w:val="clear" w:color="auto" w:fill="auto"/>
            <w:noWrap/>
            <w:vAlign w:val="center"/>
          </w:tcPr>
          <w:p w14:paraId="014D393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07" w:type="dxa"/>
            <w:shd w:val="clear" w:color="auto" w:fill="auto"/>
            <w:noWrap/>
            <w:vAlign w:val="center"/>
          </w:tcPr>
          <w:p w14:paraId="0A99045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2B48662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shd w:val="clear" w:color="auto" w:fill="auto"/>
            <w:noWrap/>
            <w:vAlign w:val="center"/>
          </w:tcPr>
          <w:p w14:paraId="1382F43E"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21E0AE1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4383E6C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36398C3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67E3EE67" w14:textId="77777777" w:rsidTr="000D49B1">
        <w:trPr>
          <w:trHeight w:val="20"/>
        </w:trPr>
        <w:tc>
          <w:tcPr>
            <w:tcW w:w="469" w:type="dxa"/>
            <w:shd w:val="clear" w:color="auto" w:fill="auto"/>
            <w:noWrap/>
          </w:tcPr>
          <w:p w14:paraId="185FDEBB"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10</w:t>
            </w:r>
          </w:p>
        </w:tc>
        <w:tc>
          <w:tcPr>
            <w:tcW w:w="4214" w:type="dxa"/>
            <w:shd w:val="clear" w:color="auto" w:fill="FFFFFF"/>
          </w:tcPr>
          <w:p w14:paraId="30F05957"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 xml:space="preserve">Damm oder Wall gemäß Bauweise E nach MTSE </w:t>
            </w:r>
          </w:p>
        </w:tc>
        <w:tc>
          <w:tcPr>
            <w:tcW w:w="851" w:type="dxa"/>
            <w:shd w:val="clear" w:color="auto" w:fill="auto"/>
            <w:noWrap/>
            <w:vAlign w:val="center"/>
          </w:tcPr>
          <w:p w14:paraId="0FA03B4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64" w:type="dxa"/>
            <w:shd w:val="clear" w:color="auto" w:fill="auto"/>
            <w:noWrap/>
            <w:vAlign w:val="center"/>
          </w:tcPr>
          <w:p w14:paraId="110F7A2D"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shd w:val="clear" w:color="auto" w:fill="auto"/>
            <w:noWrap/>
            <w:vAlign w:val="center"/>
          </w:tcPr>
          <w:p w14:paraId="19CEC03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07" w:type="dxa"/>
            <w:shd w:val="clear" w:color="auto" w:fill="auto"/>
            <w:noWrap/>
            <w:vAlign w:val="center"/>
          </w:tcPr>
          <w:p w14:paraId="2BB14D8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4BF839C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shd w:val="clear" w:color="auto" w:fill="auto"/>
            <w:noWrap/>
            <w:vAlign w:val="center"/>
          </w:tcPr>
          <w:p w14:paraId="0CCDDCFE"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50A3B13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32D3A7D6"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7CDA906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0CE92789" w14:textId="77777777" w:rsidTr="000D49B1">
        <w:trPr>
          <w:trHeight w:val="20"/>
        </w:trPr>
        <w:tc>
          <w:tcPr>
            <w:tcW w:w="469" w:type="dxa"/>
            <w:shd w:val="clear" w:color="auto" w:fill="auto"/>
            <w:noWrap/>
          </w:tcPr>
          <w:p w14:paraId="2E3DDDD4"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11</w:t>
            </w:r>
          </w:p>
        </w:tc>
        <w:tc>
          <w:tcPr>
            <w:tcW w:w="4214" w:type="dxa"/>
            <w:shd w:val="clear" w:color="auto" w:fill="FFFFFF"/>
          </w:tcPr>
          <w:p w14:paraId="1673E3E3"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Bettungssand unter Pflaster oder unter Plattenbelägen</w:t>
            </w:r>
          </w:p>
        </w:tc>
        <w:tc>
          <w:tcPr>
            <w:tcW w:w="851" w:type="dxa"/>
            <w:shd w:val="clear" w:color="auto" w:fill="auto"/>
            <w:noWrap/>
            <w:vAlign w:val="center"/>
          </w:tcPr>
          <w:p w14:paraId="76FA3515"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64" w:type="dxa"/>
            <w:shd w:val="clear" w:color="auto" w:fill="auto"/>
            <w:noWrap/>
            <w:vAlign w:val="center"/>
          </w:tcPr>
          <w:p w14:paraId="77D35A9D"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shd w:val="clear" w:color="auto" w:fill="auto"/>
            <w:noWrap/>
            <w:vAlign w:val="center"/>
          </w:tcPr>
          <w:p w14:paraId="0248402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07" w:type="dxa"/>
            <w:shd w:val="clear" w:color="auto" w:fill="auto"/>
            <w:noWrap/>
            <w:vAlign w:val="center"/>
          </w:tcPr>
          <w:p w14:paraId="28D11F0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799F7494"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shd w:val="clear" w:color="auto" w:fill="auto"/>
            <w:noWrap/>
            <w:vAlign w:val="center"/>
          </w:tcPr>
          <w:p w14:paraId="75485556"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72FEC2F1"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32899DC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64758E8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08F18B96" w14:textId="77777777" w:rsidTr="000D49B1">
        <w:trPr>
          <w:trHeight w:val="20"/>
        </w:trPr>
        <w:tc>
          <w:tcPr>
            <w:tcW w:w="469" w:type="dxa"/>
            <w:shd w:val="clear" w:color="auto" w:fill="auto"/>
            <w:noWrap/>
          </w:tcPr>
          <w:p w14:paraId="679E747B"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12</w:t>
            </w:r>
          </w:p>
        </w:tc>
        <w:tc>
          <w:tcPr>
            <w:tcW w:w="4214" w:type="dxa"/>
            <w:shd w:val="clear" w:color="auto" w:fill="FFFFFF"/>
          </w:tcPr>
          <w:p w14:paraId="44E777FD"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Deckschicht ohne Bindemittel</w:t>
            </w:r>
          </w:p>
        </w:tc>
        <w:tc>
          <w:tcPr>
            <w:tcW w:w="851" w:type="dxa"/>
            <w:shd w:val="clear" w:color="auto" w:fill="auto"/>
            <w:noWrap/>
            <w:vAlign w:val="center"/>
          </w:tcPr>
          <w:p w14:paraId="7EF2EE9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64" w:type="dxa"/>
            <w:shd w:val="clear" w:color="auto" w:fill="auto"/>
            <w:noWrap/>
            <w:vAlign w:val="center"/>
          </w:tcPr>
          <w:p w14:paraId="48B6F95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shd w:val="clear" w:color="auto" w:fill="auto"/>
            <w:noWrap/>
            <w:vAlign w:val="center"/>
          </w:tcPr>
          <w:p w14:paraId="2E88F964"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07" w:type="dxa"/>
            <w:shd w:val="clear" w:color="auto" w:fill="auto"/>
            <w:noWrap/>
            <w:vAlign w:val="center"/>
          </w:tcPr>
          <w:p w14:paraId="57D4494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060CA58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shd w:val="clear" w:color="auto" w:fill="auto"/>
            <w:noWrap/>
            <w:vAlign w:val="center"/>
          </w:tcPr>
          <w:p w14:paraId="2E36F95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0E09766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1C0EF195"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0456972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5EE2AB34" w14:textId="77777777" w:rsidTr="000D49B1">
        <w:trPr>
          <w:trHeight w:val="20"/>
        </w:trPr>
        <w:tc>
          <w:tcPr>
            <w:tcW w:w="469" w:type="dxa"/>
            <w:shd w:val="clear" w:color="auto" w:fill="auto"/>
            <w:noWrap/>
          </w:tcPr>
          <w:p w14:paraId="3584B9DB"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13</w:t>
            </w:r>
          </w:p>
        </w:tc>
        <w:tc>
          <w:tcPr>
            <w:tcW w:w="4214" w:type="dxa"/>
            <w:shd w:val="clear" w:color="auto" w:fill="FFFFFF"/>
          </w:tcPr>
          <w:p w14:paraId="3FDAE186"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proofErr w:type="spellStart"/>
            <w:r w:rsidRPr="000D49B1">
              <w:rPr>
                <w:rFonts w:ascii="Times New Roman" w:eastAsia="Times New Roman" w:hAnsi="Times New Roman" w:cs="Times New Roman"/>
                <w:sz w:val="18"/>
                <w:szCs w:val="18"/>
                <w:lang w:eastAsia="de-DE"/>
              </w:rPr>
              <w:t>ToB</w:t>
            </w:r>
            <w:proofErr w:type="spellEnd"/>
            <w:r w:rsidRPr="000D49B1">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shd w:val="clear" w:color="auto" w:fill="FFFFFF"/>
            <w:noWrap/>
            <w:vAlign w:val="center"/>
          </w:tcPr>
          <w:p w14:paraId="4B0A98C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2)</w:t>
            </w:r>
          </w:p>
        </w:tc>
        <w:tc>
          <w:tcPr>
            <w:tcW w:w="664" w:type="dxa"/>
            <w:shd w:val="clear" w:color="auto" w:fill="FFFFFF"/>
            <w:noWrap/>
            <w:vAlign w:val="center"/>
          </w:tcPr>
          <w:p w14:paraId="70943F51"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3)</w:t>
            </w:r>
          </w:p>
        </w:tc>
        <w:tc>
          <w:tcPr>
            <w:tcW w:w="1185" w:type="dxa"/>
            <w:shd w:val="clear" w:color="auto" w:fill="FFFFFF"/>
            <w:noWrap/>
            <w:vAlign w:val="center"/>
          </w:tcPr>
          <w:p w14:paraId="024E00A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07" w:type="dxa"/>
            <w:shd w:val="clear" w:color="auto" w:fill="auto"/>
            <w:noWrap/>
            <w:vAlign w:val="center"/>
          </w:tcPr>
          <w:p w14:paraId="057B2A96" w14:textId="77777777" w:rsidR="000D49B1" w:rsidRPr="000D49B1" w:rsidRDefault="000D49B1" w:rsidP="000D49B1">
            <w:pPr>
              <w:spacing w:before="0" w:after="0"/>
              <w:jc w:val="center"/>
              <w:rPr>
                <w:rFonts w:ascii="Times New Roman" w:eastAsia="Times New Roman" w:hAnsi="Times New Roman" w:cs="Times New Roman"/>
                <w:sz w:val="24"/>
                <w:szCs w:val="24"/>
                <w:vertAlign w:val="superscript"/>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2)</w:t>
            </w:r>
          </w:p>
        </w:tc>
        <w:tc>
          <w:tcPr>
            <w:tcW w:w="670" w:type="dxa"/>
            <w:shd w:val="clear" w:color="auto" w:fill="auto"/>
            <w:vAlign w:val="center"/>
          </w:tcPr>
          <w:p w14:paraId="611D66E7"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 xml:space="preserve"> 3)</w:t>
            </w:r>
          </w:p>
        </w:tc>
        <w:tc>
          <w:tcPr>
            <w:tcW w:w="500" w:type="dxa"/>
            <w:shd w:val="clear" w:color="auto" w:fill="auto"/>
            <w:noWrap/>
            <w:vAlign w:val="center"/>
          </w:tcPr>
          <w:p w14:paraId="4001956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2</w:t>
            </w:r>
          </w:p>
        </w:tc>
        <w:tc>
          <w:tcPr>
            <w:tcW w:w="670" w:type="dxa"/>
            <w:shd w:val="clear" w:color="auto" w:fill="auto"/>
            <w:vAlign w:val="center"/>
          </w:tcPr>
          <w:p w14:paraId="17CD9E1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 xml:space="preserve"> 3)</w:t>
            </w:r>
          </w:p>
        </w:tc>
        <w:tc>
          <w:tcPr>
            <w:tcW w:w="542" w:type="dxa"/>
            <w:shd w:val="clear" w:color="auto" w:fill="auto"/>
            <w:noWrap/>
            <w:vAlign w:val="center"/>
          </w:tcPr>
          <w:p w14:paraId="46375E2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 xml:space="preserve"> 3)</w:t>
            </w:r>
          </w:p>
        </w:tc>
        <w:tc>
          <w:tcPr>
            <w:tcW w:w="670" w:type="dxa"/>
            <w:shd w:val="clear" w:color="auto" w:fill="auto"/>
            <w:vAlign w:val="center"/>
          </w:tcPr>
          <w:p w14:paraId="5523F10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176B03F8" w14:textId="77777777" w:rsidTr="000D49B1">
        <w:trPr>
          <w:trHeight w:val="20"/>
        </w:trPr>
        <w:tc>
          <w:tcPr>
            <w:tcW w:w="469" w:type="dxa"/>
            <w:shd w:val="clear" w:color="auto" w:fill="auto"/>
            <w:noWrap/>
          </w:tcPr>
          <w:p w14:paraId="38CEC7ED"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14</w:t>
            </w:r>
          </w:p>
        </w:tc>
        <w:tc>
          <w:tcPr>
            <w:tcW w:w="4214" w:type="dxa"/>
            <w:shd w:val="clear" w:color="auto" w:fill="FFFFFF"/>
          </w:tcPr>
          <w:p w14:paraId="6FD8A75C"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Bauweisen 13 unter Plattenbelägen</w:t>
            </w:r>
          </w:p>
        </w:tc>
        <w:tc>
          <w:tcPr>
            <w:tcW w:w="851" w:type="dxa"/>
            <w:shd w:val="clear" w:color="auto" w:fill="FFFFFF"/>
            <w:noWrap/>
            <w:vAlign w:val="center"/>
          </w:tcPr>
          <w:p w14:paraId="6599739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2)</w:t>
            </w:r>
          </w:p>
        </w:tc>
        <w:tc>
          <w:tcPr>
            <w:tcW w:w="664" w:type="dxa"/>
            <w:shd w:val="clear" w:color="auto" w:fill="FFFFFF"/>
            <w:noWrap/>
            <w:vAlign w:val="center"/>
          </w:tcPr>
          <w:p w14:paraId="4AF3B1A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4)</w:t>
            </w:r>
          </w:p>
        </w:tc>
        <w:tc>
          <w:tcPr>
            <w:tcW w:w="1185" w:type="dxa"/>
            <w:shd w:val="clear" w:color="auto" w:fill="FFFFFF"/>
            <w:noWrap/>
            <w:vAlign w:val="center"/>
          </w:tcPr>
          <w:p w14:paraId="01F453E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07" w:type="dxa"/>
            <w:shd w:val="clear" w:color="auto" w:fill="auto"/>
            <w:noWrap/>
            <w:vAlign w:val="center"/>
          </w:tcPr>
          <w:p w14:paraId="154389C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2</w:t>
            </w:r>
          </w:p>
        </w:tc>
        <w:tc>
          <w:tcPr>
            <w:tcW w:w="670" w:type="dxa"/>
            <w:shd w:val="clear" w:color="auto" w:fill="auto"/>
            <w:vAlign w:val="center"/>
          </w:tcPr>
          <w:p w14:paraId="5B096E5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4)</w:t>
            </w:r>
          </w:p>
        </w:tc>
        <w:tc>
          <w:tcPr>
            <w:tcW w:w="500" w:type="dxa"/>
            <w:shd w:val="clear" w:color="auto" w:fill="auto"/>
            <w:noWrap/>
            <w:vAlign w:val="center"/>
          </w:tcPr>
          <w:p w14:paraId="13DBB2D1"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2</w:t>
            </w:r>
          </w:p>
        </w:tc>
        <w:tc>
          <w:tcPr>
            <w:tcW w:w="670" w:type="dxa"/>
            <w:shd w:val="clear" w:color="auto" w:fill="auto"/>
            <w:vAlign w:val="center"/>
          </w:tcPr>
          <w:p w14:paraId="6E67A4E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4)</w:t>
            </w:r>
          </w:p>
        </w:tc>
        <w:tc>
          <w:tcPr>
            <w:tcW w:w="542" w:type="dxa"/>
            <w:shd w:val="clear" w:color="auto" w:fill="auto"/>
            <w:noWrap/>
            <w:vAlign w:val="center"/>
          </w:tcPr>
          <w:p w14:paraId="192E663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4)</w:t>
            </w:r>
          </w:p>
        </w:tc>
        <w:tc>
          <w:tcPr>
            <w:tcW w:w="670" w:type="dxa"/>
            <w:shd w:val="clear" w:color="auto" w:fill="auto"/>
            <w:vAlign w:val="center"/>
          </w:tcPr>
          <w:p w14:paraId="24136734"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425F383C" w14:textId="77777777" w:rsidTr="000D49B1">
        <w:trPr>
          <w:trHeight w:val="20"/>
        </w:trPr>
        <w:tc>
          <w:tcPr>
            <w:tcW w:w="469" w:type="dxa"/>
            <w:shd w:val="clear" w:color="auto" w:fill="auto"/>
            <w:noWrap/>
          </w:tcPr>
          <w:p w14:paraId="7F83FEE8"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15</w:t>
            </w:r>
          </w:p>
        </w:tc>
        <w:tc>
          <w:tcPr>
            <w:tcW w:w="4214" w:type="dxa"/>
            <w:shd w:val="clear" w:color="auto" w:fill="FFFFFF"/>
          </w:tcPr>
          <w:p w14:paraId="05D704DE"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 xml:space="preserve">Bauweisen 13 unter Pflaster </w:t>
            </w:r>
          </w:p>
        </w:tc>
        <w:tc>
          <w:tcPr>
            <w:tcW w:w="851" w:type="dxa"/>
            <w:shd w:val="clear" w:color="auto" w:fill="auto"/>
            <w:noWrap/>
            <w:vAlign w:val="center"/>
          </w:tcPr>
          <w:p w14:paraId="24E2726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2)</w:t>
            </w:r>
          </w:p>
        </w:tc>
        <w:tc>
          <w:tcPr>
            <w:tcW w:w="664" w:type="dxa"/>
            <w:shd w:val="clear" w:color="auto" w:fill="auto"/>
            <w:noWrap/>
            <w:vAlign w:val="center"/>
          </w:tcPr>
          <w:p w14:paraId="1E4C4E7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shd w:val="clear" w:color="auto" w:fill="auto"/>
            <w:noWrap/>
            <w:vAlign w:val="center"/>
          </w:tcPr>
          <w:p w14:paraId="7069D0D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07" w:type="dxa"/>
            <w:shd w:val="clear" w:color="auto" w:fill="auto"/>
            <w:noWrap/>
            <w:vAlign w:val="center"/>
          </w:tcPr>
          <w:p w14:paraId="267CA94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2)</w:t>
            </w:r>
          </w:p>
        </w:tc>
        <w:tc>
          <w:tcPr>
            <w:tcW w:w="670" w:type="dxa"/>
            <w:shd w:val="clear" w:color="auto" w:fill="auto"/>
            <w:vAlign w:val="center"/>
          </w:tcPr>
          <w:p w14:paraId="17761FD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shd w:val="clear" w:color="auto" w:fill="auto"/>
            <w:noWrap/>
            <w:vAlign w:val="center"/>
          </w:tcPr>
          <w:p w14:paraId="29AF82C6"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2)</w:t>
            </w:r>
          </w:p>
        </w:tc>
        <w:tc>
          <w:tcPr>
            <w:tcW w:w="670" w:type="dxa"/>
            <w:shd w:val="clear" w:color="auto" w:fill="auto"/>
            <w:vAlign w:val="center"/>
          </w:tcPr>
          <w:p w14:paraId="4D38A45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1105A99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21472B9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6E37F431" w14:textId="77777777" w:rsidTr="000D49B1">
        <w:trPr>
          <w:trHeight w:val="20"/>
        </w:trPr>
        <w:tc>
          <w:tcPr>
            <w:tcW w:w="469" w:type="dxa"/>
            <w:shd w:val="clear" w:color="auto" w:fill="auto"/>
            <w:noWrap/>
          </w:tcPr>
          <w:p w14:paraId="59FD387A"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16</w:t>
            </w:r>
          </w:p>
        </w:tc>
        <w:tc>
          <w:tcPr>
            <w:tcW w:w="4214" w:type="dxa"/>
            <w:shd w:val="clear" w:color="auto" w:fill="FFFFFF"/>
          </w:tcPr>
          <w:p w14:paraId="626C82A0"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proofErr w:type="spellStart"/>
            <w:r w:rsidRPr="000D49B1">
              <w:rPr>
                <w:rFonts w:ascii="Times New Roman" w:eastAsia="Times New Roman" w:hAnsi="Times New Roman" w:cs="Times New Roman"/>
                <w:sz w:val="18"/>
                <w:szCs w:val="18"/>
                <w:lang w:eastAsia="de-DE"/>
              </w:rPr>
              <w:t>Hinterfüllung</w:t>
            </w:r>
            <w:proofErr w:type="spellEnd"/>
            <w:r w:rsidRPr="000D49B1">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0D49B1">
              <w:rPr>
                <w:rFonts w:ascii="Times New Roman" w:eastAsia="Times New Roman" w:hAnsi="Times New Roman" w:cs="Times New Roman"/>
                <w:sz w:val="18"/>
                <w:szCs w:val="18"/>
                <w:lang w:eastAsia="de-DE"/>
              </w:rPr>
              <w:t>Hinterfüllung</w:t>
            </w:r>
            <w:proofErr w:type="spellEnd"/>
            <w:r w:rsidRPr="000D49B1">
              <w:rPr>
                <w:rFonts w:ascii="Times New Roman" w:eastAsia="Times New Roman" w:hAnsi="Times New Roman" w:cs="Times New Roman"/>
                <w:sz w:val="18"/>
                <w:szCs w:val="18"/>
                <w:lang w:eastAsia="de-DE"/>
              </w:rPr>
              <w:t xml:space="preserve"> analog zu Bauweise E des MTSE </w:t>
            </w:r>
          </w:p>
        </w:tc>
        <w:tc>
          <w:tcPr>
            <w:tcW w:w="851" w:type="dxa"/>
            <w:shd w:val="clear" w:color="auto" w:fill="auto"/>
            <w:noWrap/>
            <w:vAlign w:val="center"/>
          </w:tcPr>
          <w:p w14:paraId="77DC19F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2)</w:t>
            </w:r>
          </w:p>
        </w:tc>
        <w:tc>
          <w:tcPr>
            <w:tcW w:w="664" w:type="dxa"/>
            <w:shd w:val="clear" w:color="auto" w:fill="auto"/>
            <w:noWrap/>
            <w:vAlign w:val="center"/>
          </w:tcPr>
          <w:p w14:paraId="51DC79B6"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shd w:val="clear" w:color="auto" w:fill="auto"/>
            <w:noWrap/>
            <w:vAlign w:val="center"/>
          </w:tcPr>
          <w:p w14:paraId="12360D77"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07" w:type="dxa"/>
            <w:shd w:val="clear" w:color="auto" w:fill="auto"/>
            <w:noWrap/>
            <w:vAlign w:val="center"/>
          </w:tcPr>
          <w:p w14:paraId="3EAF599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2)</w:t>
            </w:r>
          </w:p>
        </w:tc>
        <w:tc>
          <w:tcPr>
            <w:tcW w:w="670" w:type="dxa"/>
            <w:shd w:val="clear" w:color="auto" w:fill="auto"/>
            <w:vAlign w:val="center"/>
          </w:tcPr>
          <w:p w14:paraId="680D852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shd w:val="clear" w:color="auto" w:fill="auto"/>
            <w:noWrap/>
            <w:vAlign w:val="center"/>
          </w:tcPr>
          <w:p w14:paraId="69BAB81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2)</w:t>
            </w:r>
          </w:p>
        </w:tc>
        <w:tc>
          <w:tcPr>
            <w:tcW w:w="670" w:type="dxa"/>
            <w:shd w:val="clear" w:color="auto" w:fill="auto"/>
            <w:vAlign w:val="center"/>
          </w:tcPr>
          <w:p w14:paraId="3B35DCD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1C65252E"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6F5014B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0FA18BB9" w14:textId="77777777" w:rsidTr="000D49B1">
        <w:trPr>
          <w:trHeight w:val="208"/>
        </w:trPr>
        <w:tc>
          <w:tcPr>
            <w:tcW w:w="469" w:type="dxa"/>
            <w:shd w:val="clear" w:color="auto" w:fill="auto"/>
            <w:noWrap/>
          </w:tcPr>
          <w:p w14:paraId="739FE6B8"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17</w:t>
            </w:r>
          </w:p>
        </w:tc>
        <w:tc>
          <w:tcPr>
            <w:tcW w:w="4214" w:type="dxa"/>
            <w:shd w:val="clear" w:color="auto" w:fill="FFFFFF"/>
          </w:tcPr>
          <w:p w14:paraId="586328D6"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shd w:val="clear" w:color="auto" w:fill="auto"/>
            <w:noWrap/>
            <w:vAlign w:val="center"/>
          </w:tcPr>
          <w:p w14:paraId="6F228DA7"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2)</w:t>
            </w:r>
          </w:p>
        </w:tc>
        <w:tc>
          <w:tcPr>
            <w:tcW w:w="664" w:type="dxa"/>
            <w:shd w:val="clear" w:color="auto" w:fill="auto"/>
            <w:noWrap/>
            <w:vAlign w:val="center"/>
          </w:tcPr>
          <w:p w14:paraId="1BA13FC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shd w:val="clear" w:color="auto" w:fill="auto"/>
            <w:noWrap/>
            <w:vAlign w:val="center"/>
          </w:tcPr>
          <w:p w14:paraId="14193FF7"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07" w:type="dxa"/>
            <w:shd w:val="clear" w:color="auto" w:fill="auto"/>
            <w:noWrap/>
            <w:vAlign w:val="center"/>
          </w:tcPr>
          <w:p w14:paraId="27B7ABD1"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2)</w:t>
            </w:r>
          </w:p>
        </w:tc>
        <w:tc>
          <w:tcPr>
            <w:tcW w:w="670" w:type="dxa"/>
            <w:shd w:val="clear" w:color="auto" w:fill="auto"/>
            <w:vAlign w:val="center"/>
          </w:tcPr>
          <w:p w14:paraId="4C47368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shd w:val="clear" w:color="auto" w:fill="auto"/>
            <w:noWrap/>
            <w:vAlign w:val="center"/>
          </w:tcPr>
          <w:p w14:paraId="6303F5C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2)</w:t>
            </w:r>
          </w:p>
        </w:tc>
        <w:tc>
          <w:tcPr>
            <w:tcW w:w="670" w:type="dxa"/>
            <w:shd w:val="clear" w:color="auto" w:fill="auto"/>
            <w:vAlign w:val="center"/>
          </w:tcPr>
          <w:p w14:paraId="29F9464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5B0A3AAE"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327A0F16"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bl>
    <w:p w14:paraId="4379EBAF" w14:textId="77777777" w:rsidR="000D49B1" w:rsidRPr="000D49B1" w:rsidRDefault="000D49B1" w:rsidP="000D49B1">
      <w:pPr>
        <w:spacing w:before="0" w:after="0"/>
        <w:jc w:val="left"/>
        <w:rPr>
          <w:rFonts w:ascii="Times New Roman" w:eastAsia="Times New Roman" w:hAnsi="Times New Roman" w:cs="Times New Roman"/>
          <w:sz w:val="16"/>
          <w:szCs w:val="16"/>
          <w:lang w:eastAsia="de-DE"/>
        </w:rPr>
      </w:pPr>
      <w:r w:rsidRPr="000D49B1">
        <w:rPr>
          <w:rFonts w:ascii="Times New Roman" w:eastAsia="Times New Roman" w:hAnsi="Times New Roman" w:cs="Times New Roman"/>
          <w:sz w:val="16"/>
          <w:szCs w:val="16"/>
          <w:lang w:eastAsia="de-DE"/>
        </w:rPr>
        <w:t xml:space="preserve">1) Zulässig, wenn Chrom, ges.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110 µg/l und PAK</w:t>
      </w:r>
      <w:r w:rsidRPr="000D49B1">
        <w:rPr>
          <w:rFonts w:ascii="Times New Roman" w:eastAsia="Times New Roman" w:hAnsi="Times New Roman" w:cs="Times New Roman"/>
          <w:sz w:val="16"/>
          <w:szCs w:val="16"/>
          <w:vertAlign w:val="subscript"/>
          <w:lang w:eastAsia="de-DE"/>
        </w:rPr>
        <w:t>15</w:t>
      </w:r>
      <w:r w:rsidRPr="000D49B1">
        <w:rPr>
          <w:rFonts w:ascii="Times New Roman" w:eastAsia="Times New Roman" w:hAnsi="Times New Roman" w:cs="Times New Roman"/>
          <w:sz w:val="16"/>
          <w:szCs w:val="16"/>
          <w:lang w:eastAsia="de-DE"/>
        </w:rPr>
        <w:t xml:space="preserve">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2,3 µg/l. </w:t>
      </w:r>
    </w:p>
    <w:p w14:paraId="37536A3F" w14:textId="77777777" w:rsidR="000D49B1" w:rsidRPr="000D49B1" w:rsidRDefault="000D49B1" w:rsidP="000D49B1">
      <w:pPr>
        <w:spacing w:before="0" w:after="0"/>
        <w:jc w:val="left"/>
        <w:rPr>
          <w:rFonts w:ascii="Times New Roman" w:eastAsia="Times New Roman" w:hAnsi="Times New Roman" w:cs="Times New Roman"/>
          <w:sz w:val="16"/>
          <w:szCs w:val="16"/>
          <w:lang w:eastAsia="de-DE"/>
        </w:rPr>
      </w:pPr>
      <w:r w:rsidRPr="000D49B1">
        <w:rPr>
          <w:rFonts w:ascii="Times New Roman" w:eastAsia="Times New Roman" w:hAnsi="Times New Roman" w:cs="Times New Roman"/>
          <w:sz w:val="16"/>
          <w:szCs w:val="16"/>
          <w:lang w:eastAsia="de-DE"/>
        </w:rPr>
        <w:t xml:space="preserve">2) Zulässig, wenn Chrom, ges.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15 µg/l, Kupfer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30 µg/l, Vanadium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30 µg/l und PAK15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0,3 µg/l. </w:t>
      </w:r>
    </w:p>
    <w:p w14:paraId="161FCC47" w14:textId="77777777" w:rsidR="000D49B1" w:rsidRPr="000D49B1" w:rsidRDefault="000D49B1" w:rsidP="000D49B1">
      <w:pPr>
        <w:tabs>
          <w:tab w:val="left" w:pos="142"/>
        </w:tabs>
        <w:spacing w:before="0" w:after="0"/>
        <w:jc w:val="left"/>
        <w:rPr>
          <w:rFonts w:ascii="Times New Roman" w:eastAsia="Times New Roman" w:hAnsi="Times New Roman" w:cs="Times New Roman"/>
          <w:sz w:val="16"/>
          <w:szCs w:val="16"/>
          <w:lang w:eastAsia="de-DE"/>
        </w:rPr>
      </w:pPr>
      <w:r w:rsidRPr="000D49B1">
        <w:rPr>
          <w:rFonts w:ascii="Times New Roman" w:eastAsia="Times New Roman" w:hAnsi="Times New Roman" w:cs="Times New Roman"/>
          <w:sz w:val="16"/>
          <w:szCs w:val="16"/>
          <w:lang w:eastAsia="de-DE"/>
        </w:rPr>
        <w:t xml:space="preserve">3) Zulässig, wenn Vanadium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55 µg/l und PAK</w:t>
      </w:r>
      <w:r w:rsidRPr="000D49B1">
        <w:rPr>
          <w:rFonts w:ascii="Times New Roman" w:eastAsia="Times New Roman" w:hAnsi="Times New Roman" w:cs="Times New Roman"/>
          <w:sz w:val="16"/>
          <w:szCs w:val="16"/>
          <w:vertAlign w:val="subscript"/>
          <w:lang w:eastAsia="de-DE"/>
        </w:rPr>
        <w:t>15</w:t>
      </w:r>
      <w:r w:rsidRPr="000D49B1">
        <w:rPr>
          <w:rFonts w:ascii="Times New Roman" w:eastAsia="Times New Roman" w:hAnsi="Times New Roman" w:cs="Times New Roman"/>
          <w:sz w:val="16"/>
          <w:szCs w:val="16"/>
          <w:lang w:eastAsia="de-DE"/>
        </w:rPr>
        <w:t xml:space="preserve">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2,7 µg/l. </w:t>
      </w:r>
    </w:p>
    <w:p w14:paraId="5CEC8E04" w14:textId="77777777" w:rsidR="000D49B1" w:rsidRPr="000D49B1" w:rsidRDefault="000D49B1" w:rsidP="000D49B1">
      <w:pPr>
        <w:tabs>
          <w:tab w:val="left" w:pos="142"/>
        </w:tabs>
        <w:spacing w:before="0" w:after="0"/>
        <w:jc w:val="left"/>
        <w:rPr>
          <w:rFonts w:ascii="Times New Roman" w:eastAsia="Times New Roman" w:hAnsi="Times New Roman" w:cs="Times New Roman"/>
          <w:sz w:val="16"/>
          <w:szCs w:val="16"/>
          <w:lang w:eastAsia="de-DE"/>
        </w:rPr>
      </w:pPr>
      <w:r w:rsidRPr="000D49B1">
        <w:rPr>
          <w:rFonts w:ascii="Times New Roman" w:eastAsia="Times New Roman" w:hAnsi="Times New Roman" w:cs="Times New Roman"/>
          <w:sz w:val="16"/>
          <w:szCs w:val="16"/>
          <w:lang w:eastAsia="de-DE"/>
        </w:rPr>
        <w:t xml:space="preserve">4) Zulässig, wenn Vanadium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90 µg/l. </w:t>
      </w:r>
    </w:p>
    <w:p w14:paraId="7A112191" w14:textId="77777777" w:rsidR="00F43C5E" w:rsidRPr="008D0377" w:rsidRDefault="00F43C5E" w:rsidP="00F43C5E">
      <w:pPr>
        <w:pStyle w:val="berschrift1"/>
      </w:pPr>
      <w:bookmarkStart w:id="38" w:name="_Toc30749691"/>
      <w:r w:rsidRPr="008D0377">
        <w:t>Tabelle 2: Recycling Baustoff der Klasse 2 (RC-2)</w:t>
      </w:r>
      <w:bookmarkEnd w:id="38"/>
    </w:p>
    <w:p w14:paraId="7E41AA03" w14:textId="77777777" w:rsidR="000D49B1" w:rsidRPr="000D49B1" w:rsidRDefault="000D49B1" w:rsidP="000D49B1">
      <w:pPr>
        <w:pStyle w:val="Text"/>
      </w:pPr>
    </w:p>
    <w:tbl>
      <w:tblPr>
        <w:tblW w:w="11522" w:type="dxa"/>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703"/>
        <w:gridCol w:w="1185"/>
        <w:gridCol w:w="821"/>
        <w:gridCol w:w="715"/>
        <w:gridCol w:w="500"/>
        <w:gridCol w:w="715"/>
        <w:gridCol w:w="703"/>
        <w:gridCol w:w="715"/>
      </w:tblGrid>
      <w:tr w:rsidR="00F43C5E" w:rsidRPr="00F43C5E" w14:paraId="39FA5923" w14:textId="77777777" w:rsidTr="00F43C5E">
        <w:trPr>
          <w:trHeight w:val="330"/>
        </w:trPr>
        <w:tc>
          <w:tcPr>
            <w:tcW w:w="11522" w:type="dxa"/>
            <w:gridSpan w:val="11"/>
            <w:noWrap/>
            <w:vAlign w:val="bottom"/>
          </w:tcPr>
          <w:p w14:paraId="38243C7C" w14:textId="77777777" w:rsidR="00F43C5E" w:rsidRPr="00F43C5E" w:rsidRDefault="00F43C5E" w:rsidP="00F43C5E">
            <w:pPr>
              <w:spacing w:before="0" w:after="0"/>
              <w:jc w:val="center"/>
              <w:rPr>
                <w:rFonts w:ascii="Times New Roman" w:eastAsia="Times New Roman" w:hAnsi="Times New Roman" w:cs="Times New Roman"/>
                <w:b/>
                <w:sz w:val="24"/>
                <w:szCs w:val="24"/>
                <w:lang w:eastAsia="de-DE"/>
              </w:rPr>
            </w:pPr>
            <w:r w:rsidRPr="00F43C5E">
              <w:rPr>
                <w:rFonts w:ascii="Times New Roman" w:eastAsia="Times New Roman" w:hAnsi="Times New Roman" w:cs="Times New Roman"/>
                <w:b/>
                <w:sz w:val="24"/>
                <w:szCs w:val="24"/>
                <w:lang w:eastAsia="de-DE"/>
              </w:rPr>
              <w:br w:type="page"/>
            </w:r>
            <w:r w:rsidRPr="00F43C5E">
              <w:rPr>
                <w:rFonts w:ascii="Times New Roman" w:eastAsia="Times New Roman" w:hAnsi="Times New Roman" w:cs="Times New Roman"/>
                <w:b/>
                <w:sz w:val="24"/>
                <w:szCs w:val="24"/>
                <w:lang w:eastAsia="de-DE"/>
              </w:rPr>
              <w:br w:type="page"/>
            </w:r>
            <w:r w:rsidRPr="00F43C5E">
              <w:rPr>
                <w:rFonts w:ascii="Times New Roman" w:eastAsia="Times New Roman" w:hAnsi="Times New Roman" w:cs="Times New Roman"/>
                <w:b/>
                <w:sz w:val="24"/>
                <w:szCs w:val="24"/>
                <w:lang w:eastAsia="de-DE"/>
              </w:rPr>
              <w:br w:type="page"/>
            </w:r>
            <w:r w:rsidRPr="00F43C5E">
              <w:rPr>
                <w:rFonts w:ascii="Times New Roman" w:eastAsia="Times New Roman" w:hAnsi="Times New Roman" w:cs="Times New Roman"/>
                <w:b/>
                <w:sz w:val="24"/>
                <w:szCs w:val="24"/>
                <w:lang w:eastAsia="de-DE"/>
              </w:rPr>
              <w:br w:type="page"/>
              <w:t xml:space="preserve">Recycling-Baustoff der Klasse 2 (RC-2) </w:t>
            </w:r>
          </w:p>
          <w:p w14:paraId="61314393" w14:textId="77777777" w:rsidR="00F43C5E" w:rsidRPr="00F43C5E" w:rsidRDefault="00F43C5E" w:rsidP="00F43C5E">
            <w:pPr>
              <w:spacing w:before="0" w:after="0"/>
              <w:jc w:val="center"/>
              <w:rPr>
                <w:rFonts w:ascii="Times New Roman" w:eastAsia="Times New Roman" w:hAnsi="Times New Roman" w:cs="Times New Roman"/>
                <w:b/>
                <w:sz w:val="24"/>
                <w:szCs w:val="24"/>
                <w:lang w:eastAsia="de-DE"/>
              </w:rPr>
            </w:pPr>
          </w:p>
        </w:tc>
      </w:tr>
      <w:tr w:rsidR="00F43C5E" w:rsidRPr="00F43C5E" w14:paraId="5EF84DD3" w14:textId="77777777" w:rsidTr="00F43C5E">
        <w:trPr>
          <w:trHeight w:val="20"/>
        </w:trPr>
        <w:tc>
          <w:tcPr>
            <w:tcW w:w="4683" w:type="dxa"/>
            <w:gridSpan w:val="2"/>
            <w:vMerge w:val="restart"/>
            <w:shd w:val="clear" w:color="auto" w:fill="auto"/>
            <w:noWrap/>
          </w:tcPr>
          <w:p w14:paraId="543A5B6C" w14:textId="77777777" w:rsidR="00F43C5E" w:rsidRPr="00F43C5E" w:rsidRDefault="00F43C5E" w:rsidP="00F43C5E">
            <w:pPr>
              <w:spacing w:before="0" w:after="0"/>
              <w:jc w:val="center"/>
              <w:rPr>
                <w:rFonts w:ascii="Times New Roman" w:eastAsia="Times New Roman" w:hAnsi="Times New Roman" w:cs="Times New Roman"/>
                <w:b/>
                <w:sz w:val="24"/>
                <w:szCs w:val="24"/>
                <w:lang w:eastAsia="de-DE"/>
              </w:rPr>
            </w:pPr>
            <w:r w:rsidRPr="00F43C5E">
              <w:rPr>
                <w:rFonts w:ascii="Times New Roman" w:eastAsia="Times New Roman" w:hAnsi="Times New Roman" w:cs="Times New Roman"/>
                <w:b/>
                <w:sz w:val="24"/>
                <w:szCs w:val="24"/>
                <w:lang w:eastAsia="de-DE"/>
              </w:rPr>
              <w:lastRenderedPageBreak/>
              <w:t>Einbauweise</w:t>
            </w:r>
          </w:p>
        </w:tc>
        <w:tc>
          <w:tcPr>
            <w:tcW w:w="6839" w:type="dxa"/>
            <w:gridSpan w:val="9"/>
            <w:shd w:val="clear" w:color="auto" w:fill="auto"/>
            <w:noWrap/>
            <w:vAlign w:val="center"/>
          </w:tcPr>
          <w:p w14:paraId="5DD2118E" w14:textId="77777777" w:rsidR="00F43C5E" w:rsidRPr="00F43C5E" w:rsidRDefault="00F43C5E" w:rsidP="00F43C5E">
            <w:pPr>
              <w:spacing w:before="0" w:after="0"/>
              <w:jc w:val="center"/>
              <w:rPr>
                <w:rFonts w:ascii="Times New Roman" w:eastAsia="Times New Roman" w:hAnsi="Times New Roman" w:cs="Times New Roman"/>
                <w:b/>
                <w:sz w:val="24"/>
                <w:szCs w:val="24"/>
                <w:lang w:eastAsia="de-DE"/>
              </w:rPr>
            </w:pPr>
            <w:r w:rsidRPr="00F43C5E">
              <w:rPr>
                <w:rFonts w:ascii="Times New Roman" w:eastAsia="Times New Roman" w:hAnsi="Times New Roman" w:cs="Times New Roman"/>
                <w:b/>
                <w:sz w:val="24"/>
                <w:szCs w:val="24"/>
                <w:lang w:eastAsia="de-DE"/>
              </w:rPr>
              <w:t>Eigenschaft der Grundwasserdeckschicht</w:t>
            </w:r>
          </w:p>
        </w:tc>
      </w:tr>
      <w:tr w:rsidR="00F43C5E" w:rsidRPr="00F43C5E" w14:paraId="6558F9BF" w14:textId="77777777" w:rsidTr="00F43C5E">
        <w:trPr>
          <w:trHeight w:val="20"/>
        </w:trPr>
        <w:tc>
          <w:tcPr>
            <w:tcW w:w="4683" w:type="dxa"/>
            <w:gridSpan w:val="2"/>
            <w:vMerge/>
            <w:shd w:val="clear" w:color="auto" w:fill="auto"/>
            <w:noWrap/>
            <w:vAlign w:val="center"/>
          </w:tcPr>
          <w:p w14:paraId="76CE7E4D" w14:textId="77777777" w:rsidR="00F43C5E" w:rsidRPr="00F43C5E" w:rsidRDefault="00F43C5E" w:rsidP="00F43C5E">
            <w:pPr>
              <w:spacing w:before="0" w:after="0"/>
              <w:jc w:val="center"/>
              <w:rPr>
                <w:rFonts w:ascii="Times New Roman" w:eastAsia="Times New Roman" w:hAnsi="Times New Roman" w:cs="Times New Roman"/>
                <w:sz w:val="20"/>
                <w:szCs w:val="24"/>
                <w:lang w:eastAsia="de-DE"/>
              </w:rPr>
            </w:pPr>
          </w:p>
        </w:tc>
        <w:tc>
          <w:tcPr>
            <w:tcW w:w="2739" w:type="dxa"/>
            <w:gridSpan w:val="3"/>
            <w:shd w:val="clear" w:color="auto" w:fill="auto"/>
            <w:noWrap/>
            <w:vAlign w:val="center"/>
          </w:tcPr>
          <w:p w14:paraId="6AD04A54" w14:textId="77777777" w:rsidR="00F43C5E" w:rsidRPr="00F43C5E" w:rsidRDefault="00F43C5E" w:rsidP="00F43C5E">
            <w:pPr>
              <w:spacing w:before="0" w:after="0"/>
              <w:jc w:val="center"/>
              <w:rPr>
                <w:rFonts w:ascii="Times New Roman" w:eastAsia="Times New Roman" w:hAnsi="Times New Roman" w:cs="Times New Roman"/>
                <w:sz w:val="20"/>
                <w:szCs w:val="20"/>
                <w:lang w:eastAsia="de-DE"/>
              </w:rPr>
            </w:pPr>
            <w:r w:rsidRPr="00F43C5E">
              <w:rPr>
                <w:rFonts w:ascii="Times New Roman" w:eastAsia="Times New Roman" w:hAnsi="Times New Roman" w:cs="Times New Roman"/>
                <w:sz w:val="20"/>
                <w:szCs w:val="20"/>
                <w:lang w:eastAsia="de-DE"/>
              </w:rPr>
              <w:t>außerhalb von</w:t>
            </w:r>
          </w:p>
          <w:p w14:paraId="53C06A2E" w14:textId="77777777" w:rsidR="00F43C5E" w:rsidRPr="00F43C5E" w:rsidRDefault="00F43C5E" w:rsidP="00F43C5E">
            <w:pPr>
              <w:spacing w:before="0" w:after="0"/>
              <w:jc w:val="center"/>
              <w:rPr>
                <w:rFonts w:ascii="Times New Roman" w:eastAsia="Times New Roman" w:hAnsi="Times New Roman" w:cs="Times New Roman"/>
                <w:sz w:val="20"/>
                <w:szCs w:val="20"/>
                <w:lang w:eastAsia="de-DE"/>
              </w:rPr>
            </w:pPr>
            <w:r w:rsidRPr="00F43C5E">
              <w:rPr>
                <w:rFonts w:ascii="Times New Roman" w:eastAsia="Times New Roman" w:hAnsi="Times New Roman" w:cs="Times New Roman"/>
                <w:sz w:val="20"/>
                <w:szCs w:val="20"/>
                <w:lang w:eastAsia="de-DE"/>
              </w:rPr>
              <w:t>Wasserschutzbereichen</w:t>
            </w:r>
          </w:p>
        </w:tc>
        <w:tc>
          <w:tcPr>
            <w:tcW w:w="4100" w:type="dxa"/>
            <w:gridSpan w:val="6"/>
            <w:shd w:val="clear" w:color="auto" w:fill="auto"/>
            <w:noWrap/>
            <w:vAlign w:val="center"/>
          </w:tcPr>
          <w:p w14:paraId="17B655AF" w14:textId="77777777" w:rsidR="00F43C5E" w:rsidRPr="00F43C5E" w:rsidRDefault="00F43C5E" w:rsidP="00F43C5E">
            <w:pPr>
              <w:spacing w:before="0" w:after="0"/>
              <w:jc w:val="center"/>
              <w:rPr>
                <w:rFonts w:ascii="Times New Roman" w:eastAsia="Times New Roman" w:hAnsi="Times New Roman" w:cs="Times New Roman"/>
                <w:sz w:val="20"/>
                <w:szCs w:val="20"/>
                <w:lang w:eastAsia="de-DE"/>
              </w:rPr>
            </w:pPr>
            <w:r w:rsidRPr="00F43C5E">
              <w:rPr>
                <w:rFonts w:ascii="Times New Roman" w:eastAsia="Times New Roman" w:hAnsi="Times New Roman" w:cs="Times New Roman"/>
                <w:sz w:val="20"/>
                <w:szCs w:val="20"/>
                <w:lang w:eastAsia="de-DE"/>
              </w:rPr>
              <w:t>innerhalb von</w:t>
            </w:r>
          </w:p>
          <w:p w14:paraId="4901CE6D" w14:textId="77777777" w:rsidR="00F43C5E" w:rsidRPr="00F43C5E" w:rsidRDefault="00F43C5E" w:rsidP="00F43C5E">
            <w:pPr>
              <w:spacing w:before="0" w:after="0"/>
              <w:jc w:val="center"/>
              <w:rPr>
                <w:rFonts w:ascii="Times New Roman" w:eastAsia="Times New Roman" w:hAnsi="Times New Roman" w:cs="Times New Roman"/>
                <w:sz w:val="20"/>
                <w:szCs w:val="20"/>
                <w:lang w:eastAsia="de-DE"/>
              </w:rPr>
            </w:pPr>
            <w:r w:rsidRPr="00F43C5E">
              <w:rPr>
                <w:rFonts w:ascii="Times New Roman" w:eastAsia="Times New Roman" w:hAnsi="Times New Roman" w:cs="Times New Roman"/>
                <w:sz w:val="20"/>
                <w:szCs w:val="20"/>
                <w:lang w:eastAsia="de-DE"/>
              </w:rPr>
              <w:t>Wasserschutzbereichen</w:t>
            </w:r>
          </w:p>
        </w:tc>
      </w:tr>
      <w:tr w:rsidR="00F43C5E" w:rsidRPr="00F43C5E" w14:paraId="1493784A" w14:textId="77777777" w:rsidTr="00F43C5E">
        <w:trPr>
          <w:trHeight w:val="20"/>
        </w:trPr>
        <w:tc>
          <w:tcPr>
            <w:tcW w:w="4683" w:type="dxa"/>
            <w:gridSpan w:val="2"/>
            <w:vMerge/>
            <w:shd w:val="clear" w:color="auto" w:fill="auto"/>
            <w:noWrap/>
            <w:vAlign w:val="center"/>
          </w:tcPr>
          <w:p w14:paraId="2171FF89"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2D64FADF" w14:textId="77777777" w:rsidR="00F43C5E" w:rsidRPr="00F43C5E" w:rsidRDefault="00F43C5E" w:rsidP="00F43C5E">
            <w:pPr>
              <w:spacing w:before="0" w:after="0"/>
              <w:jc w:val="center"/>
              <w:rPr>
                <w:rFonts w:ascii="Times New Roman" w:eastAsia="Times New Roman" w:hAnsi="Times New Roman" w:cs="Times New Roman"/>
                <w:sz w:val="20"/>
                <w:szCs w:val="20"/>
                <w:lang w:eastAsia="de-DE"/>
              </w:rPr>
            </w:pPr>
            <w:proofErr w:type="spellStart"/>
            <w:r w:rsidRPr="00F43C5E">
              <w:rPr>
                <w:rFonts w:ascii="Times New Roman" w:eastAsia="Times New Roman" w:hAnsi="Times New Roman" w:cs="Times New Roman"/>
                <w:sz w:val="20"/>
                <w:szCs w:val="20"/>
                <w:lang w:eastAsia="de-DE"/>
              </w:rPr>
              <w:t>un</w:t>
            </w:r>
            <w:proofErr w:type="spellEnd"/>
            <w:r w:rsidRPr="00F43C5E">
              <w:rPr>
                <w:rFonts w:ascii="Times New Roman" w:eastAsia="Times New Roman" w:hAnsi="Times New Roman" w:cs="Times New Roman"/>
                <w:sz w:val="20"/>
                <w:szCs w:val="20"/>
                <w:lang w:eastAsia="de-DE"/>
              </w:rPr>
              <w:t>-günstig</w:t>
            </w:r>
          </w:p>
        </w:tc>
        <w:tc>
          <w:tcPr>
            <w:tcW w:w="1888" w:type="dxa"/>
            <w:gridSpan w:val="2"/>
            <w:shd w:val="clear" w:color="auto" w:fill="auto"/>
            <w:noWrap/>
            <w:vAlign w:val="center"/>
          </w:tcPr>
          <w:p w14:paraId="15F8F729" w14:textId="77777777" w:rsidR="00F43C5E" w:rsidRPr="00F43C5E" w:rsidRDefault="00F43C5E" w:rsidP="00F43C5E">
            <w:pPr>
              <w:spacing w:before="0" w:after="0"/>
              <w:jc w:val="center"/>
              <w:rPr>
                <w:rFonts w:ascii="Times New Roman" w:eastAsia="Times New Roman" w:hAnsi="Times New Roman" w:cs="Times New Roman"/>
                <w:sz w:val="20"/>
                <w:szCs w:val="20"/>
                <w:lang w:eastAsia="de-DE"/>
              </w:rPr>
            </w:pPr>
            <w:r w:rsidRPr="00F43C5E">
              <w:rPr>
                <w:rFonts w:ascii="Times New Roman" w:eastAsia="Times New Roman" w:hAnsi="Times New Roman" w:cs="Times New Roman"/>
                <w:sz w:val="20"/>
                <w:szCs w:val="20"/>
                <w:lang w:eastAsia="de-DE"/>
              </w:rPr>
              <w:t>günstig</w:t>
            </w:r>
          </w:p>
        </w:tc>
        <w:tc>
          <w:tcPr>
            <w:tcW w:w="4100" w:type="dxa"/>
            <w:gridSpan w:val="6"/>
            <w:shd w:val="clear" w:color="auto" w:fill="auto"/>
            <w:noWrap/>
            <w:vAlign w:val="center"/>
          </w:tcPr>
          <w:p w14:paraId="0B2E9193" w14:textId="77777777" w:rsidR="00F43C5E" w:rsidRPr="00F43C5E" w:rsidRDefault="00F43C5E" w:rsidP="00F43C5E">
            <w:pPr>
              <w:spacing w:before="0" w:after="0"/>
              <w:jc w:val="center"/>
              <w:rPr>
                <w:rFonts w:ascii="Times New Roman" w:eastAsia="Times New Roman" w:hAnsi="Times New Roman" w:cs="Times New Roman"/>
                <w:sz w:val="20"/>
                <w:szCs w:val="20"/>
                <w:lang w:eastAsia="de-DE"/>
              </w:rPr>
            </w:pPr>
            <w:r w:rsidRPr="00F43C5E">
              <w:rPr>
                <w:rFonts w:ascii="Times New Roman" w:eastAsia="Times New Roman" w:hAnsi="Times New Roman" w:cs="Times New Roman"/>
                <w:sz w:val="20"/>
                <w:szCs w:val="20"/>
                <w:lang w:eastAsia="de-DE"/>
              </w:rPr>
              <w:t>günstig</w:t>
            </w:r>
          </w:p>
        </w:tc>
      </w:tr>
      <w:tr w:rsidR="00F43C5E" w:rsidRPr="00F43C5E" w14:paraId="4E91410C" w14:textId="77777777" w:rsidTr="00F43C5E">
        <w:trPr>
          <w:trHeight w:val="20"/>
        </w:trPr>
        <w:tc>
          <w:tcPr>
            <w:tcW w:w="4683" w:type="dxa"/>
            <w:gridSpan w:val="2"/>
            <w:vMerge/>
            <w:shd w:val="clear" w:color="auto" w:fill="auto"/>
            <w:noWrap/>
            <w:vAlign w:val="center"/>
          </w:tcPr>
          <w:p w14:paraId="787A7816"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0D5DCF98"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703" w:type="dxa"/>
            <w:vMerge w:val="restart"/>
            <w:shd w:val="clear" w:color="auto" w:fill="auto"/>
            <w:noWrap/>
            <w:vAlign w:val="center"/>
          </w:tcPr>
          <w:p w14:paraId="62F1A766"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6BAFE232" w14:textId="0189527D"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Lehm,</w:t>
            </w:r>
          </w:p>
          <w:p w14:paraId="558598D1" w14:textId="0C2E360B"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Schluff,</w:t>
            </w:r>
          </w:p>
          <w:p w14:paraId="01445F20"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Ton</w:t>
            </w:r>
          </w:p>
        </w:tc>
        <w:tc>
          <w:tcPr>
            <w:tcW w:w="1524" w:type="dxa"/>
            <w:gridSpan w:val="2"/>
            <w:shd w:val="clear" w:color="auto" w:fill="auto"/>
            <w:noWrap/>
            <w:vAlign w:val="center"/>
          </w:tcPr>
          <w:p w14:paraId="3701EFE5"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WSG III A</w:t>
            </w:r>
          </w:p>
        </w:tc>
        <w:tc>
          <w:tcPr>
            <w:tcW w:w="1203" w:type="dxa"/>
            <w:gridSpan w:val="2"/>
            <w:shd w:val="clear" w:color="auto" w:fill="auto"/>
            <w:noWrap/>
            <w:vAlign w:val="center"/>
          </w:tcPr>
          <w:p w14:paraId="605CF08B"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WSG III B</w:t>
            </w:r>
          </w:p>
        </w:tc>
        <w:tc>
          <w:tcPr>
            <w:tcW w:w="1373" w:type="dxa"/>
            <w:gridSpan w:val="2"/>
            <w:shd w:val="clear" w:color="auto" w:fill="auto"/>
            <w:noWrap/>
            <w:vAlign w:val="center"/>
          </w:tcPr>
          <w:p w14:paraId="6884ED52"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Wasservor-</w:t>
            </w:r>
          </w:p>
        </w:tc>
      </w:tr>
      <w:tr w:rsidR="00F43C5E" w:rsidRPr="00F43C5E" w14:paraId="12EBB3C1" w14:textId="77777777" w:rsidTr="00F43C5E">
        <w:trPr>
          <w:trHeight w:val="80"/>
        </w:trPr>
        <w:tc>
          <w:tcPr>
            <w:tcW w:w="4683" w:type="dxa"/>
            <w:gridSpan w:val="2"/>
            <w:vMerge/>
            <w:shd w:val="clear" w:color="auto" w:fill="auto"/>
            <w:noWrap/>
            <w:vAlign w:val="center"/>
          </w:tcPr>
          <w:p w14:paraId="35795688"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0AF96BD6"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703" w:type="dxa"/>
            <w:vMerge/>
            <w:shd w:val="clear" w:color="auto" w:fill="auto"/>
            <w:noWrap/>
            <w:vAlign w:val="center"/>
          </w:tcPr>
          <w:p w14:paraId="1DAAAEB6"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37FD37E9"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1524" w:type="dxa"/>
            <w:gridSpan w:val="2"/>
            <w:shd w:val="clear" w:color="auto" w:fill="auto"/>
            <w:noWrap/>
            <w:vAlign w:val="center"/>
          </w:tcPr>
          <w:p w14:paraId="0856BD8A"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HSG III</w:t>
            </w:r>
          </w:p>
        </w:tc>
        <w:tc>
          <w:tcPr>
            <w:tcW w:w="1203" w:type="dxa"/>
            <w:gridSpan w:val="2"/>
            <w:shd w:val="clear" w:color="auto" w:fill="auto"/>
            <w:noWrap/>
            <w:vAlign w:val="center"/>
          </w:tcPr>
          <w:p w14:paraId="02B20D16"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HSG IV</w:t>
            </w:r>
          </w:p>
        </w:tc>
        <w:tc>
          <w:tcPr>
            <w:tcW w:w="1373" w:type="dxa"/>
            <w:gridSpan w:val="2"/>
            <w:shd w:val="clear" w:color="auto" w:fill="auto"/>
            <w:noWrap/>
            <w:vAlign w:val="center"/>
          </w:tcPr>
          <w:p w14:paraId="03ACB014"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ranggebiete</w:t>
            </w:r>
          </w:p>
        </w:tc>
      </w:tr>
      <w:tr w:rsidR="00F43C5E" w:rsidRPr="00F43C5E" w14:paraId="5B45D6EF" w14:textId="77777777" w:rsidTr="00F43C5E">
        <w:trPr>
          <w:trHeight w:val="80"/>
        </w:trPr>
        <w:tc>
          <w:tcPr>
            <w:tcW w:w="4683" w:type="dxa"/>
            <w:gridSpan w:val="2"/>
            <w:vMerge/>
            <w:shd w:val="clear" w:color="auto" w:fill="auto"/>
            <w:noWrap/>
            <w:vAlign w:val="center"/>
          </w:tcPr>
          <w:p w14:paraId="775BBE54"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15A19B8F"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703" w:type="dxa"/>
            <w:vMerge/>
            <w:shd w:val="clear" w:color="auto" w:fill="auto"/>
            <w:noWrap/>
            <w:vAlign w:val="center"/>
          </w:tcPr>
          <w:p w14:paraId="73D9828E"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7A7277F8"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821" w:type="dxa"/>
            <w:shd w:val="clear" w:color="auto" w:fill="auto"/>
            <w:noWrap/>
            <w:vAlign w:val="center"/>
          </w:tcPr>
          <w:p w14:paraId="14716500"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Sand</w:t>
            </w:r>
          </w:p>
        </w:tc>
        <w:tc>
          <w:tcPr>
            <w:tcW w:w="703" w:type="dxa"/>
            <w:shd w:val="clear" w:color="auto" w:fill="auto"/>
            <w:vAlign w:val="center"/>
          </w:tcPr>
          <w:p w14:paraId="5D3C66DF" w14:textId="63DBF30D"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Lehm,</w:t>
            </w:r>
          </w:p>
          <w:p w14:paraId="714369DA" w14:textId="080821C4"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Schluff,</w:t>
            </w:r>
          </w:p>
          <w:p w14:paraId="4240BF2A"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48F2888C"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Sand</w:t>
            </w:r>
          </w:p>
        </w:tc>
        <w:tc>
          <w:tcPr>
            <w:tcW w:w="703" w:type="dxa"/>
            <w:shd w:val="clear" w:color="auto" w:fill="auto"/>
            <w:vAlign w:val="center"/>
          </w:tcPr>
          <w:p w14:paraId="1B6D37FB" w14:textId="3B040484"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Lehm,</w:t>
            </w:r>
          </w:p>
          <w:p w14:paraId="480958D9" w14:textId="242E0B28"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Schluff,</w:t>
            </w:r>
          </w:p>
          <w:p w14:paraId="29A24D4F"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Ton</w:t>
            </w:r>
          </w:p>
        </w:tc>
        <w:tc>
          <w:tcPr>
            <w:tcW w:w="703" w:type="dxa"/>
            <w:shd w:val="clear" w:color="auto" w:fill="auto"/>
            <w:noWrap/>
            <w:vAlign w:val="center"/>
          </w:tcPr>
          <w:p w14:paraId="527C8652"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Sand</w:t>
            </w:r>
          </w:p>
        </w:tc>
        <w:tc>
          <w:tcPr>
            <w:tcW w:w="670" w:type="dxa"/>
            <w:shd w:val="clear" w:color="auto" w:fill="auto"/>
            <w:vAlign w:val="center"/>
          </w:tcPr>
          <w:p w14:paraId="0E39E197" w14:textId="156EB0C9"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Lehm,</w:t>
            </w:r>
          </w:p>
          <w:p w14:paraId="5D90239D" w14:textId="5280CBC9"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Schluff,</w:t>
            </w:r>
          </w:p>
          <w:p w14:paraId="7DB31BFE"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Ton</w:t>
            </w:r>
          </w:p>
        </w:tc>
      </w:tr>
      <w:tr w:rsidR="00F43C5E" w:rsidRPr="00F43C5E" w14:paraId="20ED0204" w14:textId="77777777" w:rsidTr="00F43C5E">
        <w:trPr>
          <w:trHeight w:val="111"/>
        </w:trPr>
        <w:tc>
          <w:tcPr>
            <w:tcW w:w="4683" w:type="dxa"/>
            <w:gridSpan w:val="2"/>
            <w:vMerge/>
            <w:shd w:val="clear" w:color="auto" w:fill="auto"/>
            <w:noWrap/>
            <w:vAlign w:val="center"/>
          </w:tcPr>
          <w:p w14:paraId="21536BD0"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185BCE00"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1</w:t>
            </w:r>
          </w:p>
        </w:tc>
        <w:tc>
          <w:tcPr>
            <w:tcW w:w="703" w:type="dxa"/>
            <w:shd w:val="clear" w:color="auto" w:fill="auto"/>
            <w:noWrap/>
            <w:vAlign w:val="center"/>
          </w:tcPr>
          <w:p w14:paraId="14FA9BC3"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2</w:t>
            </w:r>
          </w:p>
        </w:tc>
        <w:tc>
          <w:tcPr>
            <w:tcW w:w="1185" w:type="dxa"/>
            <w:shd w:val="clear" w:color="auto" w:fill="auto"/>
            <w:noWrap/>
            <w:vAlign w:val="center"/>
          </w:tcPr>
          <w:p w14:paraId="6D363F6F"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3</w:t>
            </w:r>
          </w:p>
        </w:tc>
        <w:tc>
          <w:tcPr>
            <w:tcW w:w="1524" w:type="dxa"/>
            <w:gridSpan w:val="2"/>
            <w:shd w:val="clear" w:color="auto" w:fill="auto"/>
            <w:noWrap/>
            <w:vAlign w:val="center"/>
          </w:tcPr>
          <w:p w14:paraId="552C7CFC"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4</w:t>
            </w:r>
          </w:p>
        </w:tc>
        <w:tc>
          <w:tcPr>
            <w:tcW w:w="1203" w:type="dxa"/>
            <w:gridSpan w:val="2"/>
            <w:shd w:val="clear" w:color="auto" w:fill="auto"/>
            <w:noWrap/>
            <w:vAlign w:val="center"/>
          </w:tcPr>
          <w:p w14:paraId="26C3AC89"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5</w:t>
            </w:r>
          </w:p>
        </w:tc>
        <w:tc>
          <w:tcPr>
            <w:tcW w:w="1373" w:type="dxa"/>
            <w:gridSpan w:val="2"/>
            <w:shd w:val="clear" w:color="auto" w:fill="auto"/>
            <w:noWrap/>
            <w:vAlign w:val="center"/>
          </w:tcPr>
          <w:p w14:paraId="3BBEC735"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6</w:t>
            </w:r>
          </w:p>
        </w:tc>
      </w:tr>
      <w:tr w:rsidR="00F43C5E" w:rsidRPr="00F43C5E" w14:paraId="1D45D634" w14:textId="77777777" w:rsidTr="00F43C5E">
        <w:trPr>
          <w:trHeight w:val="20"/>
        </w:trPr>
        <w:tc>
          <w:tcPr>
            <w:tcW w:w="469" w:type="dxa"/>
            <w:shd w:val="clear" w:color="auto" w:fill="auto"/>
            <w:noWrap/>
          </w:tcPr>
          <w:p w14:paraId="3F730B0D"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1</w:t>
            </w:r>
          </w:p>
        </w:tc>
        <w:tc>
          <w:tcPr>
            <w:tcW w:w="4214" w:type="dxa"/>
            <w:shd w:val="clear" w:color="auto" w:fill="FFFFFF"/>
          </w:tcPr>
          <w:p w14:paraId="3B7BC305"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15F573B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noWrap/>
            <w:vAlign w:val="center"/>
          </w:tcPr>
          <w:p w14:paraId="0465896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4654FE4C"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821" w:type="dxa"/>
            <w:shd w:val="clear" w:color="auto" w:fill="auto"/>
            <w:noWrap/>
            <w:vAlign w:val="center"/>
          </w:tcPr>
          <w:p w14:paraId="45AC8732"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auto"/>
            <w:vAlign w:val="center"/>
          </w:tcPr>
          <w:p w14:paraId="06CB5DFD"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00" w:type="dxa"/>
            <w:shd w:val="clear" w:color="auto" w:fill="auto"/>
            <w:noWrap/>
            <w:vAlign w:val="center"/>
          </w:tcPr>
          <w:p w14:paraId="42E157B3"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auto"/>
            <w:vAlign w:val="center"/>
          </w:tcPr>
          <w:p w14:paraId="59EE4EFC"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auto"/>
            <w:noWrap/>
            <w:vAlign w:val="center"/>
          </w:tcPr>
          <w:p w14:paraId="2658F50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70" w:type="dxa"/>
            <w:shd w:val="clear" w:color="auto" w:fill="auto"/>
            <w:vAlign w:val="center"/>
          </w:tcPr>
          <w:p w14:paraId="3DBD2BC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0A714E66" w14:textId="77777777" w:rsidTr="00F43C5E">
        <w:trPr>
          <w:trHeight w:val="20"/>
        </w:trPr>
        <w:tc>
          <w:tcPr>
            <w:tcW w:w="469" w:type="dxa"/>
            <w:shd w:val="clear" w:color="auto" w:fill="auto"/>
            <w:noWrap/>
          </w:tcPr>
          <w:p w14:paraId="1B3738FF"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2</w:t>
            </w:r>
          </w:p>
        </w:tc>
        <w:tc>
          <w:tcPr>
            <w:tcW w:w="4214" w:type="dxa"/>
            <w:shd w:val="clear" w:color="auto" w:fill="FFFFFF"/>
          </w:tcPr>
          <w:p w14:paraId="309259A4"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7985BB9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noWrap/>
            <w:vAlign w:val="center"/>
          </w:tcPr>
          <w:p w14:paraId="1A7AC050"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72308DE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821" w:type="dxa"/>
            <w:noWrap/>
            <w:vAlign w:val="center"/>
          </w:tcPr>
          <w:p w14:paraId="4BC0FD1C"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45BAF084"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00" w:type="dxa"/>
            <w:noWrap/>
            <w:vAlign w:val="center"/>
          </w:tcPr>
          <w:p w14:paraId="2FA9CD86"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auto"/>
            <w:vAlign w:val="center"/>
          </w:tcPr>
          <w:p w14:paraId="203E51C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auto"/>
            <w:noWrap/>
            <w:vAlign w:val="center"/>
          </w:tcPr>
          <w:p w14:paraId="11D4907F"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70" w:type="dxa"/>
            <w:shd w:val="clear" w:color="auto" w:fill="auto"/>
            <w:vAlign w:val="center"/>
          </w:tcPr>
          <w:p w14:paraId="22B81102"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5F8D8479" w14:textId="77777777" w:rsidTr="00F43C5E">
        <w:trPr>
          <w:trHeight w:val="20"/>
        </w:trPr>
        <w:tc>
          <w:tcPr>
            <w:tcW w:w="469" w:type="dxa"/>
            <w:shd w:val="clear" w:color="auto" w:fill="auto"/>
            <w:noWrap/>
          </w:tcPr>
          <w:p w14:paraId="37D95C46"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3</w:t>
            </w:r>
          </w:p>
        </w:tc>
        <w:tc>
          <w:tcPr>
            <w:tcW w:w="4214" w:type="dxa"/>
            <w:shd w:val="clear" w:color="auto" w:fill="FFFFFF"/>
          </w:tcPr>
          <w:p w14:paraId="28B5AC44"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5C9E8771"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noWrap/>
            <w:vAlign w:val="center"/>
          </w:tcPr>
          <w:p w14:paraId="48BED29E"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5BA2C5B2"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821" w:type="dxa"/>
            <w:noWrap/>
            <w:vAlign w:val="center"/>
          </w:tcPr>
          <w:p w14:paraId="0E8736C0"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744C2B9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00" w:type="dxa"/>
            <w:noWrap/>
            <w:vAlign w:val="center"/>
          </w:tcPr>
          <w:p w14:paraId="2931BA91"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auto"/>
            <w:vAlign w:val="center"/>
          </w:tcPr>
          <w:p w14:paraId="73CF1DD2"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auto"/>
            <w:noWrap/>
            <w:vAlign w:val="center"/>
          </w:tcPr>
          <w:p w14:paraId="6BB7F6A0"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70" w:type="dxa"/>
            <w:shd w:val="clear" w:color="auto" w:fill="auto"/>
            <w:vAlign w:val="center"/>
          </w:tcPr>
          <w:p w14:paraId="0B7D435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7BF74754" w14:textId="77777777" w:rsidTr="00F43C5E">
        <w:trPr>
          <w:trHeight w:val="20"/>
        </w:trPr>
        <w:tc>
          <w:tcPr>
            <w:tcW w:w="469" w:type="dxa"/>
            <w:shd w:val="clear" w:color="auto" w:fill="auto"/>
            <w:noWrap/>
          </w:tcPr>
          <w:p w14:paraId="531FF950"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4</w:t>
            </w:r>
          </w:p>
        </w:tc>
        <w:tc>
          <w:tcPr>
            <w:tcW w:w="4214" w:type="dxa"/>
            <w:shd w:val="clear" w:color="auto" w:fill="FFFFFF"/>
          </w:tcPr>
          <w:p w14:paraId="0CAC465C"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4813F82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noWrap/>
            <w:vAlign w:val="center"/>
          </w:tcPr>
          <w:p w14:paraId="41241456"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202D001C"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821" w:type="dxa"/>
            <w:noWrap/>
            <w:vAlign w:val="center"/>
          </w:tcPr>
          <w:p w14:paraId="7969F5F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r w:rsidRPr="00F43C5E">
              <w:rPr>
                <w:rFonts w:ascii="Times New Roman" w:eastAsia="Times New Roman" w:hAnsi="Times New Roman" w:cs="Times New Roman"/>
                <w:b/>
                <w:sz w:val="24"/>
                <w:szCs w:val="24"/>
                <w:vertAlign w:val="superscript"/>
                <w:lang w:eastAsia="de-DE"/>
              </w:rPr>
              <w:t>1)</w:t>
            </w:r>
          </w:p>
        </w:tc>
        <w:tc>
          <w:tcPr>
            <w:tcW w:w="703" w:type="dxa"/>
            <w:vAlign w:val="center"/>
          </w:tcPr>
          <w:p w14:paraId="710E86C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r w:rsidRPr="00F43C5E">
              <w:rPr>
                <w:rFonts w:ascii="Times New Roman" w:eastAsia="Times New Roman" w:hAnsi="Times New Roman" w:cs="Times New Roman"/>
                <w:b/>
                <w:sz w:val="24"/>
                <w:szCs w:val="24"/>
                <w:vertAlign w:val="superscript"/>
                <w:lang w:eastAsia="de-DE"/>
              </w:rPr>
              <w:t>1)</w:t>
            </w:r>
          </w:p>
        </w:tc>
        <w:tc>
          <w:tcPr>
            <w:tcW w:w="500" w:type="dxa"/>
            <w:noWrap/>
            <w:vAlign w:val="center"/>
          </w:tcPr>
          <w:p w14:paraId="55559660"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auto"/>
            <w:vAlign w:val="center"/>
          </w:tcPr>
          <w:p w14:paraId="4F76B41F"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auto"/>
            <w:noWrap/>
            <w:vAlign w:val="center"/>
          </w:tcPr>
          <w:p w14:paraId="17E8DB8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70" w:type="dxa"/>
            <w:shd w:val="clear" w:color="auto" w:fill="auto"/>
            <w:vAlign w:val="center"/>
          </w:tcPr>
          <w:p w14:paraId="5B3ADB2D"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3CC1F54A" w14:textId="77777777" w:rsidTr="00F43C5E">
        <w:trPr>
          <w:trHeight w:val="20"/>
        </w:trPr>
        <w:tc>
          <w:tcPr>
            <w:tcW w:w="469" w:type="dxa"/>
            <w:shd w:val="clear" w:color="auto" w:fill="auto"/>
            <w:noWrap/>
          </w:tcPr>
          <w:p w14:paraId="587856A1"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5</w:t>
            </w:r>
          </w:p>
        </w:tc>
        <w:tc>
          <w:tcPr>
            <w:tcW w:w="4214" w:type="dxa"/>
            <w:shd w:val="clear" w:color="auto" w:fill="FFFFFF"/>
          </w:tcPr>
          <w:p w14:paraId="1BA034BC"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6C13C665"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noWrap/>
            <w:vAlign w:val="center"/>
          </w:tcPr>
          <w:p w14:paraId="4DAEF013"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4B3CEB95"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821" w:type="dxa"/>
            <w:noWrap/>
            <w:vAlign w:val="center"/>
          </w:tcPr>
          <w:p w14:paraId="7B26956E"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123FA92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00" w:type="dxa"/>
            <w:noWrap/>
            <w:vAlign w:val="center"/>
          </w:tcPr>
          <w:p w14:paraId="2F491150"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auto"/>
            <w:vAlign w:val="center"/>
          </w:tcPr>
          <w:p w14:paraId="212A033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auto"/>
            <w:noWrap/>
            <w:vAlign w:val="center"/>
          </w:tcPr>
          <w:p w14:paraId="63CAA7C0"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70" w:type="dxa"/>
            <w:shd w:val="clear" w:color="auto" w:fill="auto"/>
            <w:vAlign w:val="center"/>
          </w:tcPr>
          <w:p w14:paraId="70926F3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107B7BE2" w14:textId="77777777" w:rsidTr="00F43C5E">
        <w:trPr>
          <w:trHeight w:val="20"/>
        </w:trPr>
        <w:tc>
          <w:tcPr>
            <w:tcW w:w="469" w:type="dxa"/>
            <w:shd w:val="clear" w:color="auto" w:fill="auto"/>
            <w:noWrap/>
          </w:tcPr>
          <w:p w14:paraId="77EBDD0A"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6</w:t>
            </w:r>
          </w:p>
        </w:tc>
        <w:tc>
          <w:tcPr>
            <w:tcW w:w="4214" w:type="dxa"/>
            <w:shd w:val="clear" w:color="auto" w:fill="FFFFFF"/>
          </w:tcPr>
          <w:p w14:paraId="2E8BBB93"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41A7C274"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noWrap/>
            <w:vAlign w:val="center"/>
          </w:tcPr>
          <w:p w14:paraId="5BDBC3FD"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18FAB7AD"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821" w:type="dxa"/>
            <w:noWrap/>
            <w:vAlign w:val="center"/>
          </w:tcPr>
          <w:p w14:paraId="65651780"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7243776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00" w:type="dxa"/>
            <w:noWrap/>
            <w:vAlign w:val="center"/>
          </w:tcPr>
          <w:p w14:paraId="21492F9F"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auto"/>
            <w:vAlign w:val="center"/>
          </w:tcPr>
          <w:p w14:paraId="0FB4A20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auto"/>
            <w:noWrap/>
            <w:vAlign w:val="center"/>
          </w:tcPr>
          <w:p w14:paraId="1FB8DA62"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70" w:type="dxa"/>
            <w:shd w:val="clear" w:color="auto" w:fill="auto"/>
            <w:vAlign w:val="center"/>
          </w:tcPr>
          <w:p w14:paraId="119EB46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27F677A7" w14:textId="77777777" w:rsidTr="00F43C5E">
        <w:trPr>
          <w:trHeight w:val="20"/>
        </w:trPr>
        <w:tc>
          <w:tcPr>
            <w:tcW w:w="469" w:type="dxa"/>
            <w:shd w:val="clear" w:color="auto" w:fill="auto"/>
            <w:noWrap/>
          </w:tcPr>
          <w:p w14:paraId="6C4C43DF"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7</w:t>
            </w:r>
          </w:p>
        </w:tc>
        <w:tc>
          <w:tcPr>
            <w:tcW w:w="4214" w:type="dxa"/>
            <w:shd w:val="clear" w:color="auto" w:fill="FFFFFF"/>
          </w:tcPr>
          <w:p w14:paraId="44D4B9BF"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Schottertragschicht (</w:t>
            </w:r>
            <w:proofErr w:type="spellStart"/>
            <w:r w:rsidRPr="00F43C5E">
              <w:rPr>
                <w:rFonts w:ascii="Times New Roman" w:eastAsia="Times New Roman" w:hAnsi="Times New Roman" w:cs="Times New Roman"/>
                <w:sz w:val="18"/>
                <w:szCs w:val="18"/>
                <w:lang w:eastAsia="de-DE"/>
              </w:rPr>
              <w:t>ToB</w:t>
            </w:r>
            <w:proofErr w:type="spellEnd"/>
            <w:r w:rsidRPr="00F43C5E">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2FE6B86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noWrap/>
            <w:vAlign w:val="center"/>
          </w:tcPr>
          <w:p w14:paraId="413DA72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75426B8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821" w:type="dxa"/>
            <w:noWrap/>
            <w:vAlign w:val="center"/>
          </w:tcPr>
          <w:p w14:paraId="10248E50"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65744C3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00" w:type="dxa"/>
            <w:noWrap/>
            <w:vAlign w:val="center"/>
          </w:tcPr>
          <w:p w14:paraId="399D63F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661140E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auto"/>
            <w:noWrap/>
            <w:vAlign w:val="center"/>
          </w:tcPr>
          <w:p w14:paraId="3EF43BB5"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70" w:type="dxa"/>
            <w:shd w:val="clear" w:color="auto" w:fill="auto"/>
            <w:vAlign w:val="center"/>
          </w:tcPr>
          <w:p w14:paraId="3AA35B6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049C15E7" w14:textId="77777777" w:rsidTr="00F43C5E">
        <w:trPr>
          <w:trHeight w:val="20"/>
        </w:trPr>
        <w:tc>
          <w:tcPr>
            <w:tcW w:w="469" w:type="dxa"/>
            <w:shd w:val="clear" w:color="auto" w:fill="auto"/>
            <w:noWrap/>
          </w:tcPr>
          <w:p w14:paraId="35591776"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8</w:t>
            </w:r>
          </w:p>
        </w:tc>
        <w:tc>
          <w:tcPr>
            <w:tcW w:w="4214" w:type="dxa"/>
            <w:shd w:val="clear" w:color="auto" w:fill="FFFFFF"/>
          </w:tcPr>
          <w:p w14:paraId="35E5E2E2"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Frostschutzschicht (</w:t>
            </w:r>
            <w:proofErr w:type="spellStart"/>
            <w:r w:rsidRPr="00F43C5E">
              <w:rPr>
                <w:rFonts w:ascii="Times New Roman" w:eastAsia="Times New Roman" w:hAnsi="Times New Roman" w:cs="Times New Roman"/>
                <w:sz w:val="18"/>
                <w:szCs w:val="18"/>
                <w:lang w:eastAsia="de-DE"/>
              </w:rPr>
              <w:t>ToB</w:t>
            </w:r>
            <w:proofErr w:type="spellEnd"/>
            <w:r w:rsidRPr="00F43C5E">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4F3DC9D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noWrap/>
            <w:vAlign w:val="center"/>
          </w:tcPr>
          <w:p w14:paraId="10756A31"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0377A3E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821" w:type="dxa"/>
            <w:noWrap/>
            <w:vAlign w:val="center"/>
          </w:tcPr>
          <w:p w14:paraId="1FD7C76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3409CF9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00" w:type="dxa"/>
            <w:noWrap/>
            <w:vAlign w:val="center"/>
          </w:tcPr>
          <w:p w14:paraId="776E133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FFFFFF"/>
            <w:vAlign w:val="center"/>
          </w:tcPr>
          <w:p w14:paraId="54E4481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FFFFFF"/>
            <w:noWrap/>
            <w:vAlign w:val="center"/>
          </w:tcPr>
          <w:p w14:paraId="54AED18E"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70" w:type="dxa"/>
            <w:shd w:val="clear" w:color="auto" w:fill="FFFFFF"/>
            <w:vAlign w:val="center"/>
          </w:tcPr>
          <w:p w14:paraId="51AA12B2"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6C002460" w14:textId="77777777" w:rsidTr="00F43C5E">
        <w:trPr>
          <w:trHeight w:val="20"/>
        </w:trPr>
        <w:tc>
          <w:tcPr>
            <w:tcW w:w="469" w:type="dxa"/>
            <w:shd w:val="clear" w:color="auto" w:fill="auto"/>
            <w:noWrap/>
          </w:tcPr>
          <w:p w14:paraId="7300ED39"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9</w:t>
            </w:r>
          </w:p>
        </w:tc>
        <w:tc>
          <w:tcPr>
            <w:tcW w:w="4214" w:type="dxa"/>
            <w:shd w:val="clear" w:color="auto" w:fill="FFFFFF"/>
          </w:tcPr>
          <w:p w14:paraId="0599874A"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 xml:space="preserve">Dämme oder Wälle gemäß Bauweisen A-D nach MTSE sowie </w:t>
            </w:r>
            <w:proofErr w:type="spellStart"/>
            <w:r w:rsidRPr="00F43C5E">
              <w:rPr>
                <w:rFonts w:ascii="Times New Roman" w:eastAsia="Times New Roman" w:hAnsi="Times New Roman" w:cs="Times New Roman"/>
                <w:sz w:val="18"/>
                <w:szCs w:val="18"/>
                <w:lang w:eastAsia="de-DE"/>
              </w:rPr>
              <w:t>Hinterfüllung</w:t>
            </w:r>
            <w:proofErr w:type="spellEnd"/>
            <w:r w:rsidRPr="00F43C5E">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6DE7E4C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noWrap/>
            <w:vAlign w:val="center"/>
          </w:tcPr>
          <w:p w14:paraId="74412173"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01AD339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821" w:type="dxa"/>
            <w:noWrap/>
            <w:vAlign w:val="center"/>
          </w:tcPr>
          <w:p w14:paraId="6CA0D03D"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7061B0B1"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00" w:type="dxa"/>
            <w:noWrap/>
            <w:vAlign w:val="center"/>
          </w:tcPr>
          <w:p w14:paraId="6EC462DF"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FFFFFF"/>
            <w:vAlign w:val="center"/>
          </w:tcPr>
          <w:p w14:paraId="7F11E67D"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FFFFFF"/>
            <w:noWrap/>
            <w:vAlign w:val="center"/>
          </w:tcPr>
          <w:p w14:paraId="6CC455C0"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70" w:type="dxa"/>
            <w:shd w:val="clear" w:color="auto" w:fill="FFFFFF"/>
            <w:vAlign w:val="center"/>
          </w:tcPr>
          <w:p w14:paraId="431A88D5"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5BEE0E39" w14:textId="77777777" w:rsidTr="00F43C5E">
        <w:trPr>
          <w:trHeight w:val="20"/>
        </w:trPr>
        <w:tc>
          <w:tcPr>
            <w:tcW w:w="469" w:type="dxa"/>
            <w:shd w:val="clear" w:color="auto" w:fill="auto"/>
            <w:noWrap/>
          </w:tcPr>
          <w:p w14:paraId="5C805E46"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10</w:t>
            </w:r>
          </w:p>
        </w:tc>
        <w:tc>
          <w:tcPr>
            <w:tcW w:w="4214" w:type="dxa"/>
            <w:shd w:val="clear" w:color="auto" w:fill="FFFFFF"/>
          </w:tcPr>
          <w:p w14:paraId="43AD96BF"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757CE5C4"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noWrap/>
            <w:vAlign w:val="center"/>
          </w:tcPr>
          <w:p w14:paraId="53877BE0"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0FA81AF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821" w:type="dxa"/>
            <w:noWrap/>
            <w:vAlign w:val="center"/>
          </w:tcPr>
          <w:p w14:paraId="3F1F405C"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2CF4DFF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00" w:type="dxa"/>
            <w:noWrap/>
            <w:vAlign w:val="center"/>
          </w:tcPr>
          <w:p w14:paraId="4940D8B4"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FFFFFF"/>
            <w:vAlign w:val="center"/>
          </w:tcPr>
          <w:p w14:paraId="57C6404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FFFFFF"/>
            <w:noWrap/>
            <w:vAlign w:val="center"/>
          </w:tcPr>
          <w:p w14:paraId="6B9D3AFC"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70" w:type="dxa"/>
            <w:shd w:val="clear" w:color="auto" w:fill="FFFFFF"/>
            <w:vAlign w:val="center"/>
          </w:tcPr>
          <w:p w14:paraId="09ECC92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5C68B4D1" w14:textId="77777777" w:rsidTr="00F43C5E">
        <w:trPr>
          <w:trHeight w:val="20"/>
        </w:trPr>
        <w:tc>
          <w:tcPr>
            <w:tcW w:w="469" w:type="dxa"/>
            <w:shd w:val="clear" w:color="auto" w:fill="auto"/>
            <w:noWrap/>
          </w:tcPr>
          <w:p w14:paraId="56A482DD"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11</w:t>
            </w:r>
          </w:p>
        </w:tc>
        <w:tc>
          <w:tcPr>
            <w:tcW w:w="4214" w:type="dxa"/>
            <w:shd w:val="clear" w:color="auto" w:fill="FFFFFF"/>
          </w:tcPr>
          <w:p w14:paraId="003D302E"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466E0AA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noWrap/>
            <w:vAlign w:val="center"/>
          </w:tcPr>
          <w:p w14:paraId="069BC6D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21281F5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821" w:type="dxa"/>
            <w:noWrap/>
            <w:vAlign w:val="center"/>
          </w:tcPr>
          <w:p w14:paraId="1B47226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12FF7C13"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00" w:type="dxa"/>
            <w:noWrap/>
            <w:vAlign w:val="center"/>
          </w:tcPr>
          <w:p w14:paraId="6E47904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4A7720E1"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noWrap/>
            <w:vAlign w:val="center"/>
          </w:tcPr>
          <w:p w14:paraId="573521FE"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70" w:type="dxa"/>
            <w:vAlign w:val="center"/>
          </w:tcPr>
          <w:p w14:paraId="2C65E75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715BD379" w14:textId="77777777" w:rsidTr="00F43C5E">
        <w:trPr>
          <w:trHeight w:val="20"/>
        </w:trPr>
        <w:tc>
          <w:tcPr>
            <w:tcW w:w="469" w:type="dxa"/>
            <w:shd w:val="clear" w:color="auto" w:fill="auto"/>
            <w:noWrap/>
          </w:tcPr>
          <w:p w14:paraId="37EDA951"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12</w:t>
            </w:r>
          </w:p>
        </w:tc>
        <w:tc>
          <w:tcPr>
            <w:tcW w:w="4214" w:type="dxa"/>
            <w:shd w:val="clear" w:color="auto" w:fill="FFFFFF"/>
          </w:tcPr>
          <w:p w14:paraId="338557C7" w14:textId="77777777" w:rsidR="00F43C5E" w:rsidRPr="00F43C5E" w:rsidRDefault="00F43C5E" w:rsidP="00F43C5E">
            <w:pPr>
              <w:spacing w:before="0" w:after="0"/>
              <w:jc w:val="left"/>
              <w:rPr>
                <w:rFonts w:ascii="Times New Roman" w:eastAsia="Times New Roman" w:hAnsi="Times New Roman" w:cs="Times New Roman"/>
                <w:sz w:val="18"/>
                <w:szCs w:val="18"/>
                <w:vertAlign w:val="superscript"/>
                <w:lang w:eastAsia="de-DE"/>
              </w:rPr>
            </w:pPr>
            <w:r w:rsidRPr="00F43C5E">
              <w:rPr>
                <w:rFonts w:ascii="Times New Roman" w:eastAsia="Times New Roman" w:hAnsi="Times New Roman" w:cs="Times New Roman"/>
                <w:sz w:val="18"/>
                <w:szCs w:val="18"/>
                <w:lang w:eastAsia="de-DE"/>
              </w:rPr>
              <w:t>Deckschicht ohne Bindemittel</w:t>
            </w:r>
            <w:r w:rsidRPr="00F43C5E">
              <w:rPr>
                <w:rFonts w:ascii="Times New Roman" w:eastAsia="Times New Roman" w:hAnsi="Times New Roman" w:cs="Times New Roman"/>
                <w:sz w:val="18"/>
                <w:szCs w:val="18"/>
                <w:vertAlign w:val="superscript"/>
                <w:lang w:eastAsia="de-DE"/>
              </w:rPr>
              <w:t>6)</w:t>
            </w:r>
          </w:p>
        </w:tc>
        <w:tc>
          <w:tcPr>
            <w:tcW w:w="851" w:type="dxa"/>
            <w:noWrap/>
            <w:vAlign w:val="center"/>
          </w:tcPr>
          <w:p w14:paraId="1D852E7C"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noWrap/>
            <w:vAlign w:val="center"/>
          </w:tcPr>
          <w:p w14:paraId="1954FF93"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6CDD6A8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821" w:type="dxa"/>
            <w:noWrap/>
            <w:vAlign w:val="center"/>
          </w:tcPr>
          <w:p w14:paraId="054D1C8F"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7A4D4721"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00" w:type="dxa"/>
            <w:noWrap/>
            <w:vAlign w:val="center"/>
          </w:tcPr>
          <w:p w14:paraId="01AEAB23"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24E811C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noWrap/>
            <w:vAlign w:val="center"/>
          </w:tcPr>
          <w:p w14:paraId="75FF5570"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70" w:type="dxa"/>
            <w:vAlign w:val="center"/>
          </w:tcPr>
          <w:p w14:paraId="5F7D9F7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17CF39C9" w14:textId="77777777" w:rsidTr="00F43C5E">
        <w:trPr>
          <w:trHeight w:val="20"/>
        </w:trPr>
        <w:tc>
          <w:tcPr>
            <w:tcW w:w="469" w:type="dxa"/>
            <w:shd w:val="clear" w:color="auto" w:fill="auto"/>
            <w:noWrap/>
          </w:tcPr>
          <w:p w14:paraId="6ACCC616"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13</w:t>
            </w:r>
          </w:p>
        </w:tc>
        <w:tc>
          <w:tcPr>
            <w:tcW w:w="4214" w:type="dxa"/>
            <w:shd w:val="clear" w:color="auto" w:fill="FFFFFF"/>
          </w:tcPr>
          <w:p w14:paraId="4CD82105"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proofErr w:type="spellStart"/>
            <w:r w:rsidRPr="00F43C5E">
              <w:rPr>
                <w:rFonts w:ascii="Times New Roman" w:eastAsia="Times New Roman" w:hAnsi="Times New Roman" w:cs="Times New Roman"/>
                <w:sz w:val="18"/>
                <w:szCs w:val="18"/>
                <w:lang w:eastAsia="de-DE"/>
              </w:rPr>
              <w:t>ToB</w:t>
            </w:r>
            <w:proofErr w:type="spellEnd"/>
            <w:r w:rsidRPr="00F43C5E">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1A778D5E"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noWrap/>
            <w:vAlign w:val="center"/>
          </w:tcPr>
          <w:p w14:paraId="77770CBD"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2D30945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r w:rsidRPr="00F43C5E">
              <w:rPr>
                <w:rFonts w:ascii="Times New Roman" w:eastAsia="Times New Roman" w:hAnsi="Times New Roman" w:cs="Times New Roman"/>
                <w:b/>
                <w:sz w:val="24"/>
                <w:szCs w:val="24"/>
                <w:vertAlign w:val="superscript"/>
                <w:lang w:eastAsia="de-DE"/>
              </w:rPr>
              <w:t>2)</w:t>
            </w:r>
          </w:p>
        </w:tc>
        <w:tc>
          <w:tcPr>
            <w:tcW w:w="821" w:type="dxa"/>
            <w:noWrap/>
            <w:vAlign w:val="center"/>
          </w:tcPr>
          <w:p w14:paraId="3BB793D0"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0CAE73F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00" w:type="dxa"/>
            <w:noWrap/>
            <w:vAlign w:val="center"/>
          </w:tcPr>
          <w:p w14:paraId="1BA3D00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FFFFFF"/>
            <w:vAlign w:val="center"/>
          </w:tcPr>
          <w:p w14:paraId="76707BB3"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FFFFFF"/>
            <w:noWrap/>
            <w:vAlign w:val="center"/>
          </w:tcPr>
          <w:p w14:paraId="54467617" w14:textId="77777777" w:rsidR="00F43C5E" w:rsidRPr="00F43C5E" w:rsidRDefault="00F43C5E" w:rsidP="00F43C5E">
            <w:pPr>
              <w:spacing w:before="0" w:after="0"/>
              <w:jc w:val="center"/>
              <w:rPr>
                <w:rFonts w:ascii="Times New Roman" w:eastAsia="Times New Roman" w:hAnsi="Times New Roman" w:cs="Times New Roman"/>
                <w:sz w:val="24"/>
                <w:szCs w:val="24"/>
                <w:vertAlign w:val="superscript"/>
                <w:lang w:eastAsia="de-DE"/>
              </w:rPr>
            </w:pPr>
            <w:r w:rsidRPr="00F43C5E">
              <w:rPr>
                <w:rFonts w:ascii="Times New Roman" w:eastAsia="Times New Roman" w:hAnsi="Times New Roman" w:cs="Times New Roman"/>
                <w:sz w:val="24"/>
                <w:szCs w:val="24"/>
                <w:vertAlign w:val="superscript"/>
                <w:lang w:eastAsia="de-DE"/>
              </w:rPr>
              <w:t>-</w:t>
            </w:r>
          </w:p>
        </w:tc>
        <w:tc>
          <w:tcPr>
            <w:tcW w:w="670" w:type="dxa"/>
            <w:shd w:val="clear" w:color="auto" w:fill="FFFFFF"/>
            <w:vAlign w:val="center"/>
          </w:tcPr>
          <w:p w14:paraId="2E2D3822" w14:textId="77777777" w:rsidR="00F43C5E" w:rsidRPr="00F43C5E" w:rsidRDefault="00F43C5E" w:rsidP="00F43C5E">
            <w:pPr>
              <w:spacing w:before="0" w:after="0"/>
              <w:jc w:val="center"/>
              <w:rPr>
                <w:rFonts w:ascii="Times New Roman" w:eastAsia="Times New Roman" w:hAnsi="Times New Roman" w:cs="Times New Roman"/>
                <w:sz w:val="24"/>
                <w:szCs w:val="24"/>
                <w:vertAlign w:val="superscript"/>
                <w:lang w:eastAsia="de-DE"/>
              </w:rPr>
            </w:pPr>
            <w:r w:rsidRPr="00F43C5E">
              <w:rPr>
                <w:rFonts w:ascii="Times New Roman" w:eastAsia="Times New Roman" w:hAnsi="Times New Roman" w:cs="Times New Roman"/>
                <w:sz w:val="24"/>
                <w:szCs w:val="24"/>
                <w:lang w:eastAsia="de-DE"/>
              </w:rPr>
              <w:t>+</w:t>
            </w:r>
            <w:r w:rsidRPr="00F43C5E">
              <w:rPr>
                <w:rFonts w:ascii="Times New Roman" w:eastAsia="Times New Roman" w:hAnsi="Times New Roman" w:cs="Times New Roman"/>
                <w:b/>
                <w:sz w:val="24"/>
                <w:szCs w:val="24"/>
                <w:vertAlign w:val="superscript"/>
                <w:lang w:eastAsia="de-DE"/>
              </w:rPr>
              <w:t>2)</w:t>
            </w:r>
          </w:p>
        </w:tc>
      </w:tr>
      <w:tr w:rsidR="00F43C5E" w:rsidRPr="00F43C5E" w14:paraId="2CAB1934" w14:textId="77777777" w:rsidTr="00F43C5E">
        <w:trPr>
          <w:trHeight w:val="20"/>
        </w:trPr>
        <w:tc>
          <w:tcPr>
            <w:tcW w:w="469" w:type="dxa"/>
            <w:shd w:val="clear" w:color="auto" w:fill="auto"/>
            <w:noWrap/>
          </w:tcPr>
          <w:p w14:paraId="03E887CD"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14</w:t>
            </w:r>
          </w:p>
        </w:tc>
        <w:tc>
          <w:tcPr>
            <w:tcW w:w="4214" w:type="dxa"/>
            <w:shd w:val="clear" w:color="auto" w:fill="FFFFFF"/>
          </w:tcPr>
          <w:p w14:paraId="0AAE644B"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Bauweisen 13 unter Plattenbelägen</w:t>
            </w:r>
          </w:p>
        </w:tc>
        <w:tc>
          <w:tcPr>
            <w:tcW w:w="851" w:type="dxa"/>
            <w:noWrap/>
            <w:vAlign w:val="center"/>
          </w:tcPr>
          <w:p w14:paraId="5F4A5A26"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noWrap/>
            <w:vAlign w:val="center"/>
          </w:tcPr>
          <w:p w14:paraId="427159E4"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119263DC"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821" w:type="dxa"/>
            <w:noWrap/>
            <w:vAlign w:val="center"/>
          </w:tcPr>
          <w:p w14:paraId="380DB535"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00ED7445"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00" w:type="dxa"/>
            <w:noWrap/>
            <w:vAlign w:val="center"/>
          </w:tcPr>
          <w:p w14:paraId="30922F84"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FFFFFF"/>
            <w:vAlign w:val="center"/>
          </w:tcPr>
          <w:p w14:paraId="7335BA7C"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shd w:val="clear" w:color="auto" w:fill="FFFFFF"/>
            <w:noWrap/>
            <w:vAlign w:val="center"/>
          </w:tcPr>
          <w:p w14:paraId="6F40231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70" w:type="dxa"/>
            <w:shd w:val="clear" w:color="auto" w:fill="FFFFFF"/>
            <w:vAlign w:val="center"/>
          </w:tcPr>
          <w:p w14:paraId="0A8F0B24"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3EB3BA1B" w14:textId="77777777" w:rsidTr="00F43C5E">
        <w:trPr>
          <w:trHeight w:val="20"/>
        </w:trPr>
        <w:tc>
          <w:tcPr>
            <w:tcW w:w="469" w:type="dxa"/>
            <w:shd w:val="clear" w:color="auto" w:fill="auto"/>
            <w:noWrap/>
          </w:tcPr>
          <w:p w14:paraId="3AF2B16A"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15</w:t>
            </w:r>
          </w:p>
        </w:tc>
        <w:tc>
          <w:tcPr>
            <w:tcW w:w="4214" w:type="dxa"/>
            <w:shd w:val="clear" w:color="auto" w:fill="FFFFFF"/>
          </w:tcPr>
          <w:p w14:paraId="0B8CFAF7"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3A8485D6"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noWrap/>
            <w:vAlign w:val="center"/>
          </w:tcPr>
          <w:p w14:paraId="090F2DC0"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r w:rsidRPr="00F43C5E">
              <w:rPr>
                <w:rFonts w:ascii="Times New Roman" w:eastAsia="Times New Roman" w:hAnsi="Times New Roman" w:cs="Times New Roman"/>
                <w:b/>
                <w:sz w:val="24"/>
                <w:szCs w:val="24"/>
                <w:vertAlign w:val="superscript"/>
                <w:lang w:eastAsia="de-DE"/>
              </w:rPr>
              <w:t>3)</w:t>
            </w:r>
          </w:p>
        </w:tc>
        <w:tc>
          <w:tcPr>
            <w:tcW w:w="1185" w:type="dxa"/>
            <w:noWrap/>
            <w:vAlign w:val="center"/>
          </w:tcPr>
          <w:p w14:paraId="265ACB6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821" w:type="dxa"/>
            <w:noWrap/>
            <w:vAlign w:val="center"/>
          </w:tcPr>
          <w:p w14:paraId="043A3884"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4896CA5D"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r w:rsidRPr="00F43C5E">
              <w:rPr>
                <w:rFonts w:ascii="Times New Roman" w:eastAsia="Times New Roman" w:hAnsi="Times New Roman" w:cs="Times New Roman"/>
                <w:b/>
                <w:sz w:val="24"/>
                <w:szCs w:val="24"/>
                <w:vertAlign w:val="superscript"/>
                <w:lang w:eastAsia="de-DE"/>
              </w:rPr>
              <w:t>3)</w:t>
            </w:r>
          </w:p>
        </w:tc>
        <w:tc>
          <w:tcPr>
            <w:tcW w:w="500" w:type="dxa"/>
            <w:noWrap/>
            <w:vAlign w:val="center"/>
          </w:tcPr>
          <w:p w14:paraId="5BDE244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7422B77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r w:rsidRPr="00F43C5E">
              <w:rPr>
                <w:rFonts w:ascii="Times New Roman" w:eastAsia="Times New Roman" w:hAnsi="Times New Roman" w:cs="Times New Roman"/>
                <w:b/>
                <w:sz w:val="24"/>
                <w:szCs w:val="24"/>
                <w:vertAlign w:val="superscript"/>
                <w:lang w:eastAsia="de-DE"/>
              </w:rPr>
              <w:t>3)</w:t>
            </w:r>
          </w:p>
        </w:tc>
        <w:tc>
          <w:tcPr>
            <w:tcW w:w="703" w:type="dxa"/>
            <w:shd w:val="clear" w:color="auto" w:fill="FFFFFF"/>
            <w:noWrap/>
            <w:vAlign w:val="center"/>
          </w:tcPr>
          <w:p w14:paraId="72E56436"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r w:rsidRPr="00F43C5E">
              <w:rPr>
                <w:rFonts w:ascii="Times New Roman" w:eastAsia="Times New Roman" w:hAnsi="Times New Roman" w:cs="Times New Roman"/>
                <w:b/>
                <w:sz w:val="24"/>
                <w:szCs w:val="24"/>
                <w:vertAlign w:val="superscript"/>
                <w:lang w:eastAsia="de-DE"/>
              </w:rPr>
              <w:t>3)</w:t>
            </w:r>
          </w:p>
        </w:tc>
        <w:tc>
          <w:tcPr>
            <w:tcW w:w="670" w:type="dxa"/>
            <w:shd w:val="clear" w:color="auto" w:fill="FFFFFF"/>
            <w:vAlign w:val="center"/>
          </w:tcPr>
          <w:p w14:paraId="654261ED"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558B8B61" w14:textId="77777777" w:rsidTr="00F43C5E">
        <w:trPr>
          <w:trHeight w:val="20"/>
        </w:trPr>
        <w:tc>
          <w:tcPr>
            <w:tcW w:w="469" w:type="dxa"/>
            <w:shd w:val="clear" w:color="auto" w:fill="auto"/>
            <w:noWrap/>
          </w:tcPr>
          <w:p w14:paraId="0FF78510"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16</w:t>
            </w:r>
          </w:p>
        </w:tc>
        <w:tc>
          <w:tcPr>
            <w:tcW w:w="4214" w:type="dxa"/>
            <w:shd w:val="clear" w:color="auto" w:fill="FFFFFF"/>
          </w:tcPr>
          <w:p w14:paraId="25B875D4"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proofErr w:type="spellStart"/>
            <w:r w:rsidRPr="00F43C5E">
              <w:rPr>
                <w:rFonts w:ascii="Times New Roman" w:eastAsia="Times New Roman" w:hAnsi="Times New Roman" w:cs="Times New Roman"/>
                <w:sz w:val="18"/>
                <w:szCs w:val="18"/>
                <w:lang w:eastAsia="de-DE"/>
              </w:rPr>
              <w:t>Hinterfüllung</w:t>
            </w:r>
            <w:proofErr w:type="spellEnd"/>
            <w:r w:rsidRPr="00F43C5E">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F43C5E">
              <w:rPr>
                <w:rFonts w:ascii="Times New Roman" w:eastAsia="Times New Roman" w:hAnsi="Times New Roman" w:cs="Times New Roman"/>
                <w:sz w:val="18"/>
                <w:szCs w:val="18"/>
                <w:lang w:eastAsia="de-DE"/>
              </w:rPr>
              <w:t>Hinterfüllung</w:t>
            </w:r>
            <w:proofErr w:type="spellEnd"/>
            <w:r w:rsidRPr="00F43C5E">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308D16A4"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noWrap/>
            <w:vAlign w:val="center"/>
          </w:tcPr>
          <w:p w14:paraId="2FAA5624"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r w:rsidRPr="00F43C5E">
              <w:rPr>
                <w:rFonts w:ascii="Times New Roman" w:eastAsia="Times New Roman" w:hAnsi="Times New Roman" w:cs="Times New Roman"/>
                <w:b/>
                <w:sz w:val="24"/>
                <w:szCs w:val="24"/>
                <w:vertAlign w:val="superscript"/>
                <w:lang w:eastAsia="de-DE"/>
              </w:rPr>
              <w:t>4)</w:t>
            </w:r>
          </w:p>
        </w:tc>
        <w:tc>
          <w:tcPr>
            <w:tcW w:w="1185" w:type="dxa"/>
            <w:noWrap/>
            <w:vAlign w:val="center"/>
          </w:tcPr>
          <w:p w14:paraId="34B75E46"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821" w:type="dxa"/>
            <w:noWrap/>
            <w:vAlign w:val="center"/>
          </w:tcPr>
          <w:p w14:paraId="79A869EF"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4CF4F31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r w:rsidRPr="00F43C5E">
              <w:rPr>
                <w:rFonts w:ascii="Times New Roman" w:eastAsia="Times New Roman" w:hAnsi="Times New Roman" w:cs="Times New Roman"/>
                <w:b/>
                <w:sz w:val="24"/>
                <w:szCs w:val="24"/>
                <w:vertAlign w:val="superscript"/>
                <w:lang w:eastAsia="de-DE"/>
              </w:rPr>
              <w:t>4)</w:t>
            </w:r>
          </w:p>
        </w:tc>
        <w:tc>
          <w:tcPr>
            <w:tcW w:w="500" w:type="dxa"/>
            <w:noWrap/>
            <w:vAlign w:val="center"/>
          </w:tcPr>
          <w:p w14:paraId="6C1F2142"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014BC1A3"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r w:rsidRPr="00F43C5E">
              <w:rPr>
                <w:rFonts w:ascii="Times New Roman" w:eastAsia="Times New Roman" w:hAnsi="Times New Roman" w:cs="Times New Roman"/>
                <w:b/>
                <w:sz w:val="24"/>
                <w:szCs w:val="24"/>
                <w:vertAlign w:val="superscript"/>
                <w:lang w:eastAsia="de-DE"/>
              </w:rPr>
              <w:t>4)</w:t>
            </w:r>
          </w:p>
        </w:tc>
        <w:tc>
          <w:tcPr>
            <w:tcW w:w="703" w:type="dxa"/>
            <w:shd w:val="clear" w:color="auto" w:fill="FFFFFF"/>
            <w:noWrap/>
            <w:vAlign w:val="center"/>
          </w:tcPr>
          <w:p w14:paraId="525049F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r w:rsidRPr="00F43C5E">
              <w:rPr>
                <w:rFonts w:ascii="Times New Roman" w:eastAsia="Times New Roman" w:hAnsi="Times New Roman" w:cs="Times New Roman"/>
                <w:b/>
                <w:sz w:val="24"/>
                <w:szCs w:val="24"/>
                <w:vertAlign w:val="superscript"/>
                <w:lang w:eastAsia="de-DE"/>
              </w:rPr>
              <w:t>4)</w:t>
            </w:r>
          </w:p>
        </w:tc>
        <w:tc>
          <w:tcPr>
            <w:tcW w:w="670" w:type="dxa"/>
            <w:shd w:val="clear" w:color="auto" w:fill="FFFFFF"/>
            <w:vAlign w:val="center"/>
          </w:tcPr>
          <w:p w14:paraId="6D32EBC3"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19678149" w14:textId="77777777" w:rsidTr="00F43C5E">
        <w:trPr>
          <w:trHeight w:val="208"/>
        </w:trPr>
        <w:tc>
          <w:tcPr>
            <w:tcW w:w="469" w:type="dxa"/>
            <w:shd w:val="clear" w:color="auto" w:fill="auto"/>
            <w:noWrap/>
          </w:tcPr>
          <w:p w14:paraId="656EE5AC"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17</w:t>
            </w:r>
          </w:p>
        </w:tc>
        <w:tc>
          <w:tcPr>
            <w:tcW w:w="4214" w:type="dxa"/>
            <w:shd w:val="clear" w:color="auto" w:fill="FFFFFF"/>
          </w:tcPr>
          <w:p w14:paraId="6A6DE4BA"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14ECAD55"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noWrap/>
            <w:vAlign w:val="center"/>
          </w:tcPr>
          <w:p w14:paraId="56C24FB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r w:rsidRPr="00F43C5E">
              <w:rPr>
                <w:rFonts w:ascii="Times New Roman" w:eastAsia="Times New Roman" w:hAnsi="Times New Roman" w:cs="Times New Roman"/>
                <w:b/>
                <w:sz w:val="24"/>
                <w:szCs w:val="24"/>
                <w:vertAlign w:val="superscript"/>
                <w:lang w:eastAsia="de-DE"/>
              </w:rPr>
              <w:t>4)</w:t>
            </w:r>
          </w:p>
        </w:tc>
        <w:tc>
          <w:tcPr>
            <w:tcW w:w="1185" w:type="dxa"/>
            <w:noWrap/>
            <w:vAlign w:val="center"/>
          </w:tcPr>
          <w:p w14:paraId="77794EBC" w14:textId="77777777" w:rsidR="00F43C5E" w:rsidRPr="00F43C5E" w:rsidRDefault="00F43C5E" w:rsidP="00F43C5E">
            <w:pPr>
              <w:spacing w:before="0" w:after="0"/>
              <w:jc w:val="center"/>
              <w:rPr>
                <w:rFonts w:ascii="Times New Roman" w:eastAsia="Times New Roman" w:hAnsi="Times New Roman" w:cs="Times New Roman"/>
                <w:strike/>
                <w:sz w:val="24"/>
                <w:szCs w:val="24"/>
                <w:vertAlign w:val="superscript"/>
                <w:lang w:eastAsia="de-DE"/>
              </w:rPr>
            </w:pPr>
            <w:r w:rsidRPr="00F43C5E">
              <w:rPr>
                <w:rFonts w:ascii="Times New Roman" w:eastAsia="Times New Roman" w:hAnsi="Times New Roman" w:cs="Times New Roman"/>
                <w:sz w:val="24"/>
                <w:szCs w:val="24"/>
                <w:lang w:eastAsia="de-DE"/>
              </w:rPr>
              <w:t>+</w:t>
            </w:r>
            <w:r w:rsidRPr="00F43C5E">
              <w:rPr>
                <w:rFonts w:ascii="Times New Roman" w:eastAsia="Times New Roman" w:hAnsi="Times New Roman" w:cs="Times New Roman"/>
                <w:sz w:val="24"/>
                <w:szCs w:val="24"/>
                <w:vertAlign w:val="superscript"/>
                <w:lang w:eastAsia="de-DE"/>
              </w:rPr>
              <w:t>5)</w:t>
            </w:r>
          </w:p>
        </w:tc>
        <w:tc>
          <w:tcPr>
            <w:tcW w:w="821" w:type="dxa"/>
            <w:noWrap/>
            <w:vAlign w:val="center"/>
          </w:tcPr>
          <w:p w14:paraId="03CE7D0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239F63C4"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r w:rsidRPr="00F43C5E">
              <w:rPr>
                <w:rFonts w:ascii="Times New Roman" w:eastAsia="Times New Roman" w:hAnsi="Times New Roman" w:cs="Times New Roman"/>
                <w:b/>
                <w:sz w:val="24"/>
                <w:szCs w:val="24"/>
                <w:vertAlign w:val="superscript"/>
                <w:lang w:eastAsia="de-DE"/>
              </w:rPr>
              <w:t>4)</w:t>
            </w:r>
          </w:p>
        </w:tc>
        <w:tc>
          <w:tcPr>
            <w:tcW w:w="500" w:type="dxa"/>
            <w:noWrap/>
            <w:vAlign w:val="center"/>
          </w:tcPr>
          <w:p w14:paraId="34C3111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03" w:type="dxa"/>
            <w:vAlign w:val="center"/>
          </w:tcPr>
          <w:p w14:paraId="3A73BD15"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r w:rsidRPr="00F43C5E">
              <w:rPr>
                <w:rFonts w:ascii="Times New Roman" w:eastAsia="Times New Roman" w:hAnsi="Times New Roman" w:cs="Times New Roman"/>
                <w:b/>
                <w:sz w:val="24"/>
                <w:szCs w:val="24"/>
                <w:vertAlign w:val="superscript"/>
                <w:lang w:eastAsia="de-DE"/>
              </w:rPr>
              <w:t>4)</w:t>
            </w:r>
          </w:p>
        </w:tc>
        <w:tc>
          <w:tcPr>
            <w:tcW w:w="703" w:type="dxa"/>
            <w:shd w:val="clear" w:color="auto" w:fill="FFFFFF"/>
            <w:noWrap/>
            <w:vAlign w:val="center"/>
          </w:tcPr>
          <w:p w14:paraId="05298FAC"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r w:rsidRPr="00F43C5E">
              <w:rPr>
                <w:rFonts w:ascii="Times New Roman" w:eastAsia="Times New Roman" w:hAnsi="Times New Roman" w:cs="Times New Roman"/>
                <w:b/>
                <w:sz w:val="24"/>
                <w:szCs w:val="24"/>
                <w:vertAlign w:val="superscript"/>
                <w:lang w:eastAsia="de-DE"/>
              </w:rPr>
              <w:t>4)</w:t>
            </w:r>
          </w:p>
        </w:tc>
        <w:tc>
          <w:tcPr>
            <w:tcW w:w="670" w:type="dxa"/>
            <w:shd w:val="clear" w:color="auto" w:fill="FFFFFF"/>
            <w:vAlign w:val="center"/>
          </w:tcPr>
          <w:p w14:paraId="26796013" w14:textId="77777777" w:rsidR="00F43C5E" w:rsidRPr="00F43C5E" w:rsidRDefault="00F43C5E" w:rsidP="00F43C5E">
            <w:pPr>
              <w:spacing w:before="0" w:after="0"/>
              <w:jc w:val="center"/>
              <w:rPr>
                <w:rFonts w:ascii="Times New Roman" w:eastAsia="Times New Roman" w:hAnsi="Times New Roman" w:cs="Times New Roman"/>
                <w:sz w:val="24"/>
                <w:szCs w:val="24"/>
                <w:vertAlign w:val="superscript"/>
                <w:lang w:eastAsia="de-DE"/>
              </w:rPr>
            </w:pPr>
            <w:r w:rsidRPr="00F43C5E">
              <w:rPr>
                <w:rFonts w:ascii="Times New Roman" w:eastAsia="Times New Roman" w:hAnsi="Times New Roman" w:cs="Times New Roman"/>
                <w:sz w:val="24"/>
                <w:szCs w:val="24"/>
                <w:lang w:eastAsia="de-DE"/>
              </w:rPr>
              <w:t>+</w:t>
            </w:r>
            <w:r w:rsidRPr="00F43C5E">
              <w:rPr>
                <w:rFonts w:ascii="Times New Roman" w:eastAsia="Times New Roman" w:hAnsi="Times New Roman" w:cs="Times New Roman"/>
                <w:sz w:val="24"/>
                <w:szCs w:val="24"/>
                <w:vertAlign w:val="superscript"/>
                <w:lang w:eastAsia="de-DE"/>
              </w:rPr>
              <w:t>5)</w:t>
            </w:r>
          </w:p>
        </w:tc>
      </w:tr>
    </w:tbl>
    <w:p w14:paraId="32D792D4" w14:textId="77777777" w:rsidR="00F43C5E" w:rsidRPr="00F43C5E" w:rsidRDefault="00F43C5E" w:rsidP="00F43C5E">
      <w:pPr>
        <w:spacing w:before="0" w:after="0"/>
        <w:jc w:val="left"/>
        <w:rPr>
          <w:rFonts w:ascii="Times New Roman" w:eastAsia="Times New Roman" w:hAnsi="Times New Roman" w:cs="Times New Roman"/>
          <w:sz w:val="16"/>
          <w:szCs w:val="16"/>
          <w:lang w:eastAsia="de-DE"/>
        </w:rPr>
      </w:pPr>
      <w:r w:rsidRPr="00F43C5E">
        <w:rPr>
          <w:rFonts w:ascii="Times New Roman" w:eastAsia="Times New Roman" w:hAnsi="Times New Roman" w:cs="Times New Roman"/>
          <w:sz w:val="16"/>
          <w:szCs w:val="16"/>
          <w:lang w:eastAsia="de-DE"/>
        </w:rPr>
        <w:t>1) Die Verfüllung von Leitungsgräben ist nicht zulässig.</w:t>
      </w:r>
    </w:p>
    <w:p w14:paraId="1328A988" w14:textId="77777777" w:rsidR="00F43C5E" w:rsidRPr="00F43C5E" w:rsidRDefault="00F43C5E" w:rsidP="00F43C5E">
      <w:pPr>
        <w:spacing w:before="0" w:after="0"/>
        <w:jc w:val="left"/>
        <w:rPr>
          <w:rFonts w:ascii="Times New Roman" w:eastAsia="Times New Roman" w:hAnsi="Times New Roman" w:cs="Times New Roman"/>
          <w:sz w:val="16"/>
          <w:szCs w:val="16"/>
          <w:lang w:eastAsia="de-DE"/>
        </w:rPr>
      </w:pPr>
      <w:r w:rsidRPr="00F43C5E">
        <w:rPr>
          <w:rFonts w:ascii="Times New Roman" w:eastAsia="Times New Roman" w:hAnsi="Times New Roman" w:cs="Times New Roman"/>
          <w:sz w:val="16"/>
          <w:szCs w:val="16"/>
          <w:lang w:eastAsia="de-DE"/>
        </w:rPr>
        <w:t xml:space="preserve">2) Zulässig, wenn Chrom, ges. </w:t>
      </w:r>
      <w:r w:rsidRPr="00F43C5E">
        <w:rPr>
          <w:rFonts w:ascii="Times New Roman" w:eastAsia="Times New Roman" w:hAnsi="Times New Roman" w:cs="Times New Roman"/>
          <w:sz w:val="16"/>
          <w:szCs w:val="16"/>
          <w:lang w:eastAsia="de-DE"/>
        </w:rPr>
        <w:sym w:font="Symbol" w:char="F0A3"/>
      </w:r>
      <w:r w:rsidRPr="00F43C5E">
        <w:rPr>
          <w:rFonts w:ascii="Times New Roman" w:eastAsia="Times New Roman" w:hAnsi="Times New Roman" w:cs="Times New Roman"/>
          <w:sz w:val="16"/>
          <w:szCs w:val="16"/>
          <w:lang w:eastAsia="de-DE"/>
        </w:rPr>
        <w:t xml:space="preserve"> 280 µg/l, Vanadium </w:t>
      </w:r>
      <w:r w:rsidRPr="00F43C5E">
        <w:rPr>
          <w:rFonts w:ascii="Times New Roman" w:eastAsia="Times New Roman" w:hAnsi="Times New Roman" w:cs="Times New Roman"/>
          <w:sz w:val="16"/>
          <w:szCs w:val="16"/>
          <w:lang w:eastAsia="de-DE"/>
        </w:rPr>
        <w:sym w:font="Symbol" w:char="F0A3"/>
      </w:r>
      <w:r w:rsidRPr="00F43C5E">
        <w:rPr>
          <w:rFonts w:ascii="Times New Roman" w:eastAsia="Times New Roman" w:hAnsi="Times New Roman" w:cs="Times New Roman"/>
          <w:sz w:val="16"/>
          <w:szCs w:val="16"/>
          <w:lang w:eastAsia="de-DE"/>
        </w:rPr>
        <w:t xml:space="preserve"> 450 µg/l, Kupfer </w:t>
      </w:r>
      <w:r w:rsidRPr="00F43C5E">
        <w:rPr>
          <w:rFonts w:ascii="Times New Roman" w:eastAsia="Times New Roman" w:hAnsi="Times New Roman" w:cs="Times New Roman"/>
          <w:sz w:val="16"/>
          <w:szCs w:val="16"/>
          <w:lang w:eastAsia="de-DE"/>
        </w:rPr>
        <w:sym w:font="Symbol" w:char="F0A3"/>
      </w:r>
      <w:r w:rsidRPr="00F43C5E">
        <w:rPr>
          <w:rFonts w:ascii="Times New Roman" w:eastAsia="Times New Roman" w:hAnsi="Times New Roman" w:cs="Times New Roman"/>
          <w:sz w:val="16"/>
          <w:szCs w:val="16"/>
          <w:lang w:eastAsia="de-DE"/>
        </w:rPr>
        <w:t xml:space="preserve"> 170 µg/l und PAK15 </w:t>
      </w:r>
      <w:r w:rsidRPr="00F43C5E">
        <w:rPr>
          <w:rFonts w:ascii="Times New Roman" w:eastAsia="Times New Roman" w:hAnsi="Times New Roman" w:cs="Times New Roman"/>
          <w:sz w:val="16"/>
          <w:szCs w:val="16"/>
          <w:lang w:eastAsia="de-DE"/>
        </w:rPr>
        <w:sym w:font="Symbol" w:char="F0A3"/>
      </w:r>
      <w:r w:rsidRPr="00F43C5E">
        <w:rPr>
          <w:rFonts w:ascii="Times New Roman" w:eastAsia="Times New Roman" w:hAnsi="Times New Roman" w:cs="Times New Roman"/>
          <w:sz w:val="16"/>
          <w:szCs w:val="16"/>
          <w:lang w:eastAsia="de-DE"/>
        </w:rPr>
        <w:t xml:space="preserve"> 3,8 µg/l.</w:t>
      </w:r>
    </w:p>
    <w:p w14:paraId="19FC8A12" w14:textId="77777777" w:rsidR="00F43C5E" w:rsidRPr="00F43C5E" w:rsidRDefault="00F43C5E" w:rsidP="00F43C5E">
      <w:pPr>
        <w:spacing w:before="0" w:after="0"/>
        <w:jc w:val="left"/>
        <w:rPr>
          <w:rFonts w:ascii="Times New Roman" w:eastAsia="Times New Roman" w:hAnsi="Times New Roman" w:cs="Times New Roman"/>
          <w:sz w:val="16"/>
          <w:szCs w:val="16"/>
          <w:lang w:eastAsia="de-DE"/>
        </w:rPr>
      </w:pPr>
      <w:r w:rsidRPr="00F43C5E">
        <w:rPr>
          <w:rFonts w:ascii="Times New Roman" w:eastAsia="Times New Roman" w:hAnsi="Times New Roman" w:cs="Times New Roman"/>
          <w:sz w:val="16"/>
          <w:szCs w:val="16"/>
          <w:lang w:eastAsia="de-DE"/>
        </w:rPr>
        <w:t xml:space="preserve">3) Zulässig, wenn Chrom, ges. </w:t>
      </w:r>
      <w:r w:rsidRPr="00F43C5E">
        <w:rPr>
          <w:rFonts w:ascii="Times New Roman" w:eastAsia="Times New Roman" w:hAnsi="Times New Roman" w:cs="Times New Roman"/>
          <w:sz w:val="16"/>
          <w:szCs w:val="16"/>
          <w:lang w:eastAsia="de-DE"/>
        </w:rPr>
        <w:sym w:font="Symbol" w:char="F0A3"/>
      </w:r>
      <w:r w:rsidRPr="00F43C5E">
        <w:rPr>
          <w:rFonts w:ascii="Times New Roman" w:eastAsia="Times New Roman" w:hAnsi="Times New Roman" w:cs="Times New Roman"/>
          <w:sz w:val="16"/>
          <w:szCs w:val="16"/>
          <w:lang w:eastAsia="de-DE"/>
        </w:rPr>
        <w:t xml:space="preserve"> 360 µg/l und Vanadium </w:t>
      </w:r>
      <w:r w:rsidRPr="00F43C5E">
        <w:rPr>
          <w:rFonts w:ascii="Times New Roman" w:eastAsia="Times New Roman" w:hAnsi="Times New Roman" w:cs="Times New Roman"/>
          <w:sz w:val="16"/>
          <w:szCs w:val="16"/>
          <w:lang w:eastAsia="de-DE"/>
        </w:rPr>
        <w:sym w:font="Symbol" w:char="F0A3"/>
      </w:r>
      <w:r w:rsidRPr="00F43C5E">
        <w:rPr>
          <w:rFonts w:ascii="Times New Roman" w:eastAsia="Times New Roman" w:hAnsi="Times New Roman" w:cs="Times New Roman"/>
          <w:sz w:val="16"/>
          <w:szCs w:val="16"/>
          <w:lang w:eastAsia="de-DE"/>
        </w:rPr>
        <w:t xml:space="preserve"> 180 µg/l. </w:t>
      </w:r>
    </w:p>
    <w:p w14:paraId="084988D8" w14:textId="77777777" w:rsidR="00F43C5E" w:rsidRPr="00F43C5E" w:rsidRDefault="00F43C5E" w:rsidP="00F43C5E">
      <w:pPr>
        <w:tabs>
          <w:tab w:val="left" w:pos="142"/>
        </w:tabs>
        <w:spacing w:before="0" w:after="0"/>
        <w:ind w:left="142" w:hanging="142"/>
        <w:jc w:val="left"/>
        <w:rPr>
          <w:rFonts w:ascii="Times New Roman" w:eastAsia="Times New Roman" w:hAnsi="Times New Roman" w:cs="Times New Roman"/>
          <w:sz w:val="16"/>
          <w:szCs w:val="16"/>
          <w:lang w:eastAsia="de-DE"/>
        </w:rPr>
      </w:pPr>
      <w:r w:rsidRPr="00F43C5E">
        <w:rPr>
          <w:rFonts w:ascii="Times New Roman" w:eastAsia="Times New Roman" w:hAnsi="Times New Roman" w:cs="Times New Roman"/>
          <w:sz w:val="16"/>
          <w:szCs w:val="16"/>
          <w:lang w:eastAsia="de-DE"/>
        </w:rPr>
        <w:t xml:space="preserve">4) Zulässig, wenn Vanadium ≤ 320 µg/l (Zeile 16) oder </w:t>
      </w:r>
      <w:proofErr w:type="gramStart"/>
      <w:r w:rsidRPr="00F43C5E">
        <w:rPr>
          <w:rFonts w:ascii="Times New Roman" w:eastAsia="Times New Roman" w:hAnsi="Times New Roman" w:cs="Times New Roman"/>
          <w:sz w:val="16"/>
          <w:szCs w:val="16"/>
          <w:lang w:eastAsia="de-DE"/>
        </w:rPr>
        <w:t>zulässig</w:t>
      </w:r>
      <w:proofErr w:type="gramEnd"/>
      <w:r w:rsidRPr="00F43C5E">
        <w:rPr>
          <w:rFonts w:ascii="Times New Roman" w:eastAsia="Times New Roman" w:hAnsi="Times New Roman" w:cs="Times New Roman"/>
          <w:sz w:val="16"/>
          <w:szCs w:val="16"/>
          <w:lang w:eastAsia="de-DE"/>
        </w:rPr>
        <w:t xml:space="preserve"> wenn „M“ und Vanadium ≤ 200 µg/l (Zeile 17). </w:t>
      </w:r>
    </w:p>
    <w:p w14:paraId="081371B5" w14:textId="77777777" w:rsidR="00F43C5E" w:rsidRPr="00F43C5E" w:rsidRDefault="00F43C5E" w:rsidP="00F43C5E">
      <w:pPr>
        <w:tabs>
          <w:tab w:val="left" w:pos="142"/>
        </w:tabs>
        <w:spacing w:before="0" w:after="0"/>
        <w:ind w:left="142" w:hanging="142"/>
        <w:jc w:val="left"/>
        <w:rPr>
          <w:rFonts w:ascii="Times New Roman" w:eastAsia="Times New Roman" w:hAnsi="Times New Roman" w:cs="Times New Roman"/>
          <w:sz w:val="16"/>
          <w:szCs w:val="16"/>
          <w:lang w:eastAsia="de-DE"/>
        </w:rPr>
      </w:pPr>
      <w:r w:rsidRPr="00F43C5E">
        <w:rPr>
          <w:rFonts w:ascii="Times New Roman" w:eastAsia="Times New Roman" w:hAnsi="Times New Roman" w:cs="Times New Roman"/>
          <w:sz w:val="16"/>
          <w:szCs w:val="16"/>
          <w:lang w:eastAsia="de-DE"/>
        </w:rPr>
        <w:t xml:space="preserve">5) </w:t>
      </w:r>
      <w:proofErr w:type="gramStart"/>
      <w:r w:rsidRPr="00F43C5E">
        <w:rPr>
          <w:rFonts w:ascii="Times New Roman" w:eastAsia="Times New Roman" w:hAnsi="Times New Roman" w:cs="Times New Roman"/>
          <w:sz w:val="16"/>
          <w:szCs w:val="16"/>
          <w:lang w:eastAsia="de-DE"/>
        </w:rPr>
        <w:t>Zulässig</w:t>
      </w:r>
      <w:proofErr w:type="gramEnd"/>
      <w:r w:rsidRPr="00F43C5E">
        <w:rPr>
          <w:rFonts w:ascii="Times New Roman" w:eastAsia="Times New Roman" w:hAnsi="Times New Roman" w:cs="Times New Roman"/>
          <w:sz w:val="16"/>
          <w:szCs w:val="16"/>
          <w:lang w:eastAsia="de-DE"/>
        </w:rPr>
        <w:t xml:space="preserve"> wenn „M“.</w:t>
      </w:r>
    </w:p>
    <w:p w14:paraId="6CFDD8CF" w14:textId="020C4663" w:rsidR="00F43C5E" w:rsidRPr="00F43C5E" w:rsidRDefault="00F43C5E" w:rsidP="00F43C5E">
      <w:pPr>
        <w:tabs>
          <w:tab w:val="left" w:pos="142"/>
        </w:tabs>
        <w:spacing w:before="0" w:after="0"/>
        <w:ind w:left="142" w:hanging="142"/>
        <w:jc w:val="left"/>
        <w:rPr>
          <w:rFonts w:ascii="Times New Roman" w:eastAsia="Times New Roman" w:hAnsi="Times New Roman" w:cs="Times New Roman"/>
          <w:sz w:val="16"/>
          <w:szCs w:val="16"/>
          <w:lang w:eastAsia="de-DE"/>
        </w:rPr>
      </w:pPr>
      <w:r w:rsidRPr="00F43C5E">
        <w:rPr>
          <w:rFonts w:ascii="Times New Roman" w:eastAsia="Times New Roman" w:hAnsi="Times New Roman" w:cs="Times New Roman"/>
          <w:sz w:val="16"/>
          <w:szCs w:val="16"/>
          <w:lang w:eastAsia="de-DE"/>
        </w:rPr>
        <w:t xml:space="preserve">6) Nicht zugelassen auf Kinderspielflächen, in Wohngebieten oder Park- und Freizeitanlagen, es gelten die Begriffsbestimmungen gemäß § 2 Nummer 18, 19, 20 </w:t>
      </w:r>
      <w:proofErr w:type="spellStart"/>
      <w:r w:rsidRPr="00F43C5E">
        <w:rPr>
          <w:rFonts w:ascii="Times New Roman" w:eastAsia="Times New Roman" w:hAnsi="Times New Roman" w:cs="Times New Roman"/>
          <w:sz w:val="16"/>
          <w:szCs w:val="16"/>
          <w:lang w:eastAsia="de-DE"/>
        </w:rPr>
        <w:t>BBodSchV</w:t>
      </w:r>
      <w:proofErr w:type="spellEnd"/>
      <w:r w:rsidRPr="00F43C5E">
        <w:rPr>
          <w:rFonts w:ascii="Times New Roman" w:eastAsia="Times New Roman" w:hAnsi="Times New Roman" w:cs="Times New Roman"/>
          <w:sz w:val="16"/>
          <w:szCs w:val="16"/>
          <w:lang w:eastAsia="de-DE"/>
        </w:rPr>
        <w:t>.</w:t>
      </w:r>
    </w:p>
    <w:p w14:paraId="257F3719" w14:textId="43E19DAC" w:rsidR="00F43C5E" w:rsidRPr="008D0377" w:rsidRDefault="00F43C5E" w:rsidP="00F43C5E">
      <w:pPr>
        <w:pStyle w:val="berschrift1"/>
      </w:pPr>
      <w:r>
        <w:br w:type="page"/>
      </w:r>
      <w:r w:rsidRPr="008D0377">
        <w:lastRenderedPageBreak/>
        <w:t>Tabelle 3: Recycling Baustoff der Klasse 3 (RC-3)</w:t>
      </w:r>
    </w:p>
    <w:p w14:paraId="1C71908D" w14:textId="77777777" w:rsidR="000D49B1" w:rsidRPr="000D49B1" w:rsidRDefault="000D49B1" w:rsidP="000D49B1">
      <w:pPr>
        <w:pStyle w:val="Text"/>
      </w:pPr>
    </w:p>
    <w:tbl>
      <w:tblPr>
        <w:tblW w:w="1134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214"/>
        <w:gridCol w:w="851"/>
        <w:gridCol w:w="664"/>
        <w:gridCol w:w="1185"/>
        <w:gridCol w:w="647"/>
        <w:gridCol w:w="765"/>
        <w:gridCol w:w="527"/>
        <w:gridCol w:w="765"/>
        <w:gridCol w:w="542"/>
        <w:gridCol w:w="765"/>
      </w:tblGrid>
      <w:tr w:rsidR="00F43C5E" w:rsidRPr="00F43C5E" w14:paraId="070F6617" w14:textId="77777777" w:rsidTr="00F43C5E">
        <w:trPr>
          <w:trHeight w:val="330"/>
        </w:trPr>
        <w:tc>
          <w:tcPr>
            <w:tcW w:w="11349" w:type="dxa"/>
            <w:gridSpan w:val="11"/>
            <w:noWrap/>
            <w:vAlign w:val="bottom"/>
          </w:tcPr>
          <w:p w14:paraId="4BC33C3A" w14:textId="77777777" w:rsidR="00F43C5E" w:rsidRPr="00F43C5E" w:rsidRDefault="00F43C5E" w:rsidP="00F43C5E">
            <w:pPr>
              <w:spacing w:before="0" w:after="0"/>
              <w:jc w:val="center"/>
              <w:rPr>
                <w:rFonts w:ascii="Times New Roman" w:eastAsia="Times New Roman" w:hAnsi="Times New Roman" w:cs="Times New Roman"/>
                <w:b/>
                <w:sz w:val="24"/>
                <w:szCs w:val="24"/>
                <w:lang w:eastAsia="de-DE"/>
              </w:rPr>
            </w:pPr>
            <w:r w:rsidRPr="00F43C5E">
              <w:rPr>
                <w:rFonts w:ascii="Times New Roman" w:eastAsia="Times New Roman" w:hAnsi="Times New Roman" w:cs="Times New Roman"/>
                <w:b/>
                <w:sz w:val="24"/>
                <w:szCs w:val="24"/>
                <w:lang w:eastAsia="de-DE"/>
              </w:rPr>
              <w:br w:type="page"/>
            </w:r>
            <w:r w:rsidRPr="00F43C5E">
              <w:rPr>
                <w:rFonts w:ascii="Times New Roman" w:eastAsia="Times New Roman" w:hAnsi="Times New Roman" w:cs="Times New Roman"/>
                <w:b/>
                <w:sz w:val="24"/>
                <w:szCs w:val="24"/>
                <w:lang w:eastAsia="de-DE"/>
              </w:rPr>
              <w:br w:type="page"/>
            </w:r>
            <w:r w:rsidRPr="00F43C5E">
              <w:rPr>
                <w:rFonts w:ascii="Times New Roman" w:eastAsia="Times New Roman" w:hAnsi="Times New Roman" w:cs="Times New Roman"/>
                <w:b/>
                <w:sz w:val="24"/>
                <w:szCs w:val="24"/>
                <w:lang w:eastAsia="de-DE"/>
              </w:rPr>
              <w:br w:type="page"/>
            </w:r>
            <w:r w:rsidRPr="00F43C5E">
              <w:rPr>
                <w:rFonts w:ascii="Times New Roman" w:eastAsia="Times New Roman" w:hAnsi="Times New Roman" w:cs="Times New Roman"/>
                <w:b/>
                <w:sz w:val="24"/>
                <w:szCs w:val="24"/>
                <w:lang w:eastAsia="de-DE"/>
              </w:rPr>
              <w:br w:type="page"/>
              <w:t xml:space="preserve">Recycling-Baustoff der Klasse 3 (RC-3) </w:t>
            </w:r>
          </w:p>
          <w:p w14:paraId="1BEA5018" w14:textId="77777777" w:rsidR="00F43C5E" w:rsidRPr="00F43C5E" w:rsidRDefault="00F43C5E" w:rsidP="00F43C5E">
            <w:pPr>
              <w:spacing w:before="0" w:after="0"/>
              <w:jc w:val="center"/>
              <w:rPr>
                <w:rFonts w:ascii="Times New Roman" w:eastAsia="Times New Roman" w:hAnsi="Times New Roman" w:cs="Times New Roman"/>
                <w:b/>
                <w:sz w:val="24"/>
                <w:szCs w:val="24"/>
                <w:lang w:eastAsia="de-DE"/>
              </w:rPr>
            </w:pPr>
          </w:p>
        </w:tc>
      </w:tr>
      <w:tr w:rsidR="00F43C5E" w:rsidRPr="00F43C5E" w14:paraId="0210736C" w14:textId="77777777" w:rsidTr="00F43C5E">
        <w:trPr>
          <w:trHeight w:val="20"/>
        </w:trPr>
        <w:tc>
          <w:tcPr>
            <w:tcW w:w="4638" w:type="dxa"/>
            <w:gridSpan w:val="2"/>
            <w:vMerge w:val="restart"/>
            <w:shd w:val="clear" w:color="auto" w:fill="auto"/>
            <w:noWrap/>
          </w:tcPr>
          <w:p w14:paraId="74CC2AC3" w14:textId="77777777" w:rsidR="00F43C5E" w:rsidRPr="00F43C5E" w:rsidRDefault="00F43C5E" w:rsidP="00F43C5E">
            <w:pPr>
              <w:spacing w:before="0" w:after="0"/>
              <w:jc w:val="center"/>
              <w:rPr>
                <w:rFonts w:ascii="Times New Roman" w:eastAsia="Times New Roman" w:hAnsi="Times New Roman" w:cs="Times New Roman"/>
                <w:b/>
                <w:sz w:val="24"/>
                <w:szCs w:val="24"/>
                <w:lang w:eastAsia="de-DE"/>
              </w:rPr>
            </w:pPr>
            <w:r w:rsidRPr="00F43C5E">
              <w:rPr>
                <w:rFonts w:ascii="Times New Roman" w:eastAsia="Times New Roman" w:hAnsi="Times New Roman" w:cs="Times New Roman"/>
                <w:b/>
                <w:sz w:val="24"/>
                <w:szCs w:val="24"/>
                <w:lang w:eastAsia="de-DE"/>
              </w:rPr>
              <w:t>Einbauweise</w:t>
            </w:r>
          </w:p>
        </w:tc>
        <w:tc>
          <w:tcPr>
            <w:tcW w:w="6711" w:type="dxa"/>
            <w:gridSpan w:val="9"/>
            <w:shd w:val="clear" w:color="auto" w:fill="auto"/>
            <w:noWrap/>
            <w:vAlign w:val="center"/>
          </w:tcPr>
          <w:p w14:paraId="579173B3" w14:textId="77777777" w:rsidR="00F43C5E" w:rsidRPr="00F43C5E" w:rsidRDefault="00F43C5E" w:rsidP="00F43C5E">
            <w:pPr>
              <w:spacing w:before="0" w:after="0"/>
              <w:jc w:val="center"/>
              <w:rPr>
                <w:rFonts w:ascii="Times New Roman" w:eastAsia="Times New Roman" w:hAnsi="Times New Roman" w:cs="Times New Roman"/>
                <w:b/>
                <w:sz w:val="24"/>
                <w:szCs w:val="24"/>
                <w:lang w:eastAsia="de-DE"/>
              </w:rPr>
            </w:pPr>
            <w:r w:rsidRPr="00F43C5E">
              <w:rPr>
                <w:rFonts w:ascii="Times New Roman" w:eastAsia="Times New Roman" w:hAnsi="Times New Roman" w:cs="Times New Roman"/>
                <w:b/>
                <w:sz w:val="24"/>
                <w:szCs w:val="24"/>
                <w:lang w:eastAsia="de-DE"/>
              </w:rPr>
              <w:t>Eigenschaft der Grundwasserdeckschicht</w:t>
            </w:r>
          </w:p>
        </w:tc>
      </w:tr>
      <w:tr w:rsidR="00F43C5E" w:rsidRPr="00F43C5E" w14:paraId="69F0663F" w14:textId="77777777" w:rsidTr="00F43C5E">
        <w:trPr>
          <w:trHeight w:val="20"/>
        </w:trPr>
        <w:tc>
          <w:tcPr>
            <w:tcW w:w="4638" w:type="dxa"/>
            <w:gridSpan w:val="2"/>
            <w:vMerge/>
            <w:shd w:val="clear" w:color="auto" w:fill="auto"/>
            <w:noWrap/>
            <w:vAlign w:val="center"/>
          </w:tcPr>
          <w:p w14:paraId="4C289E19" w14:textId="77777777" w:rsidR="00F43C5E" w:rsidRPr="00F43C5E" w:rsidRDefault="00F43C5E" w:rsidP="00F43C5E">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4D45F0D6" w14:textId="77777777" w:rsidR="00F43C5E" w:rsidRPr="00F43C5E" w:rsidRDefault="00F43C5E" w:rsidP="00F43C5E">
            <w:pPr>
              <w:spacing w:before="0" w:after="0"/>
              <w:jc w:val="center"/>
              <w:rPr>
                <w:rFonts w:ascii="Times New Roman" w:eastAsia="Times New Roman" w:hAnsi="Times New Roman" w:cs="Times New Roman"/>
                <w:sz w:val="20"/>
                <w:szCs w:val="20"/>
                <w:lang w:eastAsia="de-DE"/>
              </w:rPr>
            </w:pPr>
            <w:r w:rsidRPr="00F43C5E">
              <w:rPr>
                <w:rFonts w:ascii="Times New Roman" w:eastAsia="Times New Roman" w:hAnsi="Times New Roman" w:cs="Times New Roman"/>
                <w:sz w:val="20"/>
                <w:szCs w:val="20"/>
                <w:lang w:eastAsia="de-DE"/>
              </w:rPr>
              <w:t>außerhalb von</w:t>
            </w:r>
          </w:p>
          <w:p w14:paraId="0F3524BA" w14:textId="77777777" w:rsidR="00F43C5E" w:rsidRPr="00F43C5E" w:rsidRDefault="00F43C5E" w:rsidP="00F43C5E">
            <w:pPr>
              <w:spacing w:before="0" w:after="0"/>
              <w:jc w:val="center"/>
              <w:rPr>
                <w:rFonts w:ascii="Times New Roman" w:eastAsia="Times New Roman" w:hAnsi="Times New Roman" w:cs="Times New Roman"/>
                <w:sz w:val="20"/>
                <w:szCs w:val="20"/>
                <w:lang w:eastAsia="de-DE"/>
              </w:rPr>
            </w:pPr>
            <w:r w:rsidRPr="00F43C5E">
              <w:rPr>
                <w:rFonts w:ascii="Times New Roman" w:eastAsia="Times New Roman" w:hAnsi="Times New Roman" w:cs="Times New Roman"/>
                <w:sz w:val="20"/>
                <w:szCs w:val="20"/>
                <w:lang w:eastAsia="de-DE"/>
              </w:rPr>
              <w:t>Wasserschutzbereichen</w:t>
            </w:r>
          </w:p>
        </w:tc>
        <w:tc>
          <w:tcPr>
            <w:tcW w:w="4011" w:type="dxa"/>
            <w:gridSpan w:val="6"/>
            <w:shd w:val="clear" w:color="auto" w:fill="auto"/>
            <w:noWrap/>
            <w:vAlign w:val="center"/>
          </w:tcPr>
          <w:p w14:paraId="04CEA507" w14:textId="77777777" w:rsidR="00F43C5E" w:rsidRPr="00F43C5E" w:rsidRDefault="00F43C5E" w:rsidP="00F43C5E">
            <w:pPr>
              <w:spacing w:before="0" w:after="0"/>
              <w:jc w:val="center"/>
              <w:rPr>
                <w:rFonts w:ascii="Times New Roman" w:eastAsia="Times New Roman" w:hAnsi="Times New Roman" w:cs="Times New Roman"/>
                <w:sz w:val="20"/>
                <w:szCs w:val="20"/>
                <w:lang w:eastAsia="de-DE"/>
              </w:rPr>
            </w:pPr>
            <w:r w:rsidRPr="00F43C5E">
              <w:rPr>
                <w:rFonts w:ascii="Times New Roman" w:eastAsia="Times New Roman" w:hAnsi="Times New Roman" w:cs="Times New Roman"/>
                <w:sz w:val="20"/>
                <w:szCs w:val="20"/>
                <w:lang w:eastAsia="de-DE"/>
              </w:rPr>
              <w:t>innerhalb von</w:t>
            </w:r>
          </w:p>
          <w:p w14:paraId="069DAC87" w14:textId="77777777" w:rsidR="00F43C5E" w:rsidRPr="00F43C5E" w:rsidRDefault="00F43C5E" w:rsidP="00F43C5E">
            <w:pPr>
              <w:spacing w:before="0" w:after="0"/>
              <w:jc w:val="center"/>
              <w:rPr>
                <w:rFonts w:ascii="Times New Roman" w:eastAsia="Times New Roman" w:hAnsi="Times New Roman" w:cs="Times New Roman"/>
                <w:sz w:val="20"/>
                <w:szCs w:val="20"/>
                <w:lang w:eastAsia="de-DE"/>
              </w:rPr>
            </w:pPr>
            <w:r w:rsidRPr="00F43C5E">
              <w:rPr>
                <w:rFonts w:ascii="Times New Roman" w:eastAsia="Times New Roman" w:hAnsi="Times New Roman" w:cs="Times New Roman"/>
                <w:sz w:val="20"/>
                <w:szCs w:val="20"/>
                <w:lang w:eastAsia="de-DE"/>
              </w:rPr>
              <w:t>Wasserschutzbereichen</w:t>
            </w:r>
          </w:p>
        </w:tc>
      </w:tr>
      <w:tr w:rsidR="00F43C5E" w:rsidRPr="00F43C5E" w14:paraId="0BC95878" w14:textId="77777777" w:rsidTr="00F43C5E">
        <w:trPr>
          <w:trHeight w:val="20"/>
        </w:trPr>
        <w:tc>
          <w:tcPr>
            <w:tcW w:w="4638" w:type="dxa"/>
            <w:gridSpan w:val="2"/>
            <w:vMerge/>
            <w:shd w:val="clear" w:color="auto" w:fill="auto"/>
            <w:noWrap/>
            <w:vAlign w:val="center"/>
          </w:tcPr>
          <w:p w14:paraId="468F695C"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06C9CC89" w14:textId="77777777" w:rsidR="00F43C5E" w:rsidRPr="00F43C5E" w:rsidRDefault="00F43C5E" w:rsidP="00F43C5E">
            <w:pPr>
              <w:spacing w:before="0" w:after="0"/>
              <w:jc w:val="center"/>
              <w:rPr>
                <w:rFonts w:ascii="Times New Roman" w:eastAsia="Times New Roman" w:hAnsi="Times New Roman" w:cs="Times New Roman"/>
                <w:sz w:val="20"/>
                <w:szCs w:val="20"/>
                <w:lang w:eastAsia="de-DE"/>
              </w:rPr>
            </w:pPr>
            <w:proofErr w:type="spellStart"/>
            <w:r w:rsidRPr="00F43C5E">
              <w:rPr>
                <w:rFonts w:ascii="Times New Roman" w:eastAsia="Times New Roman" w:hAnsi="Times New Roman" w:cs="Times New Roman"/>
                <w:sz w:val="20"/>
                <w:szCs w:val="20"/>
                <w:lang w:eastAsia="de-DE"/>
              </w:rPr>
              <w:t>un</w:t>
            </w:r>
            <w:proofErr w:type="spellEnd"/>
            <w:r w:rsidRPr="00F43C5E">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06B85CA5" w14:textId="77777777" w:rsidR="00F43C5E" w:rsidRPr="00F43C5E" w:rsidRDefault="00F43C5E" w:rsidP="00F43C5E">
            <w:pPr>
              <w:spacing w:before="0" w:after="0"/>
              <w:jc w:val="center"/>
              <w:rPr>
                <w:rFonts w:ascii="Times New Roman" w:eastAsia="Times New Roman" w:hAnsi="Times New Roman" w:cs="Times New Roman"/>
                <w:sz w:val="20"/>
                <w:szCs w:val="20"/>
                <w:lang w:eastAsia="de-DE"/>
              </w:rPr>
            </w:pPr>
            <w:r w:rsidRPr="00F43C5E">
              <w:rPr>
                <w:rFonts w:ascii="Times New Roman" w:eastAsia="Times New Roman" w:hAnsi="Times New Roman" w:cs="Times New Roman"/>
                <w:sz w:val="20"/>
                <w:szCs w:val="20"/>
                <w:lang w:eastAsia="de-DE"/>
              </w:rPr>
              <w:t>günstig</w:t>
            </w:r>
          </w:p>
        </w:tc>
        <w:tc>
          <w:tcPr>
            <w:tcW w:w="4011" w:type="dxa"/>
            <w:gridSpan w:val="6"/>
            <w:shd w:val="clear" w:color="auto" w:fill="auto"/>
            <w:noWrap/>
            <w:vAlign w:val="center"/>
          </w:tcPr>
          <w:p w14:paraId="69C6D43F" w14:textId="77777777" w:rsidR="00F43C5E" w:rsidRPr="00F43C5E" w:rsidRDefault="00F43C5E" w:rsidP="00F43C5E">
            <w:pPr>
              <w:spacing w:before="0" w:after="0"/>
              <w:jc w:val="center"/>
              <w:rPr>
                <w:rFonts w:ascii="Times New Roman" w:eastAsia="Times New Roman" w:hAnsi="Times New Roman" w:cs="Times New Roman"/>
                <w:sz w:val="20"/>
                <w:szCs w:val="20"/>
                <w:lang w:eastAsia="de-DE"/>
              </w:rPr>
            </w:pPr>
            <w:r w:rsidRPr="00F43C5E">
              <w:rPr>
                <w:rFonts w:ascii="Times New Roman" w:eastAsia="Times New Roman" w:hAnsi="Times New Roman" w:cs="Times New Roman"/>
                <w:sz w:val="20"/>
                <w:szCs w:val="20"/>
                <w:lang w:eastAsia="de-DE"/>
              </w:rPr>
              <w:t>günstig</w:t>
            </w:r>
          </w:p>
        </w:tc>
      </w:tr>
      <w:tr w:rsidR="00F43C5E" w:rsidRPr="00F43C5E" w14:paraId="662A2236" w14:textId="77777777" w:rsidTr="00F43C5E">
        <w:trPr>
          <w:trHeight w:val="20"/>
        </w:trPr>
        <w:tc>
          <w:tcPr>
            <w:tcW w:w="4638" w:type="dxa"/>
            <w:gridSpan w:val="2"/>
            <w:vMerge/>
            <w:shd w:val="clear" w:color="auto" w:fill="auto"/>
            <w:noWrap/>
            <w:vAlign w:val="center"/>
          </w:tcPr>
          <w:p w14:paraId="4653B66E"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148A74B4"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1EABCF98"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4047C885" w14:textId="2BF4EA68"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Lehm,</w:t>
            </w:r>
          </w:p>
          <w:p w14:paraId="1CE4690A" w14:textId="6DD1523A"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Schluff,</w:t>
            </w:r>
          </w:p>
          <w:p w14:paraId="019E6C7E"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Ton</w:t>
            </w:r>
          </w:p>
        </w:tc>
        <w:tc>
          <w:tcPr>
            <w:tcW w:w="1412" w:type="dxa"/>
            <w:gridSpan w:val="2"/>
            <w:shd w:val="clear" w:color="auto" w:fill="auto"/>
            <w:noWrap/>
            <w:vAlign w:val="center"/>
          </w:tcPr>
          <w:p w14:paraId="35B4D8AB"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WSG III A</w:t>
            </w:r>
          </w:p>
        </w:tc>
        <w:tc>
          <w:tcPr>
            <w:tcW w:w="1292" w:type="dxa"/>
            <w:gridSpan w:val="2"/>
            <w:shd w:val="clear" w:color="auto" w:fill="auto"/>
            <w:noWrap/>
            <w:vAlign w:val="center"/>
          </w:tcPr>
          <w:p w14:paraId="75E8E91E"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WSG III B</w:t>
            </w:r>
          </w:p>
        </w:tc>
        <w:tc>
          <w:tcPr>
            <w:tcW w:w="1307" w:type="dxa"/>
            <w:gridSpan w:val="2"/>
            <w:shd w:val="clear" w:color="auto" w:fill="auto"/>
            <w:noWrap/>
            <w:vAlign w:val="center"/>
          </w:tcPr>
          <w:p w14:paraId="034416C4"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Wasservor-</w:t>
            </w:r>
          </w:p>
        </w:tc>
      </w:tr>
      <w:tr w:rsidR="00F43C5E" w:rsidRPr="00F43C5E" w14:paraId="68EF7DAA" w14:textId="77777777" w:rsidTr="00F43C5E">
        <w:trPr>
          <w:trHeight w:val="80"/>
        </w:trPr>
        <w:tc>
          <w:tcPr>
            <w:tcW w:w="4638" w:type="dxa"/>
            <w:gridSpan w:val="2"/>
            <w:vMerge/>
            <w:shd w:val="clear" w:color="auto" w:fill="auto"/>
            <w:noWrap/>
            <w:vAlign w:val="center"/>
          </w:tcPr>
          <w:p w14:paraId="796F569F"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3F5AFCE9"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20A546E5"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7F9D8745"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1412" w:type="dxa"/>
            <w:gridSpan w:val="2"/>
            <w:shd w:val="clear" w:color="auto" w:fill="auto"/>
            <w:noWrap/>
            <w:vAlign w:val="center"/>
          </w:tcPr>
          <w:p w14:paraId="595B583A"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HSG III</w:t>
            </w:r>
          </w:p>
        </w:tc>
        <w:tc>
          <w:tcPr>
            <w:tcW w:w="1292" w:type="dxa"/>
            <w:gridSpan w:val="2"/>
            <w:shd w:val="clear" w:color="auto" w:fill="auto"/>
            <w:noWrap/>
            <w:vAlign w:val="center"/>
          </w:tcPr>
          <w:p w14:paraId="20549425"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HSG IV</w:t>
            </w:r>
          </w:p>
        </w:tc>
        <w:tc>
          <w:tcPr>
            <w:tcW w:w="1307" w:type="dxa"/>
            <w:gridSpan w:val="2"/>
            <w:shd w:val="clear" w:color="auto" w:fill="auto"/>
            <w:noWrap/>
            <w:vAlign w:val="center"/>
          </w:tcPr>
          <w:p w14:paraId="67C41892"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ranggebiete</w:t>
            </w:r>
          </w:p>
        </w:tc>
      </w:tr>
      <w:tr w:rsidR="00F43C5E" w:rsidRPr="00F43C5E" w14:paraId="37D0DE48" w14:textId="77777777" w:rsidTr="00F43C5E">
        <w:trPr>
          <w:trHeight w:val="80"/>
        </w:trPr>
        <w:tc>
          <w:tcPr>
            <w:tcW w:w="4638" w:type="dxa"/>
            <w:gridSpan w:val="2"/>
            <w:vMerge/>
            <w:shd w:val="clear" w:color="auto" w:fill="auto"/>
            <w:noWrap/>
            <w:vAlign w:val="center"/>
          </w:tcPr>
          <w:p w14:paraId="46B4E0CA"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24206CCB"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0AFA5F32"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4222C486"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647" w:type="dxa"/>
            <w:shd w:val="clear" w:color="auto" w:fill="auto"/>
            <w:noWrap/>
            <w:vAlign w:val="center"/>
          </w:tcPr>
          <w:p w14:paraId="4ADA2DD5"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Sand</w:t>
            </w:r>
          </w:p>
        </w:tc>
        <w:tc>
          <w:tcPr>
            <w:tcW w:w="765" w:type="dxa"/>
            <w:shd w:val="clear" w:color="auto" w:fill="auto"/>
            <w:vAlign w:val="center"/>
          </w:tcPr>
          <w:p w14:paraId="2F1D2676" w14:textId="124C5FA1"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Lehm,</w:t>
            </w:r>
          </w:p>
          <w:p w14:paraId="0C594DCB" w14:textId="16FD4DFA"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Schluff,</w:t>
            </w:r>
          </w:p>
          <w:p w14:paraId="590A1ED0"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Ton</w:t>
            </w:r>
          </w:p>
        </w:tc>
        <w:tc>
          <w:tcPr>
            <w:tcW w:w="527" w:type="dxa"/>
            <w:shd w:val="clear" w:color="auto" w:fill="auto"/>
            <w:noWrap/>
            <w:vAlign w:val="center"/>
          </w:tcPr>
          <w:p w14:paraId="744D08FF"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Sand</w:t>
            </w:r>
          </w:p>
        </w:tc>
        <w:tc>
          <w:tcPr>
            <w:tcW w:w="765" w:type="dxa"/>
            <w:shd w:val="clear" w:color="auto" w:fill="auto"/>
            <w:vAlign w:val="center"/>
          </w:tcPr>
          <w:p w14:paraId="4A5F0D01" w14:textId="0EA522ED"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Lehm,</w:t>
            </w:r>
          </w:p>
          <w:p w14:paraId="3B82CEA2" w14:textId="70398CED"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Schluff,</w:t>
            </w:r>
          </w:p>
          <w:p w14:paraId="243DEC94"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76A9A76E"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Sand</w:t>
            </w:r>
          </w:p>
        </w:tc>
        <w:tc>
          <w:tcPr>
            <w:tcW w:w="765" w:type="dxa"/>
            <w:shd w:val="clear" w:color="auto" w:fill="auto"/>
            <w:vAlign w:val="center"/>
          </w:tcPr>
          <w:p w14:paraId="6589139B" w14:textId="6AE04E1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Lehm,</w:t>
            </w:r>
          </w:p>
          <w:p w14:paraId="56C209D5" w14:textId="3A20BB12"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Schluff,</w:t>
            </w:r>
          </w:p>
          <w:p w14:paraId="6D001920"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Ton</w:t>
            </w:r>
          </w:p>
        </w:tc>
      </w:tr>
      <w:tr w:rsidR="00F43C5E" w:rsidRPr="00F43C5E" w14:paraId="2A88318D" w14:textId="77777777" w:rsidTr="00F43C5E">
        <w:trPr>
          <w:trHeight w:val="111"/>
        </w:trPr>
        <w:tc>
          <w:tcPr>
            <w:tcW w:w="4638" w:type="dxa"/>
            <w:gridSpan w:val="2"/>
            <w:vMerge/>
            <w:shd w:val="clear" w:color="auto" w:fill="auto"/>
            <w:noWrap/>
            <w:vAlign w:val="center"/>
          </w:tcPr>
          <w:p w14:paraId="62EC3B28"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1BA666EB"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1</w:t>
            </w:r>
          </w:p>
        </w:tc>
        <w:tc>
          <w:tcPr>
            <w:tcW w:w="664" w:type="dxa"/>
            <w:shd w:val="clear" w:color="auto" w:fill="auto"/>
            <w:noWrap/>
            <w:vAlign w:val="center"/>
          </w:tcPr>
          <w:p w14:paraId="59C702BC"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2</w:t>
            </w:r>
          </w:p>
        </w:tc>
        <w:tc>
          <w:tcPr>
            <w:tcW w:w="1185" w:type="dxa"/>
            <w:shd w:val="clear" w:color="auto" w:fill="auto"/>
            <w:noWrap/>
            <w:vAlign w:val="center"/>
          </w:tcPr>
          <w:p w14:paraId="42C0DD6F"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3</w:t>
            </w:r>
          </w:p>
        </w:tc>
        <w:tc>
          <w:tcPr>
            <w:tcW w:w="1412" w:type="dxa"/>
            <w:gridSpan w:val="2"/>
            <w:shd w:val="clear" w:color="auto" w:fill="auto"/>
            <w:noWrap/>
            <w:vAlign w:val="center"/>
          </w:tcPr>
          <w:p w14:paraId="7BFBBDD1"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4</w:t>
            </w:r>
          </w:p>
        </w:tc>
        <w:tc>
          <w:tcPr>
            <w:tcW w:w="1292" w:type="dxa"/>
            <w:gridSpan w:val="2"/>
            <w:shd w:val="clear" w:color="auto" w:fill="auto"/>
            <w:noWrap/>
            <w:vAlign w:val="center"/>
          </w:tcPr>
          <w:p w14:paraId="03ADFA9C"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5</w:t>
            </w:r>
          </w:p>
        </w:tc>
        <w:tc>
          <w:tcPr>
            <w:tcW w:w="1307" w:type="dxa"/>
            <w:gridSpan w:val="2"/>
            <w:shd w:val="clear" w:color="auto" w:fill="auto"/>
            <w:noWrap/>
            <w:vAlign w:val="center"/>
          </w:tcPr>
          <w:p w14:paraId="4473D391" w14:textId="77777777" w:rsidR="00F43C5E" w:rsidRPr="00F43C5E" w:rsidRDefault="00F43C5E" w:rsidP="00F43C5E">
            <w:pPr>
              <w:spacing w:before="0" w:after="0"/>
              <w:jc w:val="center"/>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6</w:t>
            </w:r>
          </w:p>
        </w:tc>
      </w:tr>
      <w:tr w:rsidR="00F43C5E" w:rsidRPr="00F43C5E" w14:paraId="657FF92E" w14:textId="77777777" w:rsidTr="00F43C5E">
        <w:trPr>
          <w:trHeight w:val="20"/>
        </w:trPr>
        <w:tc>
          <w:tcPr>
            <w:tcW w:w="424" w:type="dxa"/>
            <w:shd w:val="clear" w:color="auto" w:fill="auto"/>
            <w:noWrap/>
          </w:tcPr>
          <w:p w14:paraId="45E1B9D3"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1</w:t>
            </w:r>
          </w:p>
        </w:tc>
        <w:tc>
          <w:tcPr>
            <w:tcW w:w="4214" w:type="dxa"/>
            <w:shd w:val="clear" w:color="auto" w:fill="FFFFFF"/>
          </w:tcPr>
          <w:p w14:paraId="7FA2B80D"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207BDA36"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64" w:type="dxa"/>
            <w:noWrap/>
            <w:vAlign w:val="center"/>
          </w:tcPr>
          <w:p w14:paraId="4A6F1D76"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23CA1B86"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47" w:type="dxa"/>
            <w:shd w:val="clear" w:color="auto" w:fill="auto"/>
            <w:noWrap/>
            <w:vAlign w:val="center"/>
          </w:tcPr>
          <w:p w14:paraId="1B8EAD7D"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auto"/>
            <w:vAlign w:val="center"/>
          </w:tcPr>
          <w:p w14:paraId="4BA244A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27" w:type="dxa"/>
            <w:shd w:val="clear" w:color="auto" w:fill="auto"/>
            <w:noWrap/>
            <w:vAlign w:val="center"/>
          </w:tcPr>
          <w:p w14:paraId="2B3106B3"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auto"/>
            <w:vAlign w:val="center"/>
          </w:tcPr>
          <w:p w14:paraId="12DACBCF"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42" w:type="dxa"/>
            <w:shd w:val="clear" w:color="auto" w:fill="auto"/>
            <w:noWrap/>
            <w:vAlign w:val="center"/>
          </w:tcPr>
          <w:p w14:paraId="6EC98250"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auto"/>
            <w:vAlign w:val="center"/>
          </w:tcPr>
          <w:p w14:paraId="4399272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63D1E300" w14:textId="77777777" w:rsidTr="00F43C5E">
        <w:trPr>
          <w:trHeight w:val="20"/>
        </w:trPr>
        <w:tc>
          <w:tcPr>
            <w:tcW w:w="424" w:type="dxa"/>
            <w:shd w:val="clear" w:color="auto" w:fill="auto"/>
            <w:noWrap/>
          </w:tcPr>
          <w:p w14:paraId="798736C5"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2</w:t>
            </w:r>
          </w:p>
        </w:tc>
        <w:tc>
          <w:tcPr>
            <w:tcW w:w="4214" w:type="dxa"/>
            <w:shd w:val="clear" w:color="auto" w:fill="FFFFFF"/>
          </w:tcPr>
          <w:p w14:paraId="534D1455"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4F11E8F4"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64" w:type="dxa"/>
            <w:noWrap/>
            <w:vAlign w:val="center"/>
          </w:tcPr>
          <w:p w14:paraId="7D22BDF1"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38DDB692"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47" w:type="dxa"/>
            <w:noWrap/>
            <w:vAlign w:val="center"/>
          </w:tcPr>
          <w:p w14:paraId="2CB1C7CC"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vAlign w:val="center"/>
          </w:tcPr>
          <w:p w14:paraId="3B4A9EE6"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27" w:type="dxa"/>
            <w:noWrap/>
            <w:vAlign w:val="center"/>
          </w:tcPr>
          <w:p w14:paraId="38BEA37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auto"/>
            <w:vAlign w:val="center"/>
          </w:tcPr>
          <w:p w14:paraId="0491D1C5"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42" w:type="dxa"/>
            <w:shd w:val="clear" w:color="auto" w:fill="auto"/>
            <w:noWrap/>
            <w:vAlign w:val="center"/>
          </w:tcPr>
          <w:p w14:paraId="69291542"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auto"/>
            <w:vAlign w:val="center"/>
          </w:tcPr>
          <w:p w14:paraId="682162A3"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65922F3B" w14:textId="77777777" w:rsidTr="00F43C5E">
        <w:trPr>
          <w:trHeight w:val="20"/>
        </w:trPr>
        <w:tc>
          <w:tcPr>
            <w:tcW w:w="424" w:type="dxa"/>
            <w:shd w:val="clear" w:color="auto" w:fill="auto"/>
            <w:noWrap/>
          </w:tcPr>
          <w:p w14:paraId="05FE6466"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3</w:t>
            </w:r>
          </w:p>
        </w:tc>
        <w:tc>
          <w:tcPr>
            <w:tcW w:w="4214" w:type="dxa"/>
            <w:shd w:val="clear" w:color="auto" w:fill="FFFFFF"/>
          </w:tcPr>
          <w:p w14:paraId="0B5E5807"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3D63B625"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64" w:type="dxa"/>
            <w:noWrap/>
            <w:vAlign w:val="center"/>
          </w:tcPr>
          <w:p w14:paraId="354F8CB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47D6628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47" w:type="dxa"/>
            <w:noWrap/>
            <w:vAlign w:val="center"/>
          </w:tcPr>
          <w:p w14:paraId="068EE6A2"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vAlign w:val="center"/>
          </w:tcPr>
          <w:p w14:paraId="3332858E"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27" w:type="dxa"/>
            <w:noWrap/>
            <w:vAlign w:val="center"/>
          </w:tcPr>
          <w:p w14:paraId="343A74F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auto"/>
            <w:vAlign w:val="center"/>
          </w:tcPr>
          <w:p w14:paraId="41A64CDF"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42" w:type="dxa"/>
            <w:shd w:val="clear" w:color="auto" w:fill="auto"/>
            <w:noWrap/>
            <w:vAlign w:val="center"/>
          </w:tcPr>
          <w:p w14:paraId="23DFEDBE"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auto"/>
            <w:vAlign w:val="center"/>
          </w:tcPr>
          <w:p w14:paraId="60B0469F"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69AC91B3" w14:textId="77777777" w:rsidTr="00F43C5E">
        <w:trPr>
          <w:trHeight w:val="20"/>
        </w:trPr>
        <w:tc>
          <w:tcPr>
            <w:tcW w:w="424" w:type="dxa"/>
            <w:shd w:val="clear" w:color="auto" w:fill="auto"/>
            <w:noWrap/>
          </w:tcPr>
          <w:p w14:paraId="342AD2BC"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4</w:t>
            </w:r>
          </w:p>
        </w:tc>
        <w:tc>
          <w:tcPr>
            <w:tcW w:w="4214" w:type="dxa"/>
            <w:shd w:val="clear" w:color="auto" w:fill="FFFFFF"/>
          </w:tcPr>
          <w:p w14:paraId="69E34A24"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4FA02AB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64" w:type="dxa"/>
            <w:noWrap/>
            <w:vAlign w:val="center"/>
          </w:tcPr>
          <w:p w14:paraId="4E94381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27391410"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47" w:type="dxa"/>
            <w:noWrap/>
            <w:vAlign w:val="center"/>
          </w:tcPr>
          <w:p w14:paraId="53C382C0"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vAlign w:val="center"/>
          </w:tcPr>
          <w:p w14:paraId="0E7BF0E5"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27" w:type="dxa"/>
            <w:noWrap/>
            <w:vAlign w:val="center"/>
          </w:tcPr>
          <w:p w14:paraId="43D53F4F"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auto"/>
            <w:vAlign w:val="center"/>
          </w:tcPr>
          <w:p w14:paraId="66EA836D"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42" w:type="dxa"/>
            <w:shd w:val="clear" w:color="auto" w:fill="auto"/>
            <w:noWrap/>
            <w:vAlign w:val="center"/>
          </w:tcPr>
          <w:p w14:paraId="4DC0E29C"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auto"/>
            <w:vAlign w:val="center"/>
          </w:tcPr>
          <w:p w14:paraId="7BC257B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7465D770" w14:textId="77777777" w:rsidTr="00F43C5E">
        <w:trPr>
          <w:trHeight w:val="20"/>
        </w:trPr>
        <w:tc>
          <w:tcPr>
            <w:tcW w:w="424" w:type="dxa"/>
            <w:shd w:val="clear" w:color="auto" w:fill="auto"/>
            <w:noWrap/>
          </w:tcPr>
          <w:p w14:paraId="1C5E681B"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5</w:t>
            </w:r>
          </w:p>
        </w:tc>
        <w:tc>
          <w:tcPr>
            <w:tcW w:w="4214" w:type="dxa"/>
            <w:shd w:val="clear" w:color="auto" w:fill="FFFFFF"/>
          </w:tcPr>
          <w:p w14:paraId="6CCC92BF"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7F26996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64" w:type="dxa"/>
            <w:noWrap/>
            <w:vAlign w:val="center"/>
          </w:tcPr>
          <w:p w14:paraId="06D7F38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25A6B6FF"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47" w:type="dxa"/>
            <w:noWrap/>
            <w:vAlign w:val="center"/>
          </w:tcPr>
          <w:p w14:paraId="07C72184"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vAlign w:val="center"/>
          </w:tcPr>
          <w:p w14:paraId="7D5D865D"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27" w:type="dxa"/>
            <w:noWrap/>
            <w:vAlign w:val="center"/>
          </w:tcPr>
          <w:p w14:paraId="07F88D95"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auto"/>
            <w:vAlign w:val="center"/>
          </w:tcPr>
          <w:p w14:paraId="655C40E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42" w:type="dxa"/>
            <w:shd w:val="clear" w:color="auto" w:fill="auto"/>
            <w:noWrap/>
            <w:vAlign w:val="center"/>
          </w:tcPr>
          <w:p w14:paraId="1F32CB7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auto"/>
            <w:vAlign w:val="center"/>
          </w:tcPr>
          <w:p w14:paraId="7AB45D22"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24DAECF4" w14:textId="77777777" w:rsidTr="00F43C5E">
        <w:trPr>
          <w:trHeight w:val="20"/>
        </w:trPr>
        <w:tc>
          <w:tcPr>
            <w:tcW w:w="424" w:type="dxa"/>
            <w:shd w:val="clear" w:color="auto" w:fill="auto"/>
            <w:noWrap/>
          </w:tcPr>
          <w:p w14:paraId="0206C7B9"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6</w:t>
            </w:r>
          </w:p>
        </w:tc>
        <w:tc>
          <w:tcPr>
            <w:tcW w:w="4214" w:type="dxa"/>
            <w:shd w:val="clear" w:color="auto" w:fill="FFFFFF"/>
          </w:tcPr>
          <w:p w14:paraId="5928A433"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073027E0"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64" w:type="dxa"/>
            <w:noWrap/>
            <w:vAlign w:val="center"/>
          </w:tcPr>
          <w:p w14:paraId="5D7683B5"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26A78D9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47" w:type="dxa"/>
            <w:noWrap/>
            <w:vAlign w:val="center"/>
          </w:tcPr>
          <w:p w14:paraId="04EFEE11"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vAlign w:val="center"/>
          </w:tcPr>
          <w:p w14:paraId="038CC09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27" w:type="dxa"/>
            <w:noWrap/>
            <w:vAlign w:val="center"/>
          </w:tcPr>
          <w:p w14:paraId="49C54675"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auto"/>
            <w:vAlign w:val="center"/>
          </w:tcPr>
          <w:p w14:paraId="302CDC0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42" w:type="dxa"/>
            <w:shd w:val="clear" w:color="auto" w:fill="auto"/>
            <w:noWrap/>
            <w:vAlign w:val="center"/>
          </w:tcPr>
          <w:p w14:paraId="4401FD7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auto"/>
            <w:vAlign w:val="center"/>
          </w:tcPr>
          <w:p w14:paraId="1B65A0E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62CB8EBC" w14:textId="77777777" w:rsidTr="00F43C5E">
        <w:trPr>
          <w:trHeight w:val="20"/>
        </w:trPr>
        <w:tc>
          <w:tcPr>
            <w:tcW w:w="424" w:type="dxa"/>
            <w:shd w:val="clear" w:color="auto" w:fill="auto"/>
            <w:noWrap/>
          </w:tcPr>
          <w:p w14:paraId="7DC10C1A"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7</w:t>
            </w:r>
          </w:p>
        </w:tc>
        <w:tc>
          <w:tcPr>
            <w:tcW w:w="4214" w:type="dxa"/>
            <w:shd w:val="clear" w:color="auto" w:fill="FFFFFF"/>
          </w:tcPr>
          <w:p w14:paraId="71FA3BE0"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Schottertragschicht (</w:t>
            </w:r>
            <w:proofErr w:type="spellStart"/>
            <w:r w:rsidRPr="00F43C5E">
              <w:rPr>
                <w:rFonts w:ascii="Times New Roman" w:eastAsia="Times New Roman" w:hAnsi="Times New Roman" w:cs="Times New Roman"/>
                <w:sz w:val="18"/>
                <w:szCs w:val="18"/>
                <w:lang w:eastAsia="de-DE"/>
              </w:rPr>
              <w:t>ToB</w:t>
            </w:r>
            <w:proofErr w:type="spellEnd"/>
            <w:r w:rsidRPr="00F43C5E">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27D7F916"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64" w:type="dxa"/>
            <w:noWrap/>
            <w:vAlign w:val="center"/>
          </w:tcPr>
          <w:p w14:paraId="237B8C72"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55C7C7E1"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47" w:type="dxa"/>
            <w:noWrap/>
            <w:vAlign w:val="center"/>
          </w:tcPr>
          <w:p w14:paraId="6C4BF41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vAlign w:val="center"/>
          </w:tcPr>
          <w:p w14:paraId="38E082D4"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27" w:type="dxa"/>
            <w:noWrap/>
            <w:vAlign w:val="center"/>
          </w:tcPr>
          <w:p w14:paraId="1807E2BF"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FFFFFF"/>
            <w:vAlign w:val="center"/>
          </w:tcPr>
          <w:p w14:paraId="01928A2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42" w:type="dxa"/>
            <w:shd w:val="clear" w:color="auto" w:fill="FFFFFF"/>
            <w:noWrap/>
            <w:vAlign w:val="center"/>
          </w:tcPr>
          <w:p w14:paraId="6DCB1963"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FFFFFF"/>
            <w:vAlign w:val="center"/>
          </w:tcPr>
          <w:p w14:paraId="2399EAA5"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187EAB37" w14:textId="77777777" w:rsidTr="00F43C5E">
        <w:trPr>
          <w:trHeight w:val="20"/>
        </w:trPr>
        <w:tc>
          <w:tcPr>
            <w:tcW w:w="424" w:type="dxa"/>
            <w:shd w:val="clear" w:color="auto" w:fill="auto"/>
            <w:noWrap/>
          </w:tcPr>
          <w:p w14:paraId="362FB77C"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8</w:t>
            </w:r>
          </w:p>
        </w:tc>
        <w:tc>
          <w:tcPr>
            <w:tcW w:w="4214" w:type="dxa"/>
            <w:shd w:val="clear" w:color="auto" w:fill="FFFFFF"/>
          </w:tcPr>
          <w:p w14:paraId="5F9EED2E"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Frostschutzschicht (</w:t>
            </w:r>
            <w:proofErr w:type="spellStart"/>
            <w:r w:rsidRPr="00F43C5E">
              <w:rPr>
                <w:rFonts w:ascii="Times New Roman" w:eastAsia="Times New Roman" w:hAnsi="Times New Roman" w:cs="Times New Roman"/>
                <w:sz w:val="18"/>
                <w:szCs w:val="18"/>
                <w:lang w:eastAsia="de-DE"/>
              </w:rPr>
              <w:t>ToB</w:t>
            </w:r>
            <w:proofErr w:type="spellEnd"/>
            <w:r w:rsidRPr="00F43C5E">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6EFDF572"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64" w:type="dxa"/>
            <w:noWrap/>
            <w:vAlign w:val="center"/>
          </w:tcPr>
          <w:p w14:paraId="1FBDFA4C"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5637EE0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47" w:type="dxa"/>
            <w:noWrap/>
            <w:vAlign w:val="center"/>
          </w:tcPr>
          <w:p w14:paraId="3AB37A21"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vAlign w:val="center"/>
          </w:tcPr>
          <w:p w14:paraId="126119EF"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27" w:type="dxa"/>
            <w:noWrap/>
            <w:vAlign w:val="center"/>
          </w:tcPr>
          <w:p w14:paraId="322CA66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vAlign w:val="center"/>
          </w:tcPr>
          <w:p w14:paraId="75F8FA02"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42" w:type="dxa"/>
            <w:shd w:val="clear" w:color="auto" w:fill="auto"/>
            <w:noWrap/>
            <w:vAlign w:val="center"/>
          </w:tcPr>
          <w:p w14:paraId="6B9C2632" w14:textId="77777777" w:rsidR="00F43C5E" w:rsidRPr="00F43C5E" w:rsidRDefault="00F43C5E" w:rsidP="00F43C5E">
            <w:pPr>
              <w:spacing w:before="0" w:after="0"/>
              <w:jc w:val="center"/>
              <w:rPr>
                <w:rFonts w:ascii="Times New Roman" w:eastAsia="Times New Roman" w:hAnsi="Times New Roman" w:cs="Times New Roman"/>
                <w:sz w:val="24"/>
                <w:szCs w:val="24"/>
                <w:vertAlign w:val="superscript"/>
                <w:lang w:eastAsia="de-DE"/>
              </w:rPr>
            </w:pPr>
            <w:r w:rsidRPr="00F43C5E">
              <w:rPr>
                <w:rFonts w:ascii="Times New Roman" w:eastAsia="Times New Roman" w:hAnsi="Times New Roman" w:cs="Times New Roman"/>
                <w:sz w:val="24"/>
                <w:szCs w:val="24"/>
                <w:lang w:eastAsia="de-DE"/>
              </w:rPr>
              <w:t>-</w:t>
            </w:r>
          </w:p>
        </w:tc>
        <w:tc>
          <w:tcPr>
            <w:tcW w:w="765" w:type="dxa"/>
            <w:shd w:val="clear" w:color="auto" w:fill="auto"/>
            <w:vAlign w:val="center"/>
          </w:tcPr>
          <w:p w14:paraId="60723596"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0EC80E07" w14:textId="77777777" w:rsidTr="00F43C5E">
        <w:trPr>
          <w:trHeight w:val="20"/>
        </w:trPr>
        <w:tc>
          <w:tcPr>
            <w:tcW w:w="424" w:type="dxa"/>
            <w:shd w:val="clear" w:color="auto" w:fill="auto"/>
            <w:noWrap/>
          </w:tcPr>
          <w:p w14:paraId="4E7B09C9"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9</w:t>
            </w:r>
          </w:p>
        </w:tc>
        <w:tc>
          <w:tcPr>
            <w:tcW w:w="4214" w:type="dxa"/>
            <w:shd w:val="clear" w:color="auto" w:fill="FFFFFF"/>
          </w:tcPr>
          <w:p w14:paraId="613355AF"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 xml:space="preserve">Dämme oder Wälle gemäß Bauweisen A-D nach MTSE sowie </w:t>
            </w:r>
            <w:proofErr w:type="spellStart"/>
            <w:r w:rsidRPr="00F43C5E">
              <w:rPr>
                <w:rFonts w:ascii="Times New Roman" w:eastAsia="Times New Roman" w:hAnsi="Times New Roman" w:cs="Times New Roman"/>
                <w:sz w:val="18"/>
                <w:szCs w:val="18"/>
                <w:lang w:eastAsia="de-DE"/>
              </w:rPr>
              <w:t>Hinterfüllung</w:t>
            </w:r>
            <w:proofErr w:type="spellEnd"/>
            <w:r w:rsidRPr="00F43C5E">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096B097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64" w:type="dxa"/>
            <w:noWrap/>
            <w:vAlign w:val="center"/>
          </w:tcPr>
          <w:p w14:paraId="6A5713D6"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29A0F161"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47" w:type="dxa"/>
            <w:noWrap/>
            <w:vAlign w:val="center"/>
          </w:tcPr>
          <w:p w14:paraId="1E58DAA6"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vAlign w:val="center"/>
          </w:tcPr>
          <w:p w14:paraId="51C8E5ED"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27" w:type="dxa"/>
            <w:noWrap/>
            <w:vAlign w:val="center"/>
          </w:tcPr>
          <w:p w14:paraId="232983D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FFFFFF"/>
            <w:vAlign w:val="center"/>
          </w:tcPr>
          <w:p w14:paraId="0AB3F201"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42" w:type="dxa"/>
            <w:shd w:val="clear" w:color="auto" w:fill="FFFFFF"/>
            <w:noWrap/>
            <w:vAlign w:val="center"/>
          </w:tcPr>
          <w:p w14:paraId="3457BF7F"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FFFFFF"/>
            <w:vAlign w:val="center"/>
          </w:tcPr>
          <w:p w14:paraId="255A284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55950043" w14:textId="77777777" w:rsidTr="00F43C5E">
        <w:trPr>
          <w:trHeight w:val="20"/>
        </w:trPr>
        <w:tc>
          <w:tcPr>
            <w:tcW w:w="424" w:type="dxa"/>
            <w:shd w:val="clear" w:color="auto" w:fill="auto"/>
            <w:noWrap/>
          </w:tcPr>
          <w:p w14:paraId="2BCEDB0A"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10</w:t>
            </w:r>
          </w:p>
        </w:tc>
        <w:tc>
          <w:tcPr>
            <w:tcW w:w="4214" w:type="dxa"/>
            <w:shd w:val="clear" w:color="auto" w:fill="FFFFFF"/>
          </w:tcPr>
          <w:p w14:paraId="39B5E6D3"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1264FE7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64" w:type="dxa"/>
            <w:noWrap/>
            <w:vAlign w:val="center"/>
          </w:tcPr>
          <w:p w14:paraId="47834F4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13856981"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47" w:type="dxa"/>
            <w:noWrap/>
            <w:vAlign w:val="center"/>
          </w:tcPr>
          <w:p w14:paraId="002D465F"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vAlign w:val="center"/>
          </w:tcPr>
          <w:p w14:paraId="63F14915"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27" w:type="dxa"/>
            <w:noWrap/>
            <w:vAlign w:val="center"/>
          </w:tcPr>
          <w:p w14:paraId="3A8D88A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FFFFFF"/>
            <w:vAlign w:val="center"/>
          </w:tcPr>
          <w:p w14:paraId="62C0C86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42" w:type="dxa"/>
            <w:shd w:val="clear" w:color="auto" w:fill="FFFFFF"/>
            <w:noWrap/>
            <w:vAlign w:val="center"/>
          </w:tcPr>
          <w:p w14:paraId="18D53824"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FFFFFF"/>
            <w:vAlign w:val="center"/>
          </w:tcPr>
          <w:p w14:paraId="46D7884E"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5C8A0BF2" w14:textId="77777777" w:rsidTr="00F43C5E">
        <w:trPr>
          <w:trHeight w:val="20"/>
        </w:trPr>
        <w:tc>
          <w:tcPr>
            <w:tcW w:w="424" w:type="dxa"/>
            <w:shd w:val="clear" w:color="auto" w:fill="auto"/>
            <w:noWrap/>
          </w:tcPr>
          <w:p w14:paraId="5037E1B5"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11</w:t>
            </w:r>
          </w:p>
        </w:tc>
        <w:tc>
          <w:tcPr>
            <w:tcW w:w="4214" w:type="dxa"/>
            <w:shd w:val="clear" w:color="auto" w:fill="FFFFFF"/>
          </w:tcPr>
          <w:p w14:paraId="0ADAAEA7"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026B049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64" w:type="dxa"/>
            <w:noWrap/>
            <w:vAlign w:val="center"/>
          </w:tcPr>
          <w:p w14:paraId="5E9C49CE"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2CC85714"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47" w:type="dxa"/>
            <w:noWrap/>
            <w:vAlign w:val="center"/>
          </w:tcPr>
          <w:p w14:paraId="1CC172AF"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vAlign w:val="center"/>
          </w:tcPr>
          <w:p w14:paraId="445963F0"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27" w:type="dxa"/>
            <w:noWrap/>
            <w:vAlign w:val="center"/>
          </w:tcPr>
          <w:p w14:paraId="345BC92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FFFFFF"/>
            <w:vAlign w:val="center"/>
          </w:tcPr>
          <w:p w14:paraId="4040A446"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42" w:type="dxa"/>
            <w:shd w:val="clear" w:color="auto" w:fill="FFFFFF"/>
            <w:noWrap/>
            <w:vAlign w:val="center"/>
          </w:tcPr>
          <w:p w14:paraId="0AEAF9BC"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FFFFFF"/>
            <w:vAlign w:val="center"/>
          </w:tcPr>
          <w:p w14:paraId="737B4EC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02F0F352" w14:textId="77777777" w:rsidTr="00F43C5E">
        <w:trPr>
          <w:trHeight w:val="20"/>
        </w:trPr>
        <w:tc>
          <w:tcPr>
            <w:tcW w:w="424" w:type="dxa"/>
            <w:shd w:val="clear" w:color="auto" w:fill="auto"/>
            <w:noWrap/>
          </w:tcPr>
          <w:p w14:paraId="36F9333C"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12</w:t>
            </w:r>
          </w:p>
        </w:tc>
        <w:tc>
          <w:tcPr>
            <w:tcW w:w="4214" w:type="dxa"/>
            <w:shd w:val="clear" w:color="auto" w:fill="FFFFFF"/>
          </w:tcPr>
          <w:p w14:paraId="112F42FE"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Deckschicht ohne Bindemittel</w:t>
            </w:r>
          </w:p>
        </w:tc>
        <w:tc>
          <w:tcPr>
            <w:tcW w:w="851" w:type="dxa"/>
            <w:noWrap/>
            <w:vAlign w:val="center"/>
          </w:tcPr>
          <w:p w14:paraId="5D29B49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64" w:type="dxa"/>
            <w:noWrap/>
            <w:vAlign w:val="center"/>
          </w:tcPr>
          <w:p w14:paraId="24029034"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1162D1F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47" w:type="dxa"/>
            <w:noWrap/>
            <w:vAlign w:val="center"/>
          </w:tcPr>
          <w:p w14:paraId="171DB79E"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vAlign w:val="center"/>
          </w:tcPr>
          <w:p w14:paraId="6A19D56E"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27" w:type="dxa"/>
            <w:noWrap/>
            <w:vAlign w:val="center"/>
          </w:tcPr>
          <w:p w14:paraId="7C1DBD2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FFFFFF"/>
            <w:vAlign w:val="center"/>
          </w:tcPr>
          <w:p w14:paraId="1BEEFD2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42" w:type="dxa"/>
            <w:shd w:val="clear" w:color="auto" w:fill="FFFFFF"/>
            <w:noWrap/>
            <w:vAlign w:val="center"/>
          </w:tcPr>
          <w:p w14:paraId="3A72959D"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FFFFFF"/>
            <w:vAlign w:val="center"/>
          </w:tcPr>
          <w:p w14:paraId="58E276B5"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73DB2565" w14:textId="77777777" w:rsidTr="00F43C5E">
        <w:trPr>
          <w:trHeight w:val="20"/>
        </w:trPr>
        <w:tc>
          <w:tcPr>
            <w:tcW w:w="424" w:type="dxa"/>
            <w:shd w:val="clear" w:color="auto" w:fill="auto"/>
            <w:noWrap/>
          </w:tcPr>
          <w:p w14:paraId="70B3440A"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13</w:t>
            </w:r>
          </w:p>
        </w:tc>
        <w:tc>
          <w:tcPr>
            <w:tcW w:w="4214" w:type="dxa"/>
            <w:shd w:val="clear" w:color="auto" w:fill="FFFFFF"/>
          </w:tcPr>
          <w:p w14:paraId="284616C4"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proofErr w:type="spellStart"/>
            <w:r w:rsidRPr="00F43C5E">
              <w:rPr>
                <w:rFonts w:ascii="Times New Roman" w:eastAsia="Times New Roman" w:hAnsi="Times New Roman" w:cs="Times New Roman"/>
                <w:sz w:val="18"/>
                <w:szCs w:val="18"/>
                <w:lang w:eastAsia="de-DE"/>
              </w:rPr>
              <w:t>ToB</w:t>
            </w:r>
            <w:proofErr w:type="spellEnd"/>
            <w:r w:rsidRPr="00F43C5E">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23E4339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64" w:type="dxa"/>
            <w:noWrap/>
            <w:vAlign w:val="center"/>
          </w:tcPr>
          <w:p w14:paraId="049C389F"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7834DC8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47" w:type="dxa"/>
            <w:noWrap/>
            <w:vAlign w:val="center"/>
          </w:tcPr>
          <w:p w14:paraId="1EFD7D7D"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vAlign w:val="center"/>
          </w:tcPr>
          <w:p w14:paraId="7DC3F8D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27" w:type="dxa"/>
            <w:noWrap/>
            <w:vAlign w:val="center"/>
          </w:tcPr>
          <w:p w14:paraId="622EB83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FFFFFF"/>
            <w:vAlign w:val="center"/>
          </w:tcPr>
          <w:p w14:paraId="355EA526"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42" w:type="dxa"/>
            <w:shd w:val="clear" w:color="auto" w:fill="FFFFFF"/>
            <w:noWrap/>
            <w:vAlign w:val="center"/>
          </w:tcPr>
          <w:p w14:paraId="0AF263FF" w14:textId="77777777" w:rsidR="00F43C5E" w:rsidRPr="00F43C5E" w:rsidRDefault="00F43C5E" w:rsidP="00F43C5E">
            <w:pPr>
              <w:spacing w:before="0" w:after="0"/>
              <w:jc w:val="center"/>
              <w:rPr>
                <w:rFonts w:ascii="Times New Roman" w:eastAsia="Times New Roman" w:hAnsi="Times New Roman" w:cs="Times New Roman"/>
                <w:sz w:val="24"/>
                <w:szCs w:val="24"/>
                <w:vertAlign w:val="superscript"/>
                <w:lang w:eastAsia="de-DE"/>
              </w:rPr>
            </w:pPr>
            <w:r w:rsidRPr="00F43C5E">
              <w:rPr>
                <w:rFonts w:ascii="Times New Roman" w:eastAsia="Times New Roman" w:hAnsi="Times New Roman" w:cs="Times New Roman"/>
                <w:sz w:val="24"/>
                <w:szCs w:val="24"/>
                <w:vertAlign w:val="superscript"/>
                <w:lang w:eastAsia="de-DE"/>
              </w:rPr>
              <w:t>-</w:t>
            </w:r>
          </w:p>
        </w:tc>
        <w:tc>
          <w:tcPr>
            <w:tcW w:w="765" w:type="dxa"/>
            <w:shd w:val="clear" w:color="auto" w:fill="FFFFFF"/>
            <w:vAlign w:val="center"/>
          </w:tcPr>
          <w:p w14:paraId="0FF2E22A" w14:textId="77777777" w:rsidR="00F43C5E" w:rsidRPr="00F43C5E" w:rsidRDefault="00F43C5E" w:rsidP="00F43C5E">
            <w:pPr>
              <w:spacing w:before="0" w:after="0"/>
              <w:jc w:val="center"/>
              <w:rPr>
                <w:rFonts w:ascii="Times New Roman" w:eastAsia="Times New Roman" w:hAnsi="Times New Roman" w:cs="Times New Roman"/>
                <w:sz w:val="24"/>
                <w:szCs w:val="24"/>
                <w:vertAlign w:val="superscript"/>
                <w:lang w:eastAsia="de-DE"/>
              </w:rPr>
            </w:pPr>
            <w:r w:rsidRPr="00F43C5E">
              <w:rPr>
                <w:rFonts w:ascii="Times New Roman" w:eastAsia="Times New Roman" w:hAnsi="Times New Roman" w:cs="Times New Roman"/>
                <w:sz w:val="24"/>
                <w:szCs w:val="24"/>
                <w:vertAlign w:val="superscript"/>
                <w:lang w:eastAsia="de-DE"/>
              </w:rPr>
              <w:t>-</w:t>
            </w:r>
          </w:p>
        </w:tc>
      </w:tr>
      <w:tr w:rsidR="00F43C5E" w:rsidRPr="00F43C5E" w14:paraId="0EC32B4B" w14:textId="77777777" w:rsidTr="00F43C5E">
        <w:trPr>
          <w:trHeight w:val="20"/>
        </w:trPr>
        <w:tc>
          <w:tcPr>
            <w:tcW w:w="424" w:type="dxa"/>
            <w:shd w:val="clear" w:color="auto" w:fill="auto"/>
            <w:noWrap/>
          </w:tcPr>
          <w:p w14:paraId="3936801D"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14</w:t>
            </w:r>
          </w:p>
        </w:tc>
        <w:tc>
          <w:tcPr>
            <w:tcW w:w="4214" w:type="dxa"/>
            <w:shd w:val="clear" w:color="auto" w:fill="FFFFFF"/>
          </w:tcPr>
          <w:p w14:paraId="7ADDAC14"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Bauweisen 13 unter Plattenbelägen</w:t>
            </w:r>
          </w:p>
        </w:tc>
        <w:tc>
          <w:tcPr>
            <w:tcW w:w="851" w:type="dxa"/>
            <w:noWrap/>
            <w:vAlign w:val="center"/>
          </w:tcPr>
          <w:p w14:paraId="251F696A"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64" w:type="dxa"/>
            <w:noWrap/>
            <w:vAlign w:val="center"/>
          </w:tcPr>
          <w:p w14:paraId="411BBB95"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5FF8262F"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47" w:type="dxa"/>
            <w:noWrap/>
            <w:vAlign w:val="center"/>
          </w:tcPr>
          <w:p w14:paraId="4DDDB7DC"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vAlign w:val="center"/>
          </w:tcPr>
          <w:p w14:paraId="4DE34425"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27" w:type="dxa"/>
            <w:noWrap/>
            <w:vAlign w:val="center"/>
          </w:tcPr>
          <w:p w14:paraId="22BA1563"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FFFFFF"/>
            <w:vAlign w:val="center"/>
          </w:tcPr>
          <w:p w14:paraId="57D3378D"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42" w:type="dxa"/>
            <w:shd w:val="clear" w:color="auto" w:fill="FFFFFF"/>
            <w:noWrap/>
            <w:vAlign w:val="center"/>
          </w:tcPr>
          <w:p w14:paraId="5D070C1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FFFFFF"/>
            <w:vAlign w:val="center"/>
          </w:tcPr>
          <w:p w14:paraId="7267AF76"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4E517787" w14:textId="77777777" w:rsidTr="00F43C5E">
        <w:trPr>
          <w:trHeight w:val="20"/>
        </w:trPr>
        <w:tc>
          <w:tcPr>
            <w:tcW w:w="424" w:type="dxa"/>
            <w:shd w:val="clear" w:color="auto" w:fill="auto"/>
            <w:noWrap/>
          </w:tcPr>
          <w:p w14:paraId="7060A599"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15</w:t>
            </w:r>
          </w:p>
        </w:tc>
        <w:tc>
          <w:tcPr>
            <w:tcW w:w="4214" w:type="dxa"/>
            <w:shd w:val="clear" w:color="auto" w:fill="FFFFFF"/>
          </w:tcPr>
          <w:p w14:paraId="46BDD81E"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7C18C25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64" w:type="dxa"/>
            <w:noWrap/>
            <w:vAlign w:val="center"/>
          </w:tcPr>
          <w:p w14:paraId="5CE4CD2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509F8F6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47" w:type="dxa"/>
            <w:noWrap/>
            <w:vAlign w:val="center"/>
          </w:tcPr>
          <w:p w14:paraId="144D901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vAlign w:val="center"/>
          </w:tcPr>
          <w:p w14:paraId="7E9E10EE"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27" w:type="dxa"/>
            <w:noWrap/>
            <w:vAlign w:val="center"/>
          </w:tcPr>
          <w:p w14:paraId="10FC725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FFFFFF"/>
            <w:vAlign w:val="center"/>
          </w:tcPr>
          <w:p w14:paraId="3FBB8BC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42" w:type="dxa"/>
            <w:shd w:val="clear" w:color="auto" w:fill="FFFFFF"/>
            <w:noWrap/>
            <w:vAlign w:val="center"/>
          </w:tcPr>
          <w:p w14:paraId="18EE747D"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FFFFFF"/>
            <w:vAlign w:val="center"/>
          </w:tcPr>
          <w:p w14:paraId="0EF7AA6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2E3DC278" w14:textId="77777777" w:rsidTr="00F43C5E">
        <w:trPr>
          <w:trHeight w:val="20"/>
        </w:trPr>
        <w:tc>
          <w:tcPr>
            <w:tcW w:w="424" w:type="dxa"/>
            <w:shd w:val="clear" w:color="auto" w:fill="auto"/>
            <w:noWrap/>
          </w:tcPr>
          <w:p w14:paraId="266359C6"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16</w:t>
            </w:r>
          </w:p>
        </w:tc>
        <w:tc>
          <w:tcPr>
            <w:tcW w:w="4214" w:type="dxa"/>
            <w:shd w:val="clear" w:color="auto" w:fill="FFFFFF"/>
          </w:tcPr>
          <w:p w14:paraId="4C77D1B4"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proofErr w:type="spellStart"/>
            <w:r w:rsidRPr="00F43C5E">
              <w:rPr>
                <w:rFonts w:ascii="Times New Roman" w:eastAsia="Times New Roman" w:hAnsi="Times New Roman" w:cs="Times New Roman"/>
                <w:sz w:val="18"/>
                <w:szCs w:val="18"/>
                <w:lang w:eastAsia="de-DE"/>
              </w:rPr>
              <w:t>Hinterfüllung</w:t>
            </w:r>
            <w:proofErr w:type="spellEnd"/>
            <w:r w:rsidRPr="00F43C5E">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F43C5E">
              <w:rPr>
                <w:rFonts w:ascii="Times New Roman" w:eastAsia="Times New Roman" w:hAnsi="Times New Roman" w:cs="Times New Roman"/>
                <w:sz w:val="18"/>
                <w:szCs w:val="18"/>
                <w:lang w:eastAsia="de-DE"/>
              </w:rPr>
              <w:t>Hinterfüllung</w:t>
            </w:r>
            <w:proofErr w:type="spellEnd"/>
            <w:r w:rsidRPr="00F43C5E">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2BB4B8E3"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64" w:type="dxa"/>
            <w:noWrap/>
            <w:vAlign w:val="center"/>
          </w:tcPr>
          <w:p w14:paraId="4F25B5C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74BB80E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47" w:type="dxa"/>
            <w:noWrap/>
            <w:vAlign w:val="center"/>
          </w:tcPr>
          <w:p w14:paraId="584D60E1"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vAlign w:val="center"/>
          </w:tcPr>
          <w:p w14:paraId="2B8A89D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27" w:type="dxa"/>
            <w:noWrap/>
            <w:vAlign w:val="center"/>
          </w:tcPr>
          <w:p w14:paraId="7CD76288"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FFFFFF"/>
            <w:vAlign w:val="center"/>
          </w:tcPr>
          <w:p w14:paraId="6DEC02A6"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42" w:type="dxa"/>
            <w:shd w:val="clear" w:color="auto" w:fill="FFFFFF"/>
            <w:noWrap/>
            <w:vAlign w:val="center"/>
          </w:tcPr>
          <w:p w14:paraId="122E9544"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FFFFFF"/>
            <w:vAlign w:val="center"/>
          </w:tcPr>
          <w:p w14:paraId="2021080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r w:rsidR="00F43C5E" w:rsidRPr="00F43C5E" w14:paraId="41195C2A" w14:textId="77777777" w:rsidTr="00F43C5E">
        <w:trPr>
          <w:trHeight w:val="208"/>
        </w:trPr>
        <w:tc>
          <w:tcPr>
            <w:tcW w:w="424" w:type="dxa"/>
            <w:shd w:val="clear" w:color="auto" w:fill="auto"/>
            <w:noWrap/>
          </w:tcPr>
          <w:p w14:paraId="125A4BD7" w14:textId="77777777" w:rsidR="00F43C5E" w:rsidRPr="00F43C5E" w:rsidRDefault="00F43C5E" w:rsidP="00F43C5E">
            <w:pPr>
              <w:spacing w:before="0" w:after="0"/>
              <w:jc w:val="left"/>
              <w:rPr>
                <w:rFonts w:ascii="Times New Roman" w:eastAsia="Times New Roman" w:hAnsi="Times New Roman" w:cs="Times New Roman"/>
                <w:sz w:val="20"/>
                <w:szCs w:val="24"/>
                <w:lang w:eastAsia="de-DE"/>
              </w:rPr>
            </w:pPr>
            <w:r w:rsidRPr="00F43C5E">
              <w:rPr>
                <w:rFonts w:ascii="Times New Roman" w:eastAsia="Times New Roman" w:hAnsi="Times New Roman" w:cs="Times New Roman"/>
                <w:sz w:val="20"/>
                <w:szCs w:val="24"/>
                <w:lang w:eastAsia="de-DE"/>
              </w:rPr>
              <w:t>17</w:t>
            </w:r>
          </w:p>
        </w:tc>
        <w:tc>
          <w:tcPr>
            <w:tcW w:w="4214" w:type="dxa"/>
            <w:shd w:val="clear" w:color="auto" w:fill="FFFFFF"/>
          </w:tcPr>
          <w:p w14:paraId="2D1C2D35" w14:textId="77777777" w:rsidR="00F43C5E" w:rsidRPr="00F43C5E" w:rsidRDefault="00F43C5E" w:rsidP="00F43C5E">
            <w:pPr>
              <w:spacing w:before="0" w:after="0"/>
              <w:jc w:val="left"/>
              <w:rPr>
                <w:rFonts w:ascii="Times New Roman" w:eastAsia="Times New Roman" w:hAnsi="Times New Roman" w:cs="Times New Roman"/>
                <w:sz w:val="18"/>
                <w:szCs w:val="18"/>
                <w:lang w:eastAsia="de-DE"/>
              </w:rPr>
            </w:pPr>
            <w:r w:rsidRPr="00F43C5E">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2CFF0347"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64" w:type="dxa"/>
            <w:noWrap/>
            <w:vAlign w:val="center"/>
          </w:tcPr>
          <w:p w14:paraId="4E2D7709"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1185" w:type="dxa"/>
            <w:noWrap/>
            <w:vAlign w:val="center"/>
          </w:tcPr>
          <w:p w14:paraId="413C6F9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647" w:type="dxa"/>
            <w:noWrap/>
            <w:vAlign w:val="center"/>
          </w:tcPr>
          <w:p w14:paraId="46927742"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vAlign w:val="center"/>
          </w:tcPr>
          <w:p w14:paraId="7BF5F2AB"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27" w:type="dxa"/>
            <w:noWrap/>
            <w:vAlign w:val="center"/>
          </w:tcPr>
          <w:p w14:paraId="256B8634"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765" w:type="dxa"/>
            <w:shd w:val="clear" w:color="auto" w:fill="FFFFFF"/>
            <w:vAlign w:val="center"/>
          </w:tcPr>
          <w:p w14:paraId="29084AF0"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c>
          <w:tcPr>
            <w:tcW w:w="542" w:type="dxa"/>
            <w:shd w:val="clear" w:color="auto" w:fill="FFFFFF"/>
            <w:noWrap/>
            <w:vAlign w:val="center"/>
          </w:tcPr>
          <w:p w14:paraId="3E2FAF0E" w14:textId="77777777" w:rsidR="00F43C5E" w:rsidRPr="00F43C5E" w:rsidRDefault="00F43C5E" w:rsidP="00F43C5E">
            <w:pPr>
              <w:spacing w:before="0" w:after="0"/>
              <w:jc w:val="center"/>
              <w:rPr>
                <w:rFonts w:ascii="Times New Roman" w:eastAsia="Times New Roman" w:hAnsi="Times New Roman" w:cs="Times New Roman"/>
                <w:sz w:val="24"/>
                <w:szCs w:val="24"/>
                <w:vertAlign w:val="superscript"/>
                <w:lang w:eastAsia="de-DE"/>
              </w:rPr>
            </w:pPr>
            <w:r w:rsidRPr="00F43C5E">
              <w:rPr>
                <w:rFonts w:ascii="Times New Roman" w:eastAsia="Times New Roman" w:hAnsi="Times New Roman" w:cs="Times New Roman"/>
                <w:sz w:val="24"/>
                <w:szCs w:val="24"/>
                <w:vertAlign w:val="superscript"/>
                <w:lang w:eastAsia="de-DE"/>
              </w:rPr>
              <w:t>-</w:t>
            </w:r>
          </w:p>
        </w:tc>
        <w:tc>
          <w:tcPr>
            <w:tcW w:w="765" w:type="dxa"/>
            <w:shd w:val="clear" w:color="auto" w:fill="FFFFFF"/>
            <w:vAlign w:val="center"/>
          </w:tcPr>
          <w:p w14:paraId="465B8C12" w14:textId="77777777" w:rsidR="00F43C5E" w:rsidRPr="00F43C5E" w:rsidRDefault="00F43C5E" w:rsidP="00F43C5E">
            <w:pPr>
              <w:spacing w:before="0" w:after="0"/>
              <w:jc w:val="center"/>
              <w:rPr>
                <w:rFonts w:ascii="Times New Roman" w:eastAsia="Times New Roman" w:hAnsi="Times New Roman" w:cs="Times New Roman"/>
                <w:sz w:val="24"/>
                <w:szCs w:val="24"/>
                <w:lang w:eastAsia="de-DE"/>
              </w:rPr>
            </w:pPr>
            <w:r w:rsidRPr="00F43C5E">
              <w:rPr>
                <w:rFonts w:ascii="Times New Roman" w:eastAsia="Times New Roman" w:hAnsi="Times New Roman" w:cs="Times New Roman"/>
                <w:sz w:val="24"/>
                <w:szCs w:val="24"/>
                <w:lang w:eastAsia="de-DE"/>
              </w:rPr>
              <w:t>-</w:t>
            </w:r>
          </w:p>
        </w:tc>
      </w:tr>
    </w:tbl>
    <w:p w14:paraId="04F197FF" w14:textId="77777777" w:rsidR="00DC4A4F" w:rsidRPr="008D0377" w:rsidRDefault="00F43C5E" w:rsidP="00DC4A4F">
      <w:pPr>
        <w:pStyle w:val="berschrift1"/>
      </w:pPr>
      <w:bookmarkStart w:id="39" w:name="_Toc30749693"/>
      <w:r w:rsidRPr="008D0377">
        <w:t>Tabelle 4: Ziegelmaterial (ZM)</w:t>
      </w:r>
    </w:p>
    <w:p w14:paraId="4360B1DB" w14:textId="77777777" w:rsidR="000D49B1" w:rsidRPr="000D49B1" w:rsidRDefault="000D49B1" w:rsidP="000D49B1">
      <w:pPr>
        <w:pStyle w:val="Text"/>
      </w:pPr>
    </w:p>
    <w:tbl>
      <w:tblPr>
        <w:tblW w:w="11109" w:type="dxa"/>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647"/>
        <w:gridCol w:w="715"/>
        <w:gridCol w:w="527"/>
        <w:gridCol w:w="715"/>
        <w:gridCol w:w="542"/>
        <w:gridCol w:w="715"/>
      </w:tblGrid>
      <w:tr w:rsidR="00DC4A4F" w:rsidRPr="00DC4A4F" w14:paraId="445A390E" w14:textId="77777777" w:rsidTr="00DC4A4F">
        <w:trPr>
          <w:trHeight w:val="330"/>
        </w:trPr>
        <w:tc>
          <w:tcPr>
            <w:tcW w:w="11109" w:type="dxa"/>
            <w:gridSpan w:val="11"/>
            <w:noWrap/>
            <w:vAlign w:val="bottom"/>
          </w:tcPr>
          <w:p w14:paraId="6F93FC71" w14:textId="77777777" w:rsidR="00DC4A4F" w:rsidRPr="00DC4A4F" w:rsidRDefault="00DC4A4F" w:rsidP="00DC4A4F">
            <w:pPr>
              <w:spacing w:before="0" w:after="0"/>
              <w:jc w:val="center"/>
              <w:rPr>
                <w:rFonts w:ascii="Times New Roman" w:eastAsia="Times New Roman" w:hAnsi="Times New Roman" w:cs="Times New Roman"/>
                <w:b/>
                <w:sz w:val="24"/>
                <w:szCs w:val="24"/>
                <w:lang w:eastAsia="de-DE"/>
              </w:rPr>
            </w:pPr>
            <w:r w:rsidRPr="00DC4A4F">
              <w:rPr>
                <w:rFonts w:ascii="Times New Roman" w:eastAsia="Times New Roman" w:hAnsi="Times New Roman" w:cs="Times New Roman"/>
                <w:b/>
                <w:sz w:val="24"/>
                <w:szCs w:val="24"/>
                <w:lang w:eastAsia="de-DE"/>
              </w:rPr>
              <w:br w:type="page"/>
            </w:r>
            <w:r w:rsidRPr="00DC4A4F">
              <w:rPr>
                <w:rFonts w:ascii="Times New Roman" w:eastAsia="Times New Roman" w:hAnsi="Times New Roman" w:cs="Times New Roman"/>
                <w:b/>
                <w:sz w:val="24"/>
                <w:szCs w:val="24"/>
                <w:lang w:eastAsia="de-DE"/>
              </w:rPr>
              <w:br w:type="page"/>
            </w:r>
            <w:r w:rsidRPr="00DC4A4F">
              <w:rPr>
                <w:rFonts w:ascii="Times New Roman" w:eastAsia="Times New Roman" w:hAnsi="Times New Roman" w:cs="Times New Roman"/>
                <w:b/>
                <w:sz w:val="24"/>
                <w:szCs w:val="24"/>
                <w:lang w:eastAsia="de-DE"/>
              </w:rPr>
              <w:br w:type="page"/>
            </w:r>
            <w:r w:rsidRPr="00DC4A4F">
              <w:rPr>
                <w:rFonts w:ascii="Times New Roman" w:eastAsia="Times New Roman" w:hAnsi="Times New Roman" w:cs="Times New Roman"/>
                <w:b/>
                <w:sz w:val="24"/>
                <w:szCs w:val="24"/>
                <w:lang w:eastAsia="de-DE"/>
              </w:rPr>
              <w:br w:type="page"/>
              <w:t>Ziegelmaterial (ZM)</w:t>
            </w:r>
          </w:p>
          <w:p w14:paraId="1B486BBF" w14:textId="77777777" w:rsidR="00DC4A4F" w:rsidRPr="00DC4A4F" w:rsidRDefault="00DC4A4F" w:rsidP="00DC4A4F">
            <w:pPr>
              <w:spacing w:before="0" w:after="0"/>
              <w:jc w:val="center"/>
              <w:rPr>
                <w:rFonts w:ascii="Times New Roman" w:eastAsia="Times New Roman" w:hAnsi="Times New Roman" w:cs="Times New Roman"/>
                <w:b/>
                <w:sz w:val="24"/>
                <w:szCs w:val="24"/>
                <w:lang w:eastAsia="de-DE"/>
              </w:rPr>
            </w:pPr>
          </w:p>
        </w:tc>
      </w:tr>
      <w:tr w:rsidR="00DC4A4F" w:rsidRPr="00DC4A4F" w14:paraId="54A9F062" w14:textId="77777777" w:rsidTr="00DC4A4F">
        <w:trPr>
          <w:trHeight w:val="20"/>
        </w:trPr>
        <w:tc>
          <w:tcPr>
            <w:tcW w:w="4683" w:type="dxa"/>
            <w:gridSpan w:val="2"/>
            <w:vMerge w:val="restart"/>
            <w:shd w:val="clear" w:color="auto" w:fill="auto"/>
            <w:noWrap/>
          </w:tcPr>
          <w:p w14:paraId="544BB08A" w14:textId="77777777" w:rsidR="00DC4A4F" w:rsidRPr="00DC4A4F" w:rsidRDefault="00DC4A4F" w:rsidP="00DC4A4F">
            <w:pPr>
              <w:spacing w:before="0" w:after="0"/>
              <w:jc w:val="center"/>
              <w:rPr>
                <w:rFonts w:ascii="Times New Roman" w:eastAsia="Times New Roman" w:hAnsi="Times New Roman" w:cs="Times New Roman"/>
                <w:b/>
                <w:sz w:val="24"/>
                <w:szCs w:val="24"/>
                <w:lang w:eastAsia="de-DE"/>
              </w:rPr>
            </w:pPr>
            <w:r w:rsidRPr="00DC4A4F">
              <w:rPr>
                <w:rFonts w:ascii="Times New Roman" w:eastAsia="Times New Roman" w:hAnsi="Times New Roman" w:cs="Times New Roman"/>
                <w:b/>
                <w:sz w:val="24"/>
                <w:szCs w:val="24"/>
                <w:lang w:eastAsia="de-DE"/>
              </w:rPr>
              <w:t>Einbauweise</w:t>
            </w:r>
          </w:p>
        </w:tc>
        <w:tc>
          <w:tcPr>
            <w:tcW w:w="6426" w:type="dxa"/>
            <w:gridSpan w:val="9"/>
            <w:shd w:val="clear" w:color="auto" w:fill="auto"/>
            <w:noWrap/>
            <w:vAlign w:val="center"/>
          </w:tcPr>
          <w:p w14:paraId="76C091E5" w14:textId="77777777" w:rsidR="00DC4A4F" w:rsidRPr="00DC4A4F" w:rsidRDefault="00DC4A4F" w:rsidP="00DC4A4F">
            <w:pPr>
              <w:spacing w:before="0" w:after="0"/>
              <w:jc w:val="center"/>
              <w:rPr>
                <w:rFonts w:ascii="Times New Roman" w:eastAsia="Times New Roman" w:hAnsi="Times New Roman" w:cs="Times New Roman"/>
                <w:b/>
                <w:sz w:val="24"/>
                <w:szCs w:val="24"/>
                <w:lang w:eastAsia="de-DE"/>
              </w:rPr>
            </w:pPr>
            <w:r w:rsidRPr="00DC4A4F">
              <w:rPr>
                <w:rFonts w:ascii="Times New Roman" w:eastAsia="Times New Roman" w:hAnsi="Times New Roman" w:cs="Times New Roman"/>
                <w:b/>
                <w:sz w:val="24"/>
                <w:szCs w:val="24"/>
                <w:lang w:eastAsia="de-DE"/>
              </w:rPr>
              <w:t>Eigenschaft der Grundwasserdeckschicht</w:t>
            </w:r>
          </w:p>
        </w:tc>
      </w:tr>
      <w:tr w:rsidR="00DC4A4F" w:rsidRPr="00DC4A4F" w14:paraId="4D6F933A" w14:textId="77777777" w:rsidTr="00DC4A4F">
        <w:trPr>
          <w:trHeight w:val="20"/>
        </w:trPr>
        <w:tc>
          <w:tcPr>
            <w:tcW w:w="4683" w:type="dxa"/>
            <w:gridSpan w:val="2"/>
            <w:vMerge/>
            <w:shd w:val="clear" w:color="auto" w:fill="auto"/>
            <w:noWrap/>
            <w:vAlign w:val="center"/>
          </w:tcPr>
          <w:p w14:paraId="1677B28D" w14:textId="77777777" w:rsidR="00DC4A4F" w:rsidRPr="00DC4A4F" w:rsidRDefault="00DC4A4F" w:rsidP="00DC4A4F">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090981A0"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außerhalb von</w:t>
            </w:r>
          </w:p>
          <w:p w14:paraId="4CBE85A8"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Wasserschutzbereichen</w:t>
            </w:r>
          </w:p>
        </w:tc>
        <w:tc>
          <w:tcPr>
            <w:tcW w:w="3726" w:type="dxa"/>
            <w:gridSpan w:val="6"/>
            <w:shd w:val="clear" w:color="auto" w:fill="auto"/>
            <w:noWrap/>
            <w:vAlign w:val="center"/>
          </w:tcPr>
          <w:p w14:paraId="441A5027"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innerhalb von</w:t>
            </w:r>
          </w:p>
          <w:p w14:paraId="4081C501"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Wasserschutzbereichen</w:t>
            </w:r>
          </w:p>
        </w:tc>
      </w:tr>
      <w:tr w:rsidR="00DC4A4F" w:rsidRPr="00DC4A4F" w14:paraId="046B8092" w14:textId="77777777" w:rsidTr="00DC4A4F">
        <w:trPr>
          <w:trHeight w:val="20"/>
        </w:trPr>
        <w:tc>
          <w:tcPr>
            <w:tcW w:w="4683" w:type="dxa"/>
            <w:gridSpan w:val="2"/>
            <w:vMerge/>
            <w:shd w:val="clear" w:color="auto" w:fill="auto"/>
            <w:noWrap/>
            <w:vAlign w:val="center"/>
          </w:tcPr>
          <w:p w14:paraId="4C6FE612"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7BDA1DBF"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proofErr w:type="spellStart"/>
            <w:r w:rsidRPr="00DC4A4F">
              <w:rPr>
                <w:rFonts w:ascii="Times New Roman" w:eastAsia="Times New Roman" w:hAnsi="Times New Roman" w:cs="Times New Roman"/>
                <w:sz w:val="20"/>
                <w:szCs w:val="20"/>
                <w:lang w:eastAsia="de-DE"/>
              </w:rPr>
              <w:t>un</w:t>
            </w:r>
            <w:proofErr w:type="spellEnd"/>
            <w:r w:rsidRPr="00DC4A4F">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79B42716"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günstig</w:t>
            </w:r>
          </w:p>
        </w:tc>
        <w:tc>
          <w:tcPr>
            <w:tcW w:w="3726" w:type="dxa"/>
            <w:gridSpan w:val="6"/>
            <w:shd w:val="clear" w:color="auto" w:fill="auto"/>
            <w:noWrap/>
            <w:vAlign w:val="center"/>
          </w:tcPr>
          <w:p w14:paraId="0F4C7D31"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günstig</w:t>
            </w:r>
          </w:p>
        </w:tc>
      </w:tr>
      <w:tr w:rsidR="00DC4A4F" w:rsidRPr="00DC4A4F" w14:paraId="142545D7" w14:textId="77777777" w:rsidTr="00DC4A4F">
        <w:trPr>
          <w:trHeight w:val="20"/>
        </w:trPr>
        <w:tc>
          <w:tcPr>
            <w:tcW w:w="4683" w:type="dxa"/>
            <w:gridSpan w:val="2"/>
            <w:vMerge/>
            <w:shd w:val="clear" w:color="auto" w:fill="auto"/>
            <w:noWrap/>
            <w:vAlign w:val="center"/>
          </w:tcPr>
          <w:p w14:paraId="2B300442"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6C2019B0"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26865A3E"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0B40C62E" w14:textId="14B57EFA"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Lehm,</w:t>
            </w:r>
          </w:p>
          <w:p w14:paraId="4EFF9B64" w14:textId="11D503B5"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Schluff,</w:t>
            </w:r>
          </w:p>
          <w:p w14:paraId="3EF92C83"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Ton</w:t>
            </w:r>
          </w:p>
        </w:tc>
        <w:tc>
          <w:tcPr>
            <w:tcW w:w="1317" w:type="dxa"/>
            <w:gridSpan w:val="2"/>
            <w:shd w:val="clear" w:color="auto" w:fill="auto"/>
            <w:noWrap/>
            <w:vAlign w:val="center"/>
          </w:tcPr>
          <w:p w14:paraId="782D679E"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WSG III A</w:t>
            </w:r>
          </w:p>
        </w:tc>
        <w:tc>
          <w:tcPr>
            <w:tcW w:w="1197" w:type="dxa"/>
            <w:gridSpan w:val="2"/>
            <w:shd w:val="clear" w:color="auto" w:fill="auto"/>
            <w:noWrap/>
            <w:vAlign w:val="center"/>
          </w:tcPr>
          <w:p w14:paraId="00ED03ED"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WSG III B</w:t>
            </w:r>
          </w:p>
        </w:tc>
        <w:tc>
          <w:tcPr>
            <w:tcW w:w="1212" w:type="dxa"/>
            <w:gridSpan w:val="2"/>
            <w:shd w:val="clear" w:color="auto" w:fill="auto"/>
            <w:noWrap/>
            <w:vAlign w:val="center"/>
          </w:tcPr>
          <w:p w14:paraId="1FBC4163"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Wasservor-</w:t>
            </w:r>
          </w:p>
        </w:tc>
      </w:tr>
      <w:tr w:rsidR="00DC4A4F" w:rsidRPr="00DC4A4F" w14:paraId="4AE68F4D" w14:textId="77777777" w:rsidTr="00DC4A4F">
        <w:trPr>
          <w:trHeight w:val="80"/>
        </w:trPr>
        <w:tc>
          <w:tcPr>
            <w:tcW w:w="4683" w:type="dxa"/>
            <w:gridSpan w:val="2"/>
            <w:vMerge/>
            <w:shd w:val="clear" w:color="auto" w:fill="auto"/>
            <w:noWrap/>
            <w:vAlign w:val="center"/>
          </w:tcPr>
          <w:p w14:paraId="74F50409"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76A8B4EE"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41320705"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37442EB2"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1317" w:type="dxa"/>
            <w:gridSpan w:val="2"/>
            <w:shd w:val="clear" w:color="auto" w:fill="auto"/>
            <w:noWrap/>
            <w:vAlign w:val="center"/>
          </w:tcPr>
          <w:p w14:paraId="4DC0415F"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HSG III</w:t>
            </w:r>
          </w:p>
        </w:tc>
        <w:tc>
          <w:tcPr>
            <w:tcW w:w="1197" w:type="dxa"/>
            <w:gridSpan w:val="2"/>
            <w:shd w:val="clear" w:color="auto" w:fill="auto"/>
            <w:noWrap/>
            <w:vAlign w:val="center"/>
          </w:tcPr>
          <w:p w14:paraId="6398CA21"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HSG IV</w:t>
            </w:r>
          </w:p>
        </w:tc>
        <w:tc>
          <w:tcPr>
            <w:tcW w:w="1212" w:type="dxa"/>
            <w:gridSpan w:val="2"/>
            <w:shd w:val="clear" w:color="auto" w:fill="auto"/>
            <w:noWrap/>
            <w:vAlign w:val="center"/>
          </w:tcPr>
          <w:p w14:paraId="778F2E0D"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ranggebiete</w:t>
            </w:r>
          </w:p>
        </w:tc>
      </w:tr>
      <w:tr w:rsidR="00DC4A4F" w:rsidRPr="00DC4A4F" w14:paraId="411D212A" w14:textId="77777777" w:rsidTr="00DC4A4F">
        <w:trPr>
          <w:trHeight w:val="80"/>
        </w:trPr>
        <w:tc>
          <w:tcPr>
            <w:tcW w:w="4683" w:type="dxa"/>
            <w:gridSpan w:val="2"/>
            <w:vMerge/>
            <w:shd w:val="clear" w:color="auto" w:fill="auto"/>
            <w:noWrap/>
            <w:vAlign w:val="center"/>
          </w:tcPr>
          <w:p w14:paraId="0A144A14"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476A9138"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5E51F4C6"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09282B32"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647" w:type="dxa"/>
            <w:shd w:val="clear" w:color="auto" w:fill="auto"/>
            <w:noWrap/>
            <w:vAlign w:val="center"/>
          </w:tcPr>
          <w:p w14:paraId="650DD9C7"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Sand</w:t>
            </w:r>
          </w:p>
        </w:tc>
        <w:tc>
          <w:tcPr>
            <w:tcW w:w="670" w:type="dxa"/>
            <w:shd w:val="clear" w:color="auto" w:fill="auto"/>
            <w:vAlign w:val="center"/>
          </w:tcPr>
          <w:p w14:paraId="5F68A578" w14:textId="33FBE3C9"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Lehm,</w:t>
            </w:r>
          </w:p>
          <w:p w14:paraId="4CA0E84D" w14:textId="615E763A"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Schluff,</w:t>
            </w:r>
          </w:p>
          <w:p w14:paraId="53FCA78A"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Ton</w:t>
            </w:r>
          </w:p>
        </w:tc>
        <w:tc>
          <w:tcPr>
            <w:tcW w:w="527" w:type="dxa"/>
            <w:shd w:val="clear" w:color="auto" w:fill="auto"/>
            <w:noWrap/>
            <w:vAlign w:val="center"/>
          </w:tcPr>
          <w:p w14:paraId="1EB4439C"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Sand</w:t>
            </w:r>
          </w:p>
        </w:tc>
        <w:tc>
          <w:tcPr>
            <w:tcW w:w="670" w:type="dxa"/>
            <w:shd w:val="clear" w:color="auto" w:fill="auto"/>
            <w:vAlign w:val="center"/>
          </w:tcPr>
          <w:p w14:paraId="04926F6C" w14:textId="7FEA7199"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Lehm,</w:t>
            </w:r>
          </w:p>
          <w:p w14:paraId="00C93B1C" w14:textId="6014F550"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Schluff,</w:t>
            </w:r>
          </w:p>
          <w:p w14:paraId="42ED4F7A"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250EDEE7"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Sand</w:t>
            </w:r>
          </w:p>
        </w:tc>
        <w:tc>
          <w:tcPr>
            <w:tcW w:w="670" w:type="dxa"/>
            <w:shd w:val="clear" w:color="auto" w:fill="auto"/>
            <w:vAlign w:val="center"/>
          </w:tcPr>
          <w:p w14:paraId="468A1238" w14:textId="1F13EC49"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Lehm,</w:t>
            </w:r>
          </w:p>
          <w:p w14:paraId="39E9C111" w14:textId="5A5C6769"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Schluff,</w:t>
            </w:r>
          </w:p>
          <w:p w14:paraId="57A07108"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Ton</w:t>
            </w:r>
          </w:p>
        </w:tc>
      </w:tr>
      <w:tr w:rsidR="00DC4A4F" w:rsidRPr="00DC4A4F" w14:paraId="6F651288" w14:textId="77777777" w:rsidTr="00DC4A4F">
        <w:trPr>
          <w:trHeight w:val="111"/>
        </w:trPr>
        <w:tc>
          <w:tcPr>
            <w:tcW w:w="4683" w:type="dxa"/>
            <w:gridSpan w:val="2"/>
            <w:vMerge/>
            <w:shd w:val="clear" w:color="auto" w:fill="auto"/>
            <w:noWrap/>
            <w:vAlign w:val="center"/>
          </w:tcPr>
          <w:p w14:paraId="158E1942"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076BBA05"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1</w:t>
            </w:r>
          </w:p>
        </w:tc>
        <w:tc>
          <w:tcPr>
            <w:tcW w:w="664" w:type="dxa"/>
            <w:shd w:val="clear" w:color="auto" w:fill="auto"/>
            <w:noWrap/>
            <w:vAlign w:val="center"/>
          </w:tcPr>
          <w:p w14:paraId="4ACBF867"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2</w:t>
            </w:r>
          </w:p>
        </w:tc>
        <w:tc>
          <w:tcPr>
            <w:tcW w:w="1185" w:type="dxa"/>
            <w:shd w:val="clear" w:color="auto" w:fill="auto"/>
            <w:noWrap/>
            <w:vAlign w:val="center"/>
          </w:tcPr>
          <w:p w14:paraId="0E05762A"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3</w:t>
            </w:r>
          </w:p>
        </w:tc>
        <w:tc>
          <w:tcPr>
            <w:tcW w:w="1317" w:type="dxa"/>
            <w:gridSpan w:val="2"/>
            <w:shd w:val="clear" w:color="auto" w:fill="auto"/>
            <w:noWrap/>
            <w:vAlign w:val="center"/>
          </w:tcPr>
          <w:p w14:paraId="0292EE92"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4</w:t>
            </w:r>
          </w:p>
        </w:tc>
        <w:tc>
          <w:tcPr>
            <w:tcW w:w="1197" w:type="dxa"/>
            <w:gridSpan w:val="2"/>
            <w:shd w:val="clear" w:color="auto" w:fill="auto"/>
            <w:noWrap/>
            <w:vAlign w:val="center"/>
          </w:tcPr>
          <w:p w14:paraId="59D70B30"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5</w:t>
            </w:r>
          </w:p>
        </w:tc>
        <w:tc>
          <w:tcPr>
            <w:tcW w:w="1212" w:type="dxa"/>
            <w:gridSpan w:val="2"/>
            <w:shd w:val="clear" w:color="auto" w:fill="auto"/>
            <w:noWrap/>
            <w:vAlign w:val="center"/>
          </w:tcPr>
          <w:p w14:paraId="29D51A77"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6</w:t>
            </w:r>
          </w:p>
        </w:tc>
      </w:tr>
      <w:tr w:rsidR="00DC4A4F" w:rsidRPr="00DC4A4F" w14:paraId="5E04AEE2" w14:textId="77777777" w:rsidTr="00DC4A4F">
        <w:trPr>
          <w:trHeight w:val="20"/>
        </w:trPr>
        <w:tc>
          <w:tcPr>
            <w:tcW w:w="469" w:type="dxa"/>
            <w:shd w:val="clear" w:color="auto" w:fill="auto"/>
            <w:noWrap/>
          </w:tcPr>
          <w:p w14:paraId="1384DA4E"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12</w:t>
            </w:r>
          </w:p>
        </w:tc>
        <w:tc>
          <w:tcPr>
            <w:tcW w:w="4214" w:type="dxa"/>
            <w:shd w:val="clear" w:color="auto" w:fill="FFFFFF"/>
          </w:tcPr>
          <w:p w14:paraId="6AB78F37"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Deckschicht ohne Bindemittel</w:t>
            </w:r>
          </w:p>
        </w:tc>
        <w:tc>
          <w:tcPr>
            <w:tcW w:w="851" w:type="dxa"/>
            <w:noWrap/>
            <w:vAlign w:val="center"/>
          </w:tcPr>
          <w:p w14:paraId="1EFE299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178F56D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710216D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47" w:type="dxa"/>
            <w:noWrap/>
            <w:vAlign w:val="center"/>
          </w:tcPr>
          <w:p w14:paraId="78324509"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3B8F66E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27" w:type="dxa"/>
            <w:noWrap/>
            <w:vAlign w:val="center"/>
          </w:tcPr>
          <w:p w14:paraId="076A7BE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1B20800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48DB381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1D04D8F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bl>
    <w:p w14:paraId="74B5F98D" w14:textId="77777777" w:rsidR="00DC4A4F" w:rsidRPr="00DC4A4F" w:rsidRDefault="00DC4A4F" w:rsidP="00DC4A4F">
      <w:pPr>
        <w:pStyle w:val="Text"/>
      </w:pPr>
    </w:p>
    <w:bookmarkEnd w:id="39"/>
    <w:p w14:paraId="49C86939" w14:textId="416A9791" w:rsidR="00DC4A4F" w:rsidRPr="008D0377" w:rsidRDefault="00DC4A4F" w:rsidP="00DC4A4F">
      <w:pPr>
        <w:pStyle w:val="berschrift1"/>
      </w:pPr>
      <w:r w:rsidRPr="00D167B2">
        <w:br w:type="page"/>
      </w:r>
      <w:bookmarkStart w:id="40" w:name="_Toc30749694"/>
      <w:r w:rsidR="00F43C5E" w:rsidRPr="008D0377">
        <w:lastRenderedPageBreak/>
        <w:t xml:space="preserve">Tabelle 5: Bodenmaterial der Klassen 0* (BM-0*), F0* (BM-F0*) Baggergut der Klassen 0* (BG-0*), F0* (BGF0*) </w:t>
      </w:r>
      <w:bookmarkEnd w:id="40"/>
    </w:p>
    <w:p w14:paraId="2879989C" w14:textId="77777777" w:rsidR="000D49B1" w:rsidRPr="000D49B1" w:rsidRDefault="000D49B1" w:rsidP="000D49B1">
      <w:pPr>
        <w:pStyle w:val="Text"/>
      </w:pPr>
    </w:p>
    <w:tbl>
      <w:tblPr>
        <w:tblpPr w:leftFromText="141" w:rightFromText="141" w:vertAnchor="text" w:horzAnchor="margin" w:tblpXSpec="center" w:tblpY="369"/>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567"/>
        <w:gridCol w:w="715"/>
        <w:gridCol w:w="500"/>
        <w:gridCol w:w="715"/>
        <w:gridCol w:w="542"/>
        <w:gridCol w:w="715"/>
      </w:tblGrid>
      <w:tr w:rsidR="00DC4A4F" w:rsidRPr="00DC4A4F" w14:paraId="19514418" w14:textId="77777777" w:rsidTr="00DC4A4F">
        <w:trPr>
          <w:trHeight w:val="330"/>
        </w:trPr>
        <w:tc>
          <w:tcPr>
            <w:tcW w:w="11002" w:type="dxa"/>
            <w:gridSpan w:val="11"/>
            <w:noWrap/>
            <w:vAlign w:val="bottom"/>
          </w:tcPr>
          <w:p w14:paraId="5BE05789" w14:textId="77777777" w:rsidR="00DC4A4F" w:rsidRPr="00DC4A4F" w:rsidRDefault="00DC4A4F" w:rsidP="00DC4A4F">
            <w:pPr>
              <w:spacing w:before="0" w:after="0"/>
              <w:jc w:val="center"/>
              <w:rPr>
                <w:rFonts w:ascii="Times New Roman" w:eastAsia="Times New Roman" w:hAnsi="Times New Roman" w:cs="Times New Roman"/>
                <w:b/>
                <w:bCs/>
                <w:sz w:val="24"/>
                <w:szCs w:val="24"/>
                <w:lang w:eastAsia="de-DE"/>
              </w:rPr>
            </w:pPr>
            <w:bookmarkStart w:id="41" w:name="_Toc30749695"/>
            <w:r w:rsidRPr="00DC4A4F">
              <w:rPr>
                <w:rFonts w:ascii="Times New Roman" w:eastAsia="Times New Roman" w:hAnsi="Times New Roman" w:cs="Times New Roman"/>
                <w:b/>
                <w:sz w:val="24"/>
                <w:szCs w:val="24"/>
                <w:lang w:eastAsia="de-DE"/>
              </w:rPr>
              <w:br w:type="page"/>
            </w:r>
            <w:r w:rsidRPr="00DC4A4F">
              <w:rPr>
                <w:rFonts w:ascii="Times New Roman" w:eastAsia="Times New Roman" w:hAnsi="Times New Roman" w:cs="Times New Roman"/>
                <w:b/>
                <w:sz w:val="24"/>
                <w:szCs w:val="24"/>
                <w:lang w:eastAsia="de-DE"/>
              </w:rPr>
              <w:br w:type="page"/>
            </w:r>
            <w:r w:rsidRPr="00DC4A4F">
              <w:rPr>
                <w:rFonts w:ascii="Times New Roman" w:eastAsia="Times New Roman" w:hAnsi="Times New Roman" w:cs="Times New Roman"/>
                <w:b/>
                <w:sz w:val="24"/>
                <w:szCs w:val="24"/>
                <w:lang w:eastAsia="de-DE"/>
              </w:rPr>
              <w:br w:type="page"/>
            </w:r>
            <w:r w:rsidRPr="00DC4A4F">
              <w:rPr>
                <w:rFonts w:ascii="Times New Roman" w:eastAsia="Times New Roman" w:hAnsi="Times New Roman" w:cs="Times New Roman"/>
                <w:b/>
                <w:sz w:val="24"/>
                <w:szCs w:val="24"/>
                <w:lang w:eastAsia="de-DE"/>
              </w:rPr>
              <w:br w:type="page"/>
              <w:t>Bodenmaterial der Klassen</w:t>
            </w:r>
            <w:r w:rsidRPr="00DC4A4F">
              <w:rPr>
                <w:rFonts w:ascii="Times New Roman" w:eastAsia="Times New Roman" w:hAnsi="Times New Roman" w:cs="Times New Roman"/>
                <w:b/>
                <w:bCs/>
                <w:sz w:val="24"/>
                <w:szCs w:val="24"/>
                <w:lang w:eastAsia="de-DE"/>
              </w:rPr>
              <w:t xml:space="preserve"> 0* (BM-0*), F0* (BM-F0*)</w:t>
            </w:r>
          </w:p>
          <w:p w14:paraId="488B0BD2" w14:textId="77777777" w:rsidR="00DC4A4F" w:rsidRPr="00DC4A4F" w:rsidRDefault="00DC4A4F" w:rsidP="00DC4A4F">
            <w:pPr>
              <w:spacing w:before="0" w:after="0"/>
              <w:jc w:val="center"/>
              <w:rPr>
                <w:rFonts w:ascii="Times New Roman" w:eastAsia="Times New Roman" w:hAnsi="Times New Roman" w:cs="Times New Roman"/>
                <w:b/>
                <w:bCs/>
                <w:sz w:val="24"/>
                <w:szCs w:val="24"/>
                <w:lang w:eastAsia="de-DE"/>
              </w:rPr>
            </w:pPr>
            <w:r w:rsidRPr="00DC4A4F">
              <w:rPr>
                <w:rFonts w:ascii="Times New Roman" w:eastAsia="Times New Roman" w:hAnsi="Times New Roman" w:cs="Times New Roman"/>
                <w:b/>
                <w:bCs/>
                <w:sz w:val="24"/>
                <w:szCs w:val="24"/>
                <w:lang w:eastAsia="de-DE"/>
              </w:rPr>
              <w:t>Baggergut der Klassen 0* (BG-0*), F0* (BG-F0*)</w:t>
            </w:r>
          </w:p>
        </w:tc>
      </w:tr>
      <w:tr w:rsidR="00DC4A4F" w:rsidRPr="00DC4A4F" w14:paraId="087A15F8" w14:textId="77777777" w:rsidTr="00DC4A4F">
        <w:trPr>
          <w:trHeight w:val="20"/>
        </w:trPr>
        <w:tc>
          <w:tcPr>
            <w:tcW w:w="4683" w:type="dxa"/>
            <w:gridSpan w:val="2"/>
            <w:vMerge w:val="restart"/>
            <w:shd w:val="clear" w:color="auto" w:fill="auto"/>
            <w:noWrap/>
          </w:tcPr>
          <w:p w14:paraId="5DAE0729" w14:textId="77777777" w:rsidR="00DC4A4F" w:rsidRPr="00DC4A4F" w:rsidRDefault="00DC4A4F" w:rsidP="00DC4A4F">
            <w:pPr>
              <w:spacing w:before="0" w:after="0"/>
              <w:jc w:val="center"/>
              <w:rPr>
                <w:rFonts w:ascii="Times New Roman" w:eastAsia="Times New Roman" w:hAnsi="Times New Roman" w:cs="Times New Roman"/>
                <w:b/>
                <w:sz w:val="24"/>
                <w:szCs w:val="24"/>
                <w:lang w:eastAsia="de-DE"/>
              </w:rPr>
            </w:pPr>
            <w:r w:rsidRPr="00DC4A4F">
              <w:rPr>
                <w:rFonts w:ascii="Times New Roman" w:eastAsia="Times New Roman" w:hAnsi="Times New Roman" w:cs="Times New Roman"/>
                <w:b/>
                <w:sz w:val="24"/>
                <w:szCs w:val="24"/>
                <w:lang w:eastAsia="de-DE"/>
              </w:rPr>
              <w:t>Einbauweise</w:t>
            </w:r>
          </w:p>
        </w:tc>
        <w:tc>
          <w:tcPr>
            <w:tcW w:w="6319" w:type="dxa"/>
            <w:gridSpan w:val="9"/>
            <w:shd w:val="clear" w:color="auto" w:fill="auto"/>
            <w:noWrap/>
            <w:vAlign w:val="center"/>
          </w:tcPr>
          <w:p w14:paraId="7855A3CE" w14:textId="77777777" w:rsidR="00DC4A4F" w:rsidRPr="00DC4A4F" w:rsidRDefault="00DC4A4F" w:rsidP="00DC4A4F">
            <w:pPr>
              <w:spacing w:before="0" w:after="0"/>
              <w:jc w:val="center"/>
              <w:rPr>
                <w:rFonts w:ascii="Times New Roman" w:eastAsia="Times New Roman" w:hAnsi="Times New Roman" w:cs="Times New Roman"/>
                <w:b/>
                <w:sz w:val="24"/>
                <w:szCs w:val="24"/>
                <w:lang w:eastAsia="de-DE"/>
              </w:rPr>
            </w:pPr>
            <w:r w:rsidRPr="00DC4A4F">
              <w:rPr>
                <w:rFonts w:ascii="Times New Roman" w:eastAsia="Times New Roman" w:hAnsi="Times New Roman" w:cs="Times New Roman"/>
                <w:b/>
                <w:sz w:val="24"/>
                <w:szCs w:val="24"/>
                <w:lang w:eastAsia="de-DE"/>
              </w:rPr>
              <w:t>Eigenschaft der Grundwasserdeckschicht</w:t>
            </w:r>
          </w:p>
        </w:tc>
      </w:tr>
      <w:tr w:rsidR="00DC4A4F" w:rsidRPr="00DC4A4F" w14:paraId="329114E2" w14:textId="77777777" w:rsidTr="00DC4A4F">
        <w:trPr>
          <w:trHeight w:val="20"/>
        </w:trPr>
        <w:tc>
          <w:tcPr>
            <w:tcW w:w="4683" w:type="dxa"/>
            <w:gridSpan w:val="2"/>
            <w:vMerge/>
            <w:shd w:val="clear" w:color="auto" w:fill="auto"/>
            <w:noWrap/>
            <w:vAlign w:val="center"/>
          </w:tcPr>
          <w:p w14:paraId="4EA96F95" w14:textId="77777777" w:rsidR="00DC4A4F" w:rsidRPr="00DC4A4F" w:rsidRDefault="00DC4A4F" w:rsidP="00DC4A4F">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552A9293"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außerhalb von</w:t>
            </w:r>
          </w:p>
          <w:p w14:paraId="5D45FD5F"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Wasserschutzbereichen</w:t>
            </w:r>
          </w:p>
        </w:tc>
        <w:tc>
          <w:tcPr>
            <w:tcW w:w="3619" w:type="dxa"/>
            <w:gridSpan w:val="6"/>
            <w:shd w:val="clear" w:color="auto" w:fill="auto"/>
            <w:noWrap/>
            <w:vAlign w:val="center"/>
          </w:tcPr>
          <w:p w14:paraId="61161BE6"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innerhalb von</w:t>
            </w:r>
          </w:p>
          <w:p w14:paraId="28392019"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Wasserschutzbereichen</w:t>
            </w:r>
          </w:p>
        </w:tc>
      </w:tr>
      <w:tr w:rsidR="00DC4A4F" w:rsidRPr="00DC4A4F" w14:paraId="6B51B9C9" w14:textId="77777777" w:rsidTr="00DC4A4F">
        <w:trPr>
          <w:trHeight w:val="20"/>
        </w:trPr>
        <w:tc>
          <w:tcPr>
            <w:tcW w:w="4683" w:type="dxa"/>
            <w:gridSpan w:val="2"/>
            <w:vMerge/>
            <w:shd w:val="clear" w:color="auto" w:fill="auto"/>
            <w:noWrap/>
            <w:vAlign w:val="center"/>
          </w:tcPr>
          <w:p w14:paraId="02DAE59E"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22A784C4"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proofErr w:type="spellStart"/>
            <w:r w:rsidRPr="00DC4A4F">
              <w:rPr>
                <w:rFonts w:ascii="Times New Roman" w:eastAsia="Times New Roman" w:hAnsi="Times New Roman" w:cs="Times New Roman"/>
                <w:sz w:val="20"/>
                <w:szCs w:val="20"/>
                <w:lang w:eastAsia="de-DE"/>
              </w:rPr>
              <w:t>un</w:t>
            </w:r>
            <w:proofErr w:type="spellEnd"/>
            <w:r w:rsidRPr="00DC4A4F">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0F9D06AF"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günstig</w:t>
            </w:r>
          </w:p>
        </w:tc>
        <w:tc>
          <w:tcPr>
            <w:tcW w:w="3619" w:type="dxa"/>
            <w:gridSpan w:val="6"/>
            <w:shd w:val="clear" w:color="auto" w:fill="auto"/>
            <w:noWrap/>
            <w:vAlign w:val="center"/>
          </w:tcPr>
          <w:p w14:paraId="161629E3"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günstig</w:t>
            </w:r>
          </w:p>
        </w:tc>
      </w:tr>
      <w:tr w:rsidR="00DC4A4F" w:rsidRPr="00DC4A4F" w14:paraId="51ECAE28" w14:textId="77777777" w:rsidTr="00DC4A4F">
        <w:trPr>
          <w:trHeight w:val="20"/>
        </w:trPr>
        <w:tc>
          <w:tcPr>
            <w:tcW w:w="4683" w:type="dxa"/>
            <w:gridSpan w:val="2"/>
            <w:vMerge/>
            <w:shd w:val="clear" w:color="auto" w:fill="auto"/>
            <w:noWrap/>
            <w:vAlign w:val="center"/>
          </w:tcPr>
          <w:p w14:paraId="3951496F"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7E7AF313"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4DCC123E"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28E4B58F" w14:textId="25F81E82"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Lehm,</w:t>
            </w:r>
          </w:p>
          <w:p w14:paraId="6915EB0A" w14:textId="3AB72244"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Schluff,</w:t>
            </w:r>
          </w:p>
          <w:p w14:paraId="08E6D267"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Ton</w:t>
            </w:r>
          </w:p>
        </w:tc>
        <w:tc>
          <w:tcPr>
            <w:tcW w:w="1237" w:type="dxa"/>
            <w:gridSpan w:val="2"/>
            <w:shd w:val="clear" w:color="auto" w:fill="auto"/>
            <w:noWrap/>
            <w:vAlign w:val="center"/>
          </w:tcPr>
          <w:p w14:paraId="1A225EE2"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339ED70C"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WSG III B</w:t>
            </w:r>
          </w:p>
        </w:tc>
        <w:tc>
          <w:tcPr>
            <w:tcW w:w="1212" w:type="dxa"/>
            <w:gridSpan w:val="2"/>
            <w:shd w:val="clear" w:color="auto" w:fill="auto"/>
            <w:noWrap/>
            <w:vAlign w:val="center"/>
          </w:tcPr>
          <w:p w14:paraId="6FACC41E"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Wasservor-</w:t>
            </w:r>
          </w:p>
        </w:tc>
      </w:tr>
      <w:tr w:rsidR="00DC4A4F" w:rsidRPr="00DC4A4F" w14:paraId="06722FF0" w14:textId="77777777" w:rsidTr="00DC4A4F">
        <w:trPr>
          <w:trHeight w:val="80"/>
        </w:trPr>
        <w:tc>
          <w:tcPr>
            <w:tcW w:w="4683" w:type="dxa"/>
            <w:gridSpan w:val="2"/>
            <w:vMerge/>
            <w:shd w:val="clear" w:color="auto" w:fill="auto"/>
            <w:noWrap/>
            <w:vAlign w:val="center"/>
          </w:tcPr>
          <w:p w14:paraId="7FE206B9"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1D28F161"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46C0C79E"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6CB6C6C5"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1237" w:type="dxa"/>
            <w:gridSpan w:val="2"/>
            <w:shd w:val="clear" w:color="auto" w:fill="auto"/>
            <w:noWrap/>
            <w:vAlign w:val="center"/>
          </w:tcPr>
          <w:p w14:paraId="3AF4739F"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4F045E92"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HSG IV</w:t>
            </w:r>
          </w:p>
        </w:tc>
        <w:tc>
          <w:tcPr>
            <w:tcW w:w="1212" w:type="dxa"/>
            <w:gridSpan w:val="2"/>
            <w:shd w:val="clear" w:color="auto" w:fill="auto"/>
            <w:noWrap/>
            <w:vAlign w:val="center"/>
          </w:tcPr>
          <w:p w14:paraId="75ACEFA3"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ranggebiete</w:t>
            </w:r>
          </w:p>
        </w:tc>
      </w:tr>
      <w:tr w:rsidR="00DC4A4F" w:rsidRPr="00DC4A4F" w14:paraId="5DE98790" w14:textId="77777777" w:rsidTr="00DC4A4F">
        <w:trPr>
          <w:trHeight w:val="80"/>
        </w:trPr>
        <w:tc>
          <w:tcPr>
            <w:tcW w:w="4683" w:type="dxa"/>
            <w:gridSpan w:val="2"/>
            <w:vMerge/>
            <w:shd w:val="clear" w:color="auto" w:fill="auto"/>
            <w:noWrap/>
            <w:vAlign w:val="center"/>
          </w:tcPr>
          <w:p w14:paraId="65A5B711"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216CFFD0"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6D9E92F8"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77792E13"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567" w:type="dxa"/>
            <w:shd w:val="clear" w:color="auto" w:fill="auto"/>
            <w:noWrap/>
            <w:vAlign w:val="center"/>
          </w:tcPr>
          <w:p w14:paraId="7EE98403"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Sand</w:t>
            </w:r>
          </w:p>
        </w:tc>
        <w:tc>
          <w:tcPr>
            <w:tcW w:w="670" w:type="dxa"/>
            <w:shd w:val="clear" w:color="auto" w:fill="auto"/>
            <w:vAlign w:val="center"/>
          </w:tcPr>
          <w:p w14:paraId="5F7A63B2" w14:textId="1EAA57A8"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Lehm,</w:t>
            </w:r>
          </w:p>
          <w:p w14:paraId="754F8033" w14:textId="07F1906A"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Schluff,</w:t>
            </w:r>
          </w:p>
          <w:p w14:paraId="05F60AE2"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4B0C385F"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Sand</w:t>
            </w:r>
          </w:p>
        </w:tc>
        <w:tc>
          <w:tcPr>
            <w:tcW w:w="670" w:type="dxa"/>
            <w:shd w:val="clear" w:color="auto" w:fill="auto"/>
            <w:vAlign w:val="center"/>
          </w:tcPr>
          <w:p w14:paraId="2EDB7E29" w14:textId="593DF7D1"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Lehm,</w:t>
            </w:r>
          </w:p>
          <w:p w14:paraId="3583C915" w14:textId="3958E771"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Schluff,</w:t>
            </w:r>
          </w:p>
          <w:p w14:paraId="1BC5EA78"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12C0CE25"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Sand</w:t>
            </w:r>
          </w:p>
        </w:tc>
        <w:tc>
          <w:tcPr>
            <w:tcW w:w="670" w:type="dxa"/>
            <w:shd w:val="clear" w:color="auto" w:fill="auto"/>
            <w:vAlign w:val="center"/>
          </w:tcPr>
          <w:p w14:paraId="09B11F09" w14:textId="22B39DB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Lehm,</w:t>
            </w:r>
          </w:p>
          <w:p w14:paraId="6B005B95" w14:textId="5FB629C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Schluff,</w:t>
            </w:r>
          </w:p>
          <w:p w14:paraId="07C64FA1"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Ton</w:t>
            </w:r>
          </w:p>
        </w:tc>
      </w:tr>
      <w:tr w:rsidR="00DC4A4F" w:rsidRPr="00DC4A4F" w14:paraId="7C1C0FED" w14:textId="77777777" w:rsidTr="00DC4A4F">
        <w:trPr>
          <w:trHeight w:val="111"/>
        </w:trPr>
        <w:tc>
          <w:tcPr>
            <w:tcW w:w="4683" w:type="dxa"/>
            <w:gridSpan w:val="2"/>
            <w:vMerge/>
            <w:shd w:val="clear" w:color="auto" w:fill="auto"/>
            <w:noWrap/>
            <w:vAlign w:val="center"/>
          </w:tcPr>
          <w:p w14:paraId="6302825E"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72502EEE"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1</w:t>
            </w:r>
          </w:p>
        </w:tc>
        <w:tc>
          <w:tcPr>
            <w:tcW w:w="664" w:type="dxa"/>
            <w:shd w:val="clear" w:color="auto" w:fill="auto"/>
            <w:noWrap/>
            <w:vAlign w:val="center"/>
          </w:tcPr>
          <w:p w14:paraId="0925580D"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2</w:t>
            </w:r>
          </w:p>
        </w:tc>
        <w:tc>
          <w:tcPr>
            <w:tcW w:w="1185" w:type="dxa"/>
            <w:shd w:val="clear" w:color="auto" w:fill="auto"/>
            <w:noWrap/>
            <w:vAlign w:val="center"/>
          </w:tcPr>
          <w:p w14:paraId="78AF9A4D"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3</w:t>
            </w:r>
          </w:p>
        </w:tc>
        <w:tc>
          <w:tcPr>
            <w:tcW w:w="1237" w:type="dxa"/>
            <w:gridSpan w:val="2"/>
            <w:shd w:val="clear" w:color="auto" w:fill="auto"/>
            <w:noWrap/>
            <w:vAlign w:val="center"/>
          </w:tcPr>
          <w:p w14:paraId="03BF62EE"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6042E7C0"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5</w:t>
            </w:r>
          </w:p>
        </w:tc>
        <w:tc>
          <w:tcPr>
            <w:tcW w:w="1212" w:type="dxa"/>
            <w:gridSpan w:val="2"/>
            <w:shd w:val="clear" w:color="auto" w:fill="auto"/>
            <w:noWrap/>
            <w:vAlign w:val="center"/>
          </w:tcPr>
          <w:p w14:paraId="01C19FCC"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6</w:t>
            </w:r>
          </w:p>
        </w:tc>
      </w:tr>
      <w:tr w:rsidR="00DC4A4F" w:rsidRPr="00DC4A4F" w14:paraId="1A040B56" w14:textId="77777777" w:rsidTr="00DC4A4F">
        <w:trPr>
          <w:trHeight w:val="20"/>
        </w:trPr>
        <w:tc>
          <w:tcPr>
            <w:tcW w:w="469" w:type="dxa"/>
            <w:shd w:val="clear" w:color="auto" w:fill="auto"/>
            <w:noWrap/>
          </w:tcPr>
          <w:p w14:paraId="5B9BE77E"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w:t>
            </w:r>
          </w:p>
        </w:tc>
        <w:tc>
          <w:tcPr>
            <w:tcW w:w="4214" w:type="dxa"/>
            <w:shd w:val="clear" w:color="auto" w:fill="FFFFFF"/>
          </w:tcPr>
          <w:p w14:paraId="070CA904"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0BBCA29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5EB583A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74882B2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shd w:val="clear" w:color="auto" w:fill="auto"/>
            <w:noWrap/>
            <w:vAlign w:val="center"/>
          </w:tcPr>
          <w:p w14:paraId="26EC6BA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56EBDD6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shd w:val="clear" w:color="auto" w:fill="auto"/>
            <w:noWrap/>
            <w:vAlign w:val="center"/>
          </w:tcPr>
          <w:p w14:paraId="319AC26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192052B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08120EE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37D24DE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5E636388" w14:textId="77777777" w:rsidTr="00DC4A4F">
        <w:trPr>
          <w:trHeight w:val="20"/>
        </w:trPr>
        <w:tc>
          <w:tcPr>
            <w:tcW w:w="469" w:type="dxa"/>
            <w:shd w:val="clear" w:color="auto" w:fill="auto"/>
            <w:noWrap/>
          </w:tcPr>
          <w:p w14:paraId="2833A95A"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2</w:t>
            </w:r>
          </w:p>
        </w:tc>
        <w:tc>
          <w:tcPr>
            <w:tcW w:w="4214" w:type="dxa"/>
            <w:shd w:val="clear" w:color="auto" w:fill="FFFFFF"/>
          </w:tcPr>
          <w:p w14:paraId="60F4A3A1"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243651B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52E8FD5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4F4AFC9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0AC929D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6256CFA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376A375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00DA5C2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540EF41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5CB672E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7F88C997" w14:textId="77777777" w:rsidTr="00DC4A4F">
        <w:trPr>
          <w:trHeight w:val="20"/>
        </w:trPr>
        <w:tc>
          <w:tcPr>
            <w:tcW w:w="469" w:type="dxa"/>
            <w:shd w:val="clear" w:color="auto" w:fill="auto"/>
            <w:noWrap/>
          </w:tcPr>
          <w:p w14:paraId="25EE4128"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3</w:t>
            </w:r>
          </w:p>
        </w:tc>
        <w:tc>
          <w:tcPr>
            <w:tcW w:w="4214" w:type="dxa"/>
            <w:shd w:val="clear" w:color="auto" w:fill="FFFFFF"/>
          </w:tcPr>
          <w:p w14:paraId="404672D3"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69AFD39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1954C72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646A178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5516BFB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64C57F2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07AB294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4C5B27D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6013380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5C59E3E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340993B9" w14:textId="77777777" w:rsidTr="00DC4A4F">
        <w:trPr>
          <w:trHeight w:val="20"/>
        </w:trPr>
        <w:tc>
          <w:tcPr>
            <w:tcW w:w="469" w:type="dxa"/>
            <w:shd w:val="clear" w:color="auto" w:fill="auto"/>
            <w:noWrap/>
          </w:tcPr>
          <w:p w14:paraId="3DAA9A4B"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4</w:t>
            </w:r>
          </w:p>
        </w:tc>
        <w:tc>
          <w:tcPr>
            <w:tcW w:w="4214" w:type="dxa"/>
            <w:shd w:val="clear" w:color="auto" w:fill="FFFFFF"/>
          </w:tcPr>
          <w:p w14:paraId="54EE1393"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4C71D08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455AD5D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48CA756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1A075B5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27471D4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6E3AE10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63D7477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54DCB6F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3263A6F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1B95E0F5" w14:textId="77777777" w:rsidTr="00DC4A4F">
        <w:trPr>
          <w:trHeight w:val="20"/>
        </w:trPr>
        <w:tc>
          <w:tcPr>
            <w:tcW w:w="469" w:type="dxa"/>
            <w:shd w:val="clear" w:color="auto" w:fill="auto"/>
            <w:noWrap/>
          </w:tcPr>
          <w:p w14:paraId="6E74DDF2"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5</w:t>
            </w:r>
          </w:p>
        </w:tc>
        <w:tc>
          <w:tcPr>
            <w:tcW w:w="4214" w:type="dxa"/>
            <w:shd w:val="clear" w:color="auto" w:fill="FFFFFF"/>
          </w:tcPr>
          <w:p w14:paraId="14738088"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2E169F6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34ECE1A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7E9A350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7CF0906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33E090D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4922593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45C527C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37951D1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6E89127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1592B840" w14:textId="77777777" w:rsidTr="00DC4A4F">
        <w:trPr>
          <w:trHeight w:val="20"/>
        </w:trPr>
        <w:tc>
          <w:tcPr>
            <w:tcW w:w="469" w:type="dxa"/>
            <w:shd w:val="clear" w:color="auto" w:fill="auto"/>
            <w:noWrap/>
          </w:tcPr>
          <w:p w14:paraId="5FE3D15F"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6</w:t>
            </w:r>
          </w:p>
        </w:tc>
        <w:tc>
          <w:tcPr>
            <w:tcW w:w="4214" w:type="dxa"/>
            <w:shd w:val="clear" w:color="auto" w:fill="FFFFFF"/>
          </w:tcPr>
          <w:p w14:paraId="41E41675"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663E646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029E1AA9"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0671801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4B4AC84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0EF1E37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70AFFFB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2AF1946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10D7F32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479761E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4BC75227" w14:textId="77777777" w:rsidTr="00DC4A4F">
        <w:trPr>
          <w:trHeight w:val="20"/>
        </w:trPr>
        <w:tc>
          <w:tcPr>
            <w:tcW w:w="469" w:type="dxa"/>
            <w:shd w:val="clear" w:color="auto" w:fill="auto"/>
            <w:noWrap/>
          </w:tcPr>
          <w:p w14:paraId="38B33BFA"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7</w:t>
            </w:r>
          </w:p>
        </w:tc>
        <w:tc>
          <w:tcPr>
            <w:tcW w:w="4214" w:type="dxa"/>
            <w:shd w:val="clear" w:color="auto" w:fill="FFFFFF"/>
          </w:tcPr>
          <w:p w14:paraId="4F10BFA9"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Schottertragschicht (</w:t>
            </w:r>
            <w:proofErr w:type="spellStart"/>
            <w:r w:rsidRPr="00DC4A4F">
              <w:rPr>
                <w:rFonts w:ascii="Times New Roman" w:eastAsia="Times New Roman" w:hAnsi="Times New Roman" w:cs="Times New Roman"/>
                <w:sz w:val="18"/>
                <w:szCs w:val="18"/>
                <w:lang w:eastAsia="de-DE"/>
              </w:rPr>
              <w:t>ToB</w:t>
            </w:r>
            <w:proofErr w:type="spellEnd"/>
            <w:r w:rsidRPr="00DC4A4F">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5095881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1391CD9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5B8801E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0BBDC6A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0A7B807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3EFC0FC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66F50D4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620AE5B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571B423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6292BDF9" w14:textId="77777777" w:rsidTr="00DC4A4F">
        <w:trPr>
          <w:trHeight w:val="20"/>
        </w:trPr>
        <w:tc>
          <w:tcPr>
            <w:tcW w:w="469" w:type="dxa"/>
            <w:shd w:val="clear" w:color="auto" w:fill="auto"/>
            <w:noWrap/>
          </w:tcPr>
          <w:p w14:paraId="38A781C7"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8</w:t>
            </w:r>
          </w:p>
        </w:tc>
        <w:tc>
          <w:tcPr>
            <w:tcW w:w="4214" w:type="dxa"/>
            <w:shd w:val="clear" w:color="auto" w:fill="FFFFFF"/>
          </w:tcPr>
          <w:p w14:paraId="0D2A8072"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Frostschutzschicht (</w:t>
            </w:r>
            <w:proofErr w:type="spellStart"/>
            <w:r w:rsidRPr="00DC4A4F">
              <w:rPr>
                <w:rFonts w:ascii="Times New Roman" w:eastAsia="Times New Roman" w:hAnsi="Times New Roman" w:cs="Times New Roman"/>
                <w:sz w:val="18"/>
                <w:szCs w:val="18"/>
                <w:lang w:eastAsia="de-DE"/>
              </w:rPr>
              <w:t>ToB</w:t>
            </w:r>
            <w:proofErr w:type="spellEnd"/>
            <w:proofErr w:type="gramStart"/>
            <w:r w:rsidRPr="00DC4A4F">
              <w:rPr>
                <w:rFonts w:ascii="Times New Roman" w:eastAsia="Times New Roman" w:hAnsi="Times New Roman" w:cs="Times New Roman"/>
                <w:sz w:val="18"/>
                <w:szCs w:val="18"/>
                <w:lang w:eastAsia="de-DE"/>
              </w:rPr>
              <w:t>),  Baugrundverbesserung</w:t>
            </w:r>
            <w:proofErr w:type="gramEnd"/>
            <w:r w:rsidRPr="00DC4A4F" w:rsidDel="006C46D7">
              <w:rPr>
                <w:rFonts w:ascii="Times New Roman" w:eastAsia="Times New Roman" w:hAnsi="Times New Roman" w:cs="Times New Roman"/>
                <w:sz w:val="18"/>
                <w:szCs w:val="18"/>
                <w:lang w:eastAsia="de-DE"/>
              </w:rPr>
              <w:t xml:space="preserve"> </w:t>
            </w:r>
            <w:r w:rsidRPr="00DC4A4F">
              <w:rPr>
                <w:rFonts w:ascii="Times New Roman" w:eastAsia="Times New Roman" w:hAnsi="Times New Roman" w:cs="Times New Roman"/>
                <w:sz w:val="18"/>
                <w:szCs w:val="18"/>
                <w:lang w:eastAsia="de-DE"/>
              </w:rPr>
              <w:t xml:space="preserve"> und Unterbau bis 1 m ab Planum jeweils unter gebundener Deckschicht </w:t>
            </w:r>
          </w:p>
        </w:tc>
        <w:tc>
          <w:tcPr>
            <w:tcW w:w="851" w:type="dxa"/>
            <w:noWrap/>
            <w:vAlign w:val="center"/>
          </w:tcPr>
          <w:p w14:paraId="328E3E0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15EE574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739621B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61995AA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5337906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15ABDA8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7CEAFA0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5D85E27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744DAA7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2058D0E2" w14:textId="77777777" w:rsidTr="00DC4A4F">
        <w:trPr>
          <w:trHeight w:val="20"/>
        </w:trPr>
        <w:tc>
          <w:tcPr>
            <w:tcW w:w="469" w:type="dxa"/>
            <w:shd w:val="clear" w:color="auto" w:fill="auto"/>
            <w:noWrap/>
          </w:tcPr>
          <w:p w14:paraId="328EF2C4"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9</w:t>
            </w:r>
          </w:p>
        </w:tc>
        <w:tc>
          <w:tcPr>
            <w:tcW w:w="4214" w:type="dxa"/>
            <w:shd w:val="clear" w:color="auto" w:fill="FFFFFF"/>
          </w:tcPr>
          <w:p w14:paraId="310425F7"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 xml:space="preserve">Dämme oder Wälle gemäß Bauweisen A-D nach MTSE sowie </w:t>
            </w:r>
            <w:proofErr w:type="spellStart"/>
            <w:r w:rsidRPr="00DC4A4F">
              <w:rPr>
                <w:rFonts w:ascii="Times New Roman" w:eastAsia="Times New Roman" w:hAnsi="Times New Roman" w:cs="Times New Roman"/>
                <w:sz w:val="18"/>
                <w:szCs w:val="18"/>
                <w:lang w:eastAsia="de-DE"/>
              </w:rPr>
              <w:t>Hinterfüllung</w:t>
            </w:r>
            <w:proofErr w:type="spellEnd"/>
            <w:r w:rsidRPr="00DC4A4F">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073149A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08E2514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6D53BAB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402F271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6BFAABB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0A996A1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3A879E3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7FCE789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2EF5A21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6933E471" w14:textId="77777777" w:rsidTr="00DC4A4F">
        <w:trPr>
          <w:trHeight w:val="20"/>
        </w:trPr>
        <w:tc>
          <w:tcPr>
            <w:tcW w:w="469" w:type="dxa"/>
            <w:shd w:val="clear" w:color="auto" w:fill="auto"/>
            <w:noWrap/>
          </w:tcPr>
          <w:p w14:paraId="0A52373C"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10</w:t>
            </w:r>
          </w:p>
        </w:tc>
        <w:tc>
          <w:tcPr>
            <w:tcW w:w="4214" w:type="dxa"/>
            <w:shd w:val="clear" w:color="auto" w:fill="FFFFFF"/>
          </w:tcPr>
          <w:p w14:paraId="0F1DB711"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0204B87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0A260E1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70F7662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5E1759F9"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40E398C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7668AC4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28A73E5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33109D1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1F67B91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7D1D346E" w14:textId="77777777" w:rsidTr="00DC4A4F">
        <w:trPr>
          <w:trHeight w:val="20"/>
        </w:trPr>
        <w:tc>
          <w:tcPr>
            <w:tcW w:w="469" w:type="dxa"/>
            <w:shd w:val="clear" w:color="auto" w:fill="auto"/>
            <w:noWrap/>
          </w:tcPr>
          <w:p w14:paraId="06CFBB64"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11</w:t>
            </w:r>
          </w:p>
        </w:tc>
        <w:tc>
          <w:tcPr>
            <w:tcW w:w="4214" w:type="dxa"/>
            <w:shd w:val="clear" w:color="auto" w:fill="FFFFFF"/>
          </w:tcPr>
          <w:p w14:paraId="6A5493DD"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49B9696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690CEE9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3029880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4454030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6604196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464E53D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45F2278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75E3657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2FB991D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584C42D9" w14:textId="77777777" w:rsidTr="00DC4A4F">
        <w:trPr>
          <w:trHeight w:val="20"/>
        </w:trPr>
        <w:tc>
          <w:tcPr>
            <w:tcW w:w="469" w:type="dxa"/>
            <w:shd w:val="clear" w:color="auto" w:fill="auto"/>
            <w:noWrap/>
          </w:tcPr>
          <w:p w14:paraId="647150CD"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12</w:t>
            </w:r>
          </w:p>
        </w:tc>
        <w:tc>
          <w:tcPr>
            <w:tcW w:w="4214" w:type="dxa"/>
            <w:shd w:val="clear" w:color="auto" w:fill="FFFFFF"/>
          </w:tcPr>
          <w:p w14:paraId="6A35B797"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Deckschicht ohne Bindemittel</w:t>
            </w:r>
          </w:p>
        </w:tc>
        <w:tc>
          <w:tcPr>
            <w:tcW w:w="851" w:type="dxa"/>
            <w:noWrap/>
            <w:vAlign w:val="center"/>
          </w:tcPr>
          <w:p w14:paraId="29D1040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529386A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00A0E0C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36DAEEC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0808328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3D86196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5C88D05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07AD909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2890DBC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2A2CCA4E" w14:textId="77777777" w:rsidTr="00DC4A4F">
        <w:trPr>
          <w:trHeight w:val="20"/>
        </w:trPr>
        <w:tc>
          <w:tcPr>
            <w:tcW w:w="469" w:type="dxa"/>
            <w:shd w:val="clear" w:color="auto" w:fill="auto"/>
            <w:noWrap/>
          </w:tcPr>
          <w:p w14:paraId="00AD6BB5"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13</w:t>
            </w:r>
          </w:p>
        </w:tc>
        <w:tc>
          <w:tcPr>
            <w:tcW w:w="4214" w:type="dxa"/>
            <w:shd w:val="clear" w:color="auto" w:fill="FFFFFF"/>
          </w:tcPr>
          <w:p w14:paraId="1809AF4F"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proofErr w:type="spellStart"/>
            <w:r w:rsidRPr="00DC4A4F">
              <w:rPr>
                <w:rFonts w:ascii="Times New Roman" w:eastAsia="Times New Roman" w:hAnsi="Times New Roman" w:cs="Times New Roman"/>
                <w:sz w:val="18"/>
                <w:szCs w:val="18"/>
                <w:lang w:eastAsia="de-DE"/>
              </w:rPr>
              <w:t>ToB</w:t>
            </w:r>
            <w:proofErr w:type="spellEnd"/>
            <w:r w:rsidRPr="00DC4A4F">
              <w:rPr>
                <w:rFonts w:ascii="Times New Roman" w:eastAsia="Times New Roman" w:hAnsi="Times New Roman" w:cs="Times New Roman"/>
                <w:sz w:val="18"/>
                <w:szCs w:val="18"/>
                <w:lang w:eastAsia="de-DE"/>
              </w:rPr>
              <w:t xml:space="preserve">, </w:t>
            </w:r>
            <w:proofErr w:type="gramStart"/>
            <w:r w:rsidRPr="00DC4A4F">
              <w:rPr>
                <w:rFonts w:ascii="Times New Roman" w:eastAsia="Times New Roman" w:hAnsi="Times New Roman" w:cs="Times New Roman"/>
                <w:sz w:val="18"/>
                <w:szCs w:val="18"/>
                <w:lang w:eastAsia="de-DE"/>
              </w:rPr>
              <w:t>Baugrundverbesserung</w:t>
            </w:r>
            <w:r w:rsidRPr="00DC4A4F" w:rsidDel="00375636">
              <w:rPr>
                <w:rFonts w:ascii="Times New Roman" w:eastAsia="Times New Roman" w:hAnsi="Times New Roman" w:cs="Times New Roman"/>
                <w:sz w:val="18"/>
                <w:szCs w:val="18"/>
                <w:lang w:eastAsia="de-DE"/>
              </w:rPr>
              <w:t xml:space="preserve"> </w:t>
            </w:r>
            <w:r w:rsidRPr="00DC4A4F">
              <w:rPr>
                <w:rFonts w:ascii="Times New Roman" w:eastAsia="Times New Roman" w:hAnsi="Times New Roman" w:cs="Times New Roman"/>
                <w:sz w:val="18"/>
                <w:szCs w:val="18"/>
                <w:lang w:eastAsia="de-DE"/>
              </w:rPr>
              <w:t>,</w:t>
            </w:r>
            <w:proofErr w:type="gramEnd"/>
            <w:r w:rsidRPr="00DC4A4F">
              <w:rPr>
                <w:rFonts w:ascii="Times New Roman" w:eastAsia="Times New Roman" w:hAnsi="Times New Roman" w:cs="Times New Roman"/>
                <w:sz w:val="18"/>
                <w:szCs w:val="18"/>
                <w:lang w:eastAsia="de-DE"/>
              </w:rPr>
              <w:t xml:space="preserve"> Bodenverfestigung, Unterbau bis 1m Dicke ab Planum sowie Verfüllung von Baugruben und Leitungsgräben unter Deckschicht ohne Bindemittel</w:t>
            </w:r>
          </w:p>
        </w:tc>
        <w:tc>
          <w:tcPr>
            <w:tcW w:w="851" w:type="dxa"/>
            <w:noWrap/>
            <w:vAlign w:val="center"/>
          </w:tcPr>
          <w:p w14:paraId="4697382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3251F5F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0D55D2F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308ACCC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57DDFA7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79DE150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57D95BB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489FB7A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32560C9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3F512F38" w14:textId="77777777" w:rsidTr="00DC4A4F">
        <w:trPr>
          <w:trHeight w:val="20"/>
        </w:trPr>
        <w:tc>
          <w:tcPr>
            <w:tcW w:w="469" w:type="dxa"/>
            <w:shd w:val="clear" w:color="auto" w:fill="auto"/>
            <w:noWrap/>
          </w:tcPr>
          <w:p w14:paraId="1359CB96"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14</w:t>
            </w:r>
          </w:p>
        </w:tc>
        <w:tc>
          <w:tcPr>
            <w:tcW w:w="4214" w:type="dxa"/>
            <w:shd w:val="clear" w:color="auto" w:fill="FFFFFF"/>
          </w:tcPr>
          <w:p w14:paraId="76E3E446"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Bauweisen 13 unter Plattenbelägen</w:t>
            </w:r>
          </w:p>
        </w:tc>
        <w:tc>
          <w:tcPr>
            <w:tcW w:w="851" w:type="dxa"/>
            <w:noWrap/>
            <w:vAlign w:val="center"/>
          </w:tcPr>
          <w:p w14:paraId="1FB946C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21DCB86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2B9C04A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1B6BCA2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1136C5D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7D51494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3275507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599D6C4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0750BC3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5692316B" w14:textId="77777777" w:rsidTr="00DC4A4F">
        <w:trPr>
          <w:trHeight w:val="20"/>
        </w:trPr>
        <w:tc>
          <w:tcPr>
            <w:tcW w:w="469" w:type="dxa"/>
            <w:shd w:val="clear" w:color="auto" w:fill="auto"/>
            <w:noWrap/>
          </w:tcPr>
          <w:p w14:paraId="288D5BC0"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15</w:t>
            </w:r>
          </w:p>
        </w:tc>
        <w:tc>
          <w:tcPr>
            <w:tcW w:w="4214" w:type="dxa"/>
            <w:shd w:val="clear" w:color="auto" w:fill="FFFFFF"/>
          </w:tcPr>
          <w:p w14:paraId="52059783"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3B92505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7721B61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63541E1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2D137B5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5F6EFB9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3FB7956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00EC0C7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7AA77FA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06D939F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1BAD2FC4" w14:textId="77777777" w:rsidTr="00DC4A4F">
        <w:trPr>
          <w:trHeight w:val="20"/>
        </w:trPr>
        <w:tc>
          <w:tcPr>
            <w:tcW w:w="469" w:type="dxa"/>
            <w:shd w:val="clear" w:color="auto" w:fill="auto"/>
            <w:noWrap/>
          </w:tcPr>
          <w:p w14:paraId="417EAA8A"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16</w:t>
            </w:r>
          </w:p>
        </w:tc>
        <w:tc>
          <w:tcPr>
            <w:tcW w:w="4214" w:type="dxa"/>
            <w:shd w:val="clear" w:color="auto" w:fill="FFFFFF"/>
          </w:tcPr>
          <w:p w14:paraId="336153B7"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proofErr w:type="spellStart"/>
            <w:r w:rsidRPr="00DC4A4F">
              <w:rPr>
                <w:rFonts w:ascii="Times New Roman" w:eastAsia="Times New Roman" w:hAnsi="Times New Roman" w:cs="Times New Roman"/>
                <w:sz w:val="18"/>
                <w:szCs w:val="18"/>
                <w:lang w:eastAsia="de-DE"/>
              </w:rPr>
              <w:t>Hinterfüllung</w:t>
            </w:r>
            <w:proofErr w:type="spellEnd"/>
            <w:r w:rsidRPr="00DC4A4F">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DC4A4F">
              <w:rPr>
                <w:rFonts w:ascii="Times New Roman" w:eastAsia="Times New Roman" w:hAnsi="Times New Roman" w:cs="Times New Roman"/>
                <w:sz w:val="18"/>
                <w:szCs w:val="18"/>
                <w:lang w:eastAsia="de-DE"/>
              </w:rPr>
              <w:t>Hinterfüllung</w:t>
            </w:r>
            <w:proofErr w:type="spellEnd"/>
            <w:r w:rsidRPr="00DC4A4F">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37D5565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0E5D3C2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29D9EFD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28D23FF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24EC465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175425A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1234E5D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126213B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579C210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5AF982CC" w14:textId="77777777" w:rsidTr="00DC4A4F">
        <w:trPr>
          <w:trHeight w:val="208"/>
        </w:trPr>
        <w:tc>
          <w:tcPr>
            <w:tcW w:w="469" w:type="dxa"/>
            <w:shd w:val="clear" w:color="auto" w:fill="auto"/>
            <w:noWrap/>
          </w:tcPr>
          <w:p w14:paraId="5E0E3A95"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17</w:t>
            </w:r>
          </w:p>
        </w:tc>
        <w:tc>
          <w:tcPr>
            <w:tcW w:w="4214" w:type="dxa"/>
            <w:shd w:val="clear" w:color="auto" w:fill="FFFFFF"/>
          </w:tcPr>
          <w:p w14:paraId="62EA51CD"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5250FFF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0879509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3114CBB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05D789F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38D5815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71CF6C39"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3D77B87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34EBE36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5880A9A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bl>
    <w:p w14:paraId="311BB41C" w14:textId="77777777" w:rsidR="00F43C5E" w:rsidRDefault="00F43C5E" w:rsidP="00F43C5E">
      <w:pPr>
        <w:rPr>
          <w:lang w:eastAsia="de-DE"/>
        </w:rPr>
      </w:pPr>
    </w:p>
    <w:p w14:paraId="47576D01" w14:textId="3145657A" w:rsidR="00DC4A4F" w:rsidRPr="008D0377" w:rsidRDefault="00F43C5E" w:rsidP="00DC4A4F">
      <w:pPr>
        <w:pStyle w:val="berschrift1"/>
      </w:pPr>
      <w:r>
        <w:rPr>
          <w:lang w:eastAsia="de-DE"/>
        </w:rPr>
        <w:br w:type="page"/>
      </w:r>
      <w:bookmarkEnd w:id="41"/>
      <w:r w:rsidRPr="008D0377">
        <w:lastRenderedPageBreak/>
        <w:t>Tabelle 6: Bodenmaterial der Klasse F1(BM-F1), Baggergut der Klasse F1 (BG-F1)</w:t>
      </w:r>
    </w:p>
    <w:p w14:paraId="7FFD87AA" w14:textId="77777777" w:rsidR="000D49B1" w:rsidRPr="000D49B1" w:rsidRDefault="000D49B1" w:rsidP="000D49B1">
      <w:pPr>
        <w:pStyle w:val="Text"/>
      </w:pPr>
    </w:p>
    <w:tbl>
      <w:tblPr>
        <w:tblW w:w="11002"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567"/>
        <w:gridCol w:w="715"/>
        <w:gridCol w:w="500"/>
        <w:gridCol w:w="715"/>
        <w:gridCol w:w="542"/>
        <w:gridCol w:w="715"/>
      </w:tblGrid>
      <w:tr w:rsidR="00DC4A4F" w:rsidRPr="00DC4A4F" w14:paraId="137C704A" w14:textId="77777777" w:rsidTr="00DC4A4F">
        <w:trPr>
          <w:trHeight w:val="330"/>
        </w:trPr>
        <w:tc>
          <w:tcPr>
            <w:tcW w:w="11002" w:type="dxa"/>
            <w:gridSpan w:val="11"/>
            <w:noWrap/>
            <w:vAlign w:val="bottom"/>
          </w:tcPr>
          <w:p w14:paraId="3C4A8FD3" w14:textId="77777777" w:rsidR="00DC4A4F" w:rsidRPr="00DC4A4F" w:rsidRDefault="00DC4A4F" w:rsidP="00DC4A4F">
            <w:pPr>
              <w:spacing w:before="0" w:after="0"/>
              <w:jc w:val="center"/>
              <w:rPr>
                <w:rFonts w:ascii="Times New Roman" w:eastAsia="Times New Roman" w:hAnsi="Times New Roman" w:cs="Times New Roman"/>
                <w:b/>
                <w:bCs/>
                <w:sz w:val="24"/>
                <w:szCs w:val="24"/>
                <w:lang w:eastAsia="de-DE"/>
              </w:rPr>
            </w:pPr>
            <w:r w:rsidRPr="00DC4A4F">
              <w:rPr>
                <w:rFonts w:ascii="Times New Roman" w:eastAsia="Times New Roman" w:hAnsi="Times New Roman" w:cs="Times New Roman"/>
                <w:b/>
                <w:sz w:val="24"/>
                <w:szCs w:val="24"/>
                <w:lang w:eastAsia="de-DE"/>
              </w:rPr>
              <w:br w:type="page"/>
            </w:r>
            <w:r w:rsidRPr="00DC4A4F">
              <w:rPr>
                <w:rFonts w:ascii="Times New Roman" w:eastAsia="Times New Roman" w:hAnsi="Times New Roman" w:cs="Times New Roman"/>
                <w:b/>
                <w:sz w:val="24"/>
                <w:szCs w:val="24"/>
                <w:lang w:eastAsia="de-DE"/>
              </w:rPr>
              <w:br w:type="page"/>
            </w:r>
            <w:r w:rsidRPr="00DC4A4F">
              <w:rPr>
                <w:rFonts w:ascii="Times New Roman" w:eastAsia="Times New Roman" w:hAnsi="Times New Roman" w:cs="Times New Roman"/>
                <w:b/>
                <w:sz w:val="24"/>
                <w:szCs w:val="24"/>
                <w:lang w:eastAsia="de-DE"/>
              </w:rPr>
              <w:br w:type="page"/>
            </w:r>
            <w:r w:rsidRPr="00DC4A4F">
              <w:rPr>
                <w:rFonts w:ascii="Times New Roman" w:eastAsia="Times New Roman" w:hAnsi="Times New Roman" w:cs="Times New Roman"/>
                <w:b/>
                <w:sz w:val="24"/>
                <w:szCs w:val="24"/>
                <w:lang w:eastAsia="de-DE"/>
              </w:rPr>
              <w:br w:type="page"/>
              <w:t>Bodenmaterial der Klasse F1 (</w:t>
            </w:r>
            <w:r w:rsidRPr="00DC4A4F">
              <w:rPr>
                <w:rFonts w:ascii="Times New Roman" w:eastAsia="Times New Roman" w:hAnsi="Times New Roman" w:cs="Times New Roman"/>
                <w:b/>
                <w:bCs/>
                <w:sz w:val="24"/>
                <w:szCs w:val="24"/>
                <w:lang w:eastAsia="de-DE"/>
              </w:rPr>
              <w:t>BM-F1), Baggergut der Klasse F1 (BG-F1)</w:t>
            </w:r>
          </w:p>
        </w:tc>
      </w:tr>
      <w:tr w:rsidR="00DC4A4F" w:rsidRPr="00DC4A4F" w14:paraId="3F83D20A" w14:textId="77777777" w:rsidTr="00DC4A4F">
        <w:trPr>
          <w:trHeight w:val="20"/>
        </w:trPr>
        <w:tc>
          <w:tcPr>
            <w:tcW w:w="4683" w:type="dxa"/>
            <w:gridSpan w:val="2"/>
            <w:vMerge w:val="restart"/>
            <w:shd w:val="clear" w:color="auto" w:fill="auto"/>
            <w:noWrap/>
          </w:tcPr>
          <w:p w14:paraId="27EC8A2C" w14:textId="77777777" w:rsidR="00DC4A4F" w:rsidRPr="00DC4A4F" w:rsidRDefault="00DC4A4F" w:rsidP="00DC4A4F">
            <w:pPr>
              <w:spacing w:before="0" w:after="0"/>
              <w:jc w:val="center"/>
              <w:rPr>
                <w:rFonts w:ascii="Times New Roman" w:eastAsia="Times New Roman" w:hAnsi="Times New Roman" w:cs="Times New Roman"/>
                <w:b/>
                <w:sz w:val="24"/>
                <w:szCs w:val="24"/>
                <w:lang w:eastAsia="de-DE"/>
              </w:rPr>
            </w:pPr>
            <w:r w:rsidRPr="00DC4A4F">
              <w:rPr>
                <w:rFonts w:ascii="Times New Roman" w:eastAsia="Times New Roman" w:hAnsi="Times New Roman" w:cs="Times New Roman"/>
                <w:b/>
                <w:sz w:val="24"/>
                <w:szCs w:val="24"/>
                <w:lang w:eastAsia="de-DE"/>
              </w:rPr>
              <w:t>Einbauweise</w:t>
            </w:r>
          </w:p>
        </w:tc>
        <w:tc>
          <w:tcPr>
            <w:tcW w:w="6319" w:type="dxa"/>
            <w:gridSpan w:val="9"/>
            <w:shd w:val="clear" w:color="auto" w:fill="auto"/>
            <w:noWrap/>
            <w:vAlign w:val="center"/>
          </w:tcPr>
          <w:p w14:paraId="387D71CF" w14:textId="77777777" w:rsidR="00DC4A4F" w:rsidRPr="00DC4A4F" w:rsidRDefault="00DC4A4F" w:rsidP="00DC4A4F">
            <w:pPr>
              <w:spacing w:before="0" w:after="0"/>
              <w:jc w:val="center"/>
              <w:rPr>
                <w:rFonts w:ascii="Times New Roman" w:eastAsia="Times New Roman" w:hAnsi="Times New Roman" w:cs="Times New Roman"/>
                <w:b/>
                <w:sz w:val="24"/>
                <w:szCs w:val="24"/>
                <w:lang w:eastAsia="de-DE"/>
              </w:rPr>
            </w:pPr>
            <w:r w:rsidRPr="00DC4A4F">
              <w:rPr>
                <w:rFonts w:ascii="Times New Roman" w:eastAsia="Times New Roman" w:hAnsi="Times New Roman" w:cs="Times New Roman"/>
                <w:b/>
                <w:sz w:val="24"/>
                <w:szCs w:val="24"/>
                <w:lang w:eastAsia="de-DE"/>
              </w:rPr>
              <w:t>Eigenschaft der Grundwasserdeckschicht</w:t>
            </w:r>
          </w:p>
        </w:tc>
      </w:tr>
      <w:tr w:rsidR="00DC4A4F" w:rsidRPr="00DC4A4F" w14:paraId="41D52984" w14:textId="77777777" w:rsidTr="00DC4A4F">
        <w:trPr>
          <w:trHeight w:val="20"/>
        </w:trPr>
        <w:tc>
          <w:tcPr>
            <w:tcW w:w="4683" w:type="dxa"/>
            <w:gridSpan w:val="2"/>
            <w:vMerge/>
            <w:shd w:val="clear" w:color="auto" w:fill="auto"/>
            <w:noWrap/>
            <w:vAlign w:val="center"/>
          </w:tcPr>
          <w:p w14:paraId="3F1D9A2E" w14:textId="77777777" w:rsidR="00DC4A4F" w:rsidRPr="00DC4A4F" w:rsidRDefault="00DC4A4F" w:rsidP="00DC4A4F">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6DB0BAAA"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außerhalb von</w:t>
            </w:r>
          </w:p>
          <w:p w14:paraId="2FF5F170"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Wasserschutzbereichen</w:t>
            </w:r>
          </w:p>
        </w:tc>
        <w:tc>
          <w:tcPr>
            <w:tcW w:w="3619" w:type="dxa"/>
            <w:gridSpan w:val="6"/>
            <w:shd w:val="clear" w:color="auto" w:fill="auto"/>
            <w:noWrap/>
            <w:vAlign w:val="center"/>
          </w:tcPr>
          <w:p w14:paraId="093C1BE6"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innerhalb von</w:t>
            </w:r>
          </w:p>
          <w:p w14:paraId="62070199"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Wasserschutzbereichen</w:t>
            </w:r>
          </w:p>
        </w:tc>
      </w:tr>
      <w:tr w:rsidR="00DC4A4F" w:rsidRPr="00DC4A4F" w14:paraId="3EFFC2A1" w14:textId="77777777" w:rsidTr="00DC4A4F">
        <w:trPr>
          <w:trHeight w:val="20"/>
        </w:trPr>
        <w:tc>
          <w:tcPr>
            <w:tcW w:w="4683" w:type="dxa"/>
            <w:gridSpan w:val="2"/>
            <w:vMerge/>
            <w:shd w:val="clear" w:color="auto" w:fill="auto"/>
            <w:noWrap/>
            <w:vAlign w:val="center"/>
          </w:tcPr>
          <w:p w14:paraId="29A68C1D"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755A023C"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proofErr w:type="spellStart"/>
            <w:r w:rsidRPr="00DC4A4F">
              <w:rPr>
                <w:rFonts w:ascii="Times New Roman" w:eastAsia="Times New Roman" w:hAnsi="Times New Roman" w:cs="Times New Roman"/>
                <w:sz w:val="20"/>
                <w:szCs w:val="20"/>
                <w:lang w:eastAsia="de-DE"/>
              </w:rPr>
              <w:t>un</w:t>
            </w:r>
            <w:proofErr w:type="spellEnd"/>
            <w:r w:rsidRPr="00DC4A4F">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19149F80"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günstig</w:t>
            </w:r>
          </w:p>
        </w:tc>
        <w:tc>
          <w:tcPr>
            <w:tcW w:w="3619" w:type="dxa"/>
            <w:gridSpan w:val="6"/>
            <w:shd w:val="clear" w:color="auto" w:fill="auto"/>
            <w:noWrap/>
            <w:vAlign w:val="center"/>
          </w:tcPr>
          <w:p w14:paraId="4737B3F6"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günstig</w:t>
            </w:r>
          </w:p>
        </w:tc>
      </w:tr>
      <w:tr w:rsidR="00DC4A4F" w:rsidRPr="00DC4A4F" w14:paraId="3D099B30" w14:textId="77777777" w:rsidTr="00DC4A4F">
        <w:trPr>
          <w:trHeight w:val="20"/>
        </w:trPr>
        <w:tc>
          <w:tcPr>
            <w:tcW w:w="4683" w:type="dxa"/>
            <w:gridSpan w:val="2"/>
            <w:vMerge/>
            <w:shd w:val="clear" w:color="auto" w:fill="auto"/>
            <w:noWrap/>
            <w:vAlign w:val="center"/>
          </w:tcPr>
          <w:p w14:paraId="74DA614B"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78D36D08"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620AD699"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54D78DD0" w14:textId="6A6DAF40"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Lehm,</w:t>
            </w:r>
          </w:p>
          <w:p w14:paraId="6C68436B" w14:textId="0CE9230A"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Schluff,</w:t>
            </w:r>
          </w:p>
          <w:p w14:paraId="76EF5E6C"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Ton</w:t>
            </w:r>
          </w:p>
        </w:tc>
        <w:tc>
          <w:tcPr>
            <w:tcW w:w="1237" w:type="dxa"/>
            <w:gridSpan w:val="2"/>
            <w:shd w:val="clear" w:color="auto" w:fill="auto"/>
            <w:noWrap/>
            <w:vAlign w:val="center"/>
          </w:tcPr>
          <w:p w14:paraId="58064D7E"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04D7C926"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WSG III B</w:t>
            </w:r>
          </w:p>
        </w:tc>
        <w:tc>
          <w:tcPr>
            <w:tcW w:w="1212" w:type="dxa"/>
            <w:gridSpan w:val="2"/>
            <w:shd w:val="clear" w:color="auto" w:fill="auto"/>
            <w:noWrap/>
            <w:vAlign w:val="center"/>
          </w:tcPr>
          <w:p w14:paraId="654C5945"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Wasservor-</w:t>
            </w:r>
          </w:p>
        </w:tc>
      </w:tr>
      <w:tr w:rsidR="00DC4A4F" w:rsidRPr="00DC4A4F" w14:paraId="06BAA9EB" w14:textId="77777777" w:rsidTr="00DC4A4F">
        <w:trPr>
          <w:trHeight w:val="80"/>
        </w:trPr>
        <w:tc>
          <w:tcPr>
            <w:tcW w:w="4683" w:type="dxa"/>
            <w:gridSpan w:val="2"/>
            <w:vMerge/>
            <w:shd w:val="clear" w:color="auto" w:fill="auto"/>
            <w:noWrap/>
            <w:vAlign w:val="center"/>
          </w:tcPr>
          <w:p w14:paraId="3493423A"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106070FB"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5EDB12B7"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1569E5E7"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1237" w:type="dxa"/>
            <w:gridSpan w:val="2"/>
            <w:shd w:val="clear" w:color="auto" w:fill="auto"/>
            <w:noWrap/>
            <w:vAlign w:val="center"/>
          </w:tcPr>
          <w:p w14:paraId="1AA58638"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5B1AC7C4"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HSG IV</w:t>
            </w:r>
          </w:p>
        </w:tc>
        <w:tc>
          <w:tcPr>
            <w:tcW w:w="1212" w:type="dxa"/>
            <w:gridSpan w:val="2"/>
            <w:shd w:val="clear" w:color="auto" w:fill="auto"/>
            <w:noWrap/>
            <w:vAlign w:val="center"/>
          </w:tcPr>
          <w:p w14:paraId="2D6E979A"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ranggebiete</w:t>
            </w:r>
          </w:p>
        </w:tc>
      </w:tr>
      <w:tr w:rsidR="00DC4A4F" w:rsidRPr="00DC4A4F" w14:paraId="1E54E4E2" w14:textId="77777777" w:rsidTr="00DC4A4F">
        <w:trPr>
          <w:trHeight w:val="80"/>
        </w:trPr>
        <w:tc>
          <w:tcPr>
            <w:tcW w:w="4683" w:type="dxa"/>
            <w:gridSpan w:val="2"/>
            <w:vMerge/>
            <w:shd w:val="clear" w:color="auto" w:fill="auto"/>
            <w:noWrap/>
            <w:vAlign w:val="center"/>
          </w:tcPr>
          <w:p w14:paraId="42154DF9"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465D2CBD"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7F8A1BFC"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70607DC4"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567" w:type="dxa"/>
            <w:shd w:val="clear" w:color="auto" w:fill="auto"/>
            <w:noWrap/>
            <w:vAlign w:val="center"/>
          </w:tcPr>
          <w:p w14:paraId="40C5C5B5"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Sand</w:t>
            </w:r>
          </w:p>
        </w:tc>
        <w:tc>
          <w:tcPr>
            <w:tcW w:w="670" w:type="dxa"/>
            <w:shd w:val="clear" w:color="auto" w:fill="auto"/>
            <w:vAlign w:val="center"/>
          </w:tcPr>
          <w:p w14:paraId="7E3E942E" w14:textId="66F1E29D"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Lehm,</w:t>
            </w:r>
          </w:p>
          <w:p w14:paraId="41C7AA56" w14:textId="688F92C6"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Schluff,</w:t>
            </w:r>
          </w:p>
          <w:p w14:paraId="23DE8860"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2B228A44"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Sand</w:t>
            </w:r>
          </w:p>
        </w:tc>
        <w:tc>
          <w:tcPr>
            <w:tcW w:w="670" w:type="dxa"/>
            <w:shd w:val="clear" w:color="auto" w:fill="auto"/>
            <w:vAlign w:val="center"/>
          </w:tcPr>
          <w:p w14:paraId="671F1FCD" w14:textId="66FEABCA"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Lehm,</w:t>
            </w:r>
          </w:p>
          <w:p w14:paraId="3013F828" w14:textId="531159DF"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Schluff,</w:t>
            </w:r>
          </w:p>
          <w:p w14:paraId="0923D39A"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3E796FD8"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Sand</w:t>
            </w:r>
          </w:p>
        </w:tc>
        <w:tc>
          <w:tcPr>
            <w:tcW w:w="670" w:type="dxa"/>
            <w:shd w:val="clear" w:color="auto" w:fill="auto"/>
            <w:vAlign w:val="center"/>
          </w:tcPr>
          <w:p w14:paraId="53C49473" w14:textId="5BB192A8"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Lehm,</w:t>
            </w:r>
          </w:p>
          <w:p w14:paraId="377FD798" w14:textId="46541E48"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Schluff,</w:t>
            </w:r>
          </w:p>
          <w:p w14:paraId="3E7EB790"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Ton</w:t>
            </w:r>
          </w:p>
        </w:tc>
      </w:tr>
      <w:tr w:rsidR="00DC4A4F" w:rsidRPr="00DC4A4F" w14:paraId="3B1975E4" w14:textId="77777777" w:rsidTr="00DC4A4F">
        <w:trPr>
          <w:trHeight w:val="111"/>
        </w:trPr>
        <w:tc>
          <w:tcPr>
            <w:tcW w:w="4683" w:type="dxa"/>
            <w:gridSpan w:val="2"/>
            <w:vMerge/>
            <w:shd w:val="clear" w:color="auto" w:fill="auto"/>
            <w:noWrap/>
            <w:vAlign w:val="center"/>
          </w:tcPr>
          <w:p w14:paraId="39DD7636"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000CD3BB"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1</w:t>
            </w:r>
          </w:p>
        </w:tc>
        <w:tc>
          <w:tcPr>
            <w:tcW w:w="664" w:type="dxa"/>
            <w:shd w:val="clear" w:color="auto" w:fill="auto"/>
            <w:noWrap/>
            <w:vAlign w:val="center"/>
          </w:tcPr>
          <w:p w14:paraId="072365CF"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2</w:t>
            </w:r>
          </w:p>
        </w:tc>
        <w:tc>
          <w:tcPr>
            <w:tcW w:w="1185" w:type="dxa"/>
            <w:shd w:val="clear" w:color="auto" w:fill="auto"/>
            <w:noWrap/>
            <w:vAlign w:val="center"/>
          </w:tcPr>
          <w:p w14:paraId="74056481"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3</w:t>
            </w:r>
          </w:p>
        </w:tc>
        <w:tc>
          <w:tcPr>
            <w:tcW w:w="1237" w:type="dxa"/>
            <w:gridSpan w:val="2"/>
            <w:shd w:val="clear" w:color="auto" w:fill="auto"/>
            <w:noWrap/>
            <w:vAlign w:val="center"/>
          </w:tcPr>
          <w:p w14:paraId="0DED9A1A"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6F3D94CF"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5</w:t>
            </w:r>
          </w:p>
        </w:tc>
        <w:tc>
          <w:tcPr>
            <w:tcW w:w="1212" w:type="dxa"/>
            <w:gridSpan w:val="2"/>
            <w:shd w:val="clear" w:color="auto" w:fill="auto"/>
            <w:noWrap/>
            <w:vAlign w:val="center"/>
          </w:tcPr>
          <w:p w14:paraId="2882C056"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6</w:t>
            </w:r>
          </w:p>
        </w:tc>
      </w:tr>
      <w:tr w:rsidR="00DC4A4F" w:rsidRPr="00DC4A4F" w14:paraId="01F7CC37" w14:textId="77777777" w:rsidTr="00DC4A4F">
        <w:trPr>
          <w:trHeight w:val="20"/>
        </w:trPr>
        <w:tc>
          <w:tcPr>
            <w:tcW w:w="469" w:type="dxa"/>
            <w:shd w:val="clear" w:color="auto" w:fill="auto"/>
            <w:noWrap/>
          </w:tcPr>
          <w:p w14:paraId="5ACC6CB7"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w:t>
            </w:r>
          </w:p>
        </w:tc>
        <w:tc>
          <w:tcPr>
            <w:tcW w:w="4214" w:type="dxa"/>
            <w:shd w:val="clear" w:color="auto" w:fill="FFFFFF"/>
          </w:tcPr>
          <w:p w14:paraId="6F738DDB"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3F16018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4A461C6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7EBD166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shd w:val="clear" w:color="auto" w:fill="auto"/>
            <w:noWrap/>
            <w:vAlign w:val="center"/>
          </w:tcPr>
          <w:p w14:paraId="3712407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5240129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shd w:val="clear" w:color="auto" w:fill="auto"/>
            <w:noWrap/>
            <w:vAlign w:val="center"/>
          </w:tcPr>
          <w:p w14:paraId="7F15D9E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04559C2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6355772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60C85F2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317A8E1A" w14:textId="77777777" w:rsidTr="00DC4A4F">
        <w:trPr>
          <w:trHeight w:val="20"/>
        </w:trPr>
        <w:tc>
          <w:tcPr>
            <w:tcW w:w="469" w:type="dxa"/>
            <w:shd w:val="clear" w:color="auto" w:fill="auto"/>
            <w:noWrap/>
          </w:tcPr>
          <w:p w14:paraId="1A621A6C"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2</w:t>
            </w:r>
          </w:p>
        </w:tc>
        <w:tc>
          <w:tcPr>
            <w:tcW w:w="4214" w:type="dxa"/>
            <w:shd w:val="clear" w:color="auto" w:fill="FFFFFF"/>
          </w:tcPr>
          <w:p w14:paraId="409C5CCE"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49A124D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460E924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380DE57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0829BB6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440689A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49DC7AF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2A66AD7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4018EC7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173398D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215C9DE5" w14:textId="77777777" w:rsidTr="00DC4A4F">
        <w:trPr>
          <w:trHeight w:val="20"/>
        </w:trPr>
        <w:tc>
          <w:tcPr>
            <w:tcW w:w="469" w:type="dxa"/>
            <w:shd w:val="clear" w:color="auto" w:fill="auto"/>
            <w:noWrap/>
          </w:tcPr>
          <w:p w14:paraId="45AA3ECE"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3</w:t>
            </w:r>
          </w:p>
        </w:tc>
        <w:tc>
          <w:tcPr>
            <w:tcW w:w="4214" w:type="dxa"/>
            <w:shd w:val="clear" w:color="auto" w:fill="FFFFFF"/>
          </w:tcPr>
          <w:p w14:paraId="2F3849FE"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1D7B50F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1EDEF13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69D7EB9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1B761DA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1D5C7E0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005C0E7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66A3B3F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313CB2B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00A0515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41FB68AB" w14:textId="77777777" w:rsidTr="00DC4A4F">
        <w:trPr>
          <w:trHeight w:val="20"/>
        </w:trPr>
        <w:tc>
          <w:tcPr>
            <w:tcW w:w="469" w:type="dxa"/>
            <w:shd w:val="clear" w:color="auto" w:fill="auto"/>
            <w:noWrap/>
          </w:tcPr>
          <w:p w14:paraId="79220B44"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4</w:t>
            </w:r>
          </w:p>
        </w:tc>
        <w:tc>
          <w:tcPr>
            <w:tcW w:w="4214" w:type="dxa"/>
            <w:shd w:val="clear" w:color="auto" w:fill="FFFFFF"/>
          </w:tcPr>
          <w:p w14:paraId="2A173A6F"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582986D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4C25FF9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68CBA49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67751E8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1321D2D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13A1CD0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41447B3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7B379A6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1F2AA4A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0B3FC930" w14:textId="77777777" w:rsidTr="00DC4A4F">
        <w:trPr>
          <w:trHeight w:val="20"/>
        </w:trPr>
        <w:tc>
          <w:tcPr>
            <w:tcW w:w="469" w:type="dxa"/>
            <w:shd w:val="clear" w:color="auto" w:fill="auto"/>
            <w:noWrap/>
          </w:tcPr>
          <w:p w14:paraId="64EB4554"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5</w:t>
            </w:r>
          </w:p>
        </w:tc>
        <w:tc>
          <w:tcPr>
            <w:tcW w:w="4214" w:type="dxa"/>
            <w:shd w:val="clear" w:color="auto" w:fill="FFFFFF"/>
          </w:tcPr>
          <w:p w14:paraId="30CFA638"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2928921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1479CE8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1FF4FE2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14C6708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1BD82039"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4D58E62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66813509"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05DC8B3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78D4800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0B71E5BC" w14:textId="77777777" w:rsidTr="00DC4A4F">
        <w:trPr>
          <w:trHeight w:val="20"/>
        </w:trPr>
        <w:tc>
          <w:tcPr>
            <w:tcW w:w="469" w:type="dxa"/>
            <w:shd w:val="clear" w:color="auto" w:fill="auto"/>
            <w:noWrap/>
          </w:tcPr>
          <w:p w14:paraId="2915DEAD"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6</w:t>
            </w:r>
          </w:p>
        </w:tc>
        <w:tc>
          <w:tcPr>
            <w:tcW w:w="4214" w:type="dxa"/>
            <w:shd w:val="clear" w:color="auto" w:fill="FFFFFF"/>
          </w:tcPr>
          <w:p w14:paraId="470C5B14"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400EEC0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17809EC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3C573B6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798E26A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5D6E68E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6FBC413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241E8AC9"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42BF16A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37D542D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0C3FF2DE" w14:textId="77777777" w:rsidTr="00DC4A4F">
        <w:trPr>
          <w:trHeight w:val="20"/>
        </w:trPr>
        <w:tc>
          <w:tcPr>
            <w:tcW w:w="469" w:type="dxa"/>
            <w:shd w:val="clear" w:color="auto" w:fill="auto"/>
            <w:noWrap/>
          </w:tcPr>
          <w:p w14:paraId="2B87168B"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7</w:t>
            </w:r>
          </w:p>
        </w:tc>
        <w:tc>
          <w:tcPr>
            <w:tcW w:w="4214" w:type="dxa"/>
            <w:shd w:val="clear" w:color="auto" w:fill="FFFFFF"/>
          </w:tcPr>
          <w:p w14:paraId="7878A3A4"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Schottertragschicht (</w:t>
            </w:r>
            <w:proofErr w:type="spellStart"/>
            <w:r w:rsidRPr="00DC4A4F">
              <w:rPr>
                <w:rFonts w:ascii="Times New Roman" w:eastAsia="Times New Roman" w:hAnsi="Times New Roman" w:cs="Times New Roman"/>
                <w:sz w:val="18"/>
                <w:szCs w:val="18"/>
                <w:lang w:eastAsia="de-DE"/>
              </w:rPr>
              <w:t>ToB</w:t>
            </w:r>
            <w:proofErr w:type="spellEnd"/>
            <w:r w:rsidRPr="00DC4A4F">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472ABFE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4E115F3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0B7F318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299AD7E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3458F7E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542A597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77B7053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434F164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4C163D7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590DDD75" w14:textId="77777777" w:rsidTr="00DC4A4F">
        <w:trPr>
          <w:trHeight w:val="20"/>
        </w:trPr>
        <w:tc>
          <w:tcPr>
            <w:tcW w:w="469" w:type="dxa"/>
            <w:shd w:val="clear" w:color="auto" w:fill="auto"/>
            <w:noWrap/>
          </w:tcPr>
          <w:p w14:paraId="0C54E7D2"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8</w:t>
            </w:r>
          </w:p>
        </w:tc>
        <w:tc>
          <w:tcPr>
            <w:tcW w:w="4214" w:type="dxa"/>
            <w:shd w:val="clear" w:color="auto" w:fill="FFFFFF"/>
          </w:tcPr>
          <w:p w14:paraId="304E2D78"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Frostschutzschicht (</w:t>
            </w:r>
            <w:proofErr w:type="spellStart"/>
            <w:r w:rsidRPr="00DC4A4F">
              <w:rPr>
                <w:rFonts w:ascii="Times New Roman" w:eastAsia="Times New Roman" w:hAnsi="Times New Roman" w:cs="Times New Roman"/>
                <w:sz w:val="18"/>
                <w:szCs w:val="18"/>
                <w:lang w:eastAsia="de-DE"/>
              </w:rPr>
              <w:t>ToB</w:t>
            </w:r>
            <w:proofErr w:type="spellEnd"/>
            <w:r w:rsidRPr="00DC4A4F">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423327B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3F8675A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245BBAD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6E1CA98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5CA0291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0755F04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06EF130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1CBADC5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47A326A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12C51761" w14:textId="77777777" w:rsidTr="00DC4A4F">
        <w:trPr>
          <w:trHeight w:val="20"/>
        </w:trPr>
        <w:tc>
          <w:tcPr>
            <w:tcW w:w="469" w:type="dxa"/>
            <w:shd w:val="clear" w:color="auto" w:fill="auto"/>
            <w:noWrap/>
          </w:tcPr>
          <w:p w14:paraId="03F5ABB9"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9</w:t>
            </w:r>
          </w:p>
        </w:tc>
        <w:tc>
          <w:tcPr>
            <w:tcW w:w="4214" w:type="dxa"/>
            <w:shd w:val="clear" w:color="auto" w:fill="FFFFFF"/>
          </w:tcPr>
          <w:p w14:paraId="02C97FFF"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 xml:space="preserve">Dämme oder Wälle gemäß Bauweisen A-D nach MTSE sowie </w:t>
            </w:r>
            <w:proofErr w:type="spellStart"/>
            <w:r w:rsidRPr="00DC4A4F">
              <w:rPr>
                <w:rFonts w:ascii="Times New Roman" w:eastAsia="Times New Roman" w:hAnsi="Times New Roman" w:cs="Times New Roman"/>
                <w:sz w:val="18"/>
                <w:szCs w:val="18"/>
                <w:lang w:eastAsia="de-DE"/>
              </w:rPr>
              <w:t>Hinterfüllung</w:t>
            </w:r>
            <w:proofErr w:type="spellEnd"/>
            <w:r w:rsidRPr="00DC4A4F">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07401E6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41DBE55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2BF9E56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2CE1A04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66CF1FD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330600C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0857D10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2BFB602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65A5554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21B74528" w14:textId="77777777" w:rsidTr="00DC4A4F">
        <w:trPr>
          <w:trHeight w:val="20"/>
        </w:trPr>
        <w:tc>
          <w:tcPr>
            <w:tcW w:w="469" w:type="dxa"/>
            <w:shd w:val="clear" w:color="auto" w:fill="auto"/>
            <w:noWrap/>
          </w:tcPr>
          <w:p w14:paraId="2E1E9984"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10</w:t>
            </w:r>
          </w:p>
        </w:tc>
        <w:tc>
          <w:tcPr>
            <w:tcW w:w="4214" w:type="dxa"/>
            <w:shd w:val="clear" w:color="auto" w:fill="FFFFFF"/>
          </w:tcPr>
          <w:p w14:paraId="66F4160C"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3CFEB3E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1249AF0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2FCCFCF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6611132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38198CD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473C4E9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6F9F21A9"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46DB3C7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63AA923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212688B9" w14:textId="77777777" w:rsidTr="00DC4A4F">
        <w:trPr>
          <w:trHeight w:val="20"/>
        </w:trPr>
        <w:tc>
          <w:tcPr>
            <w:tcW w:w="469" w:type="dxa"/>
            <w:shd w:val="clear" w:color="auto" w:fill="auto"/>
            <w:noWrap/>
          </w:tcPr>
          <w:p w14:paraId="0EE4E3D4"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11</w:t>
            </w:r>
          </w:p>
        </w:tc>
        <w:tc>
          <w:tcPr>
            <w:tcW w:w="4214" w:type="dxa"/>
            <w:shd w:val="clear" w:color="auto" w:fill="FFFFFF"/>
          </w:tcPr>
          <w:p w14:paraId="7E04FCC0"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20614F8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5035D38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3C00ACD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00F2D8C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7F72C74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71547E4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517C92A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3312E11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76511F3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5ED30BA8" w14:textId="77777777" w:rsidTr="00DC4A4F">
        <w:trPr>
          <w:trHeight w:val="20"/>
        </w:trPr>
        <w:tc>
          <w:tcPr>
            <w:tcW w:w="469" w:type="dxa"/>
            <w:shd w:val="clear" w:color="auto" w:fill="auto"/>
            <w:noWrap/>
          </w:tcPr>
          <w:p w14:paraId="5E57E6AA"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12</w:t>
            </w:r>
          </w:p>
        </w:tc>
        <w:tc>
          <w:tcPr>
            <w:tcW w:w="4214" w:type="dxa"/>
            <w:shd w:val="clear" w:color="auto" w:fill="FFFFFF"/>
          </w:tcPr>
          <w:p w14:paraId="6D38F035"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Deckschicht ohne Bindemittel</w:t>
            </w:r>
          </w:p>
        </w:tc>
        <w:tc>
          <w:tcPr>
            <w:tcW w:w="851" w:type="dxa"/>
            <w:noWrap/>
            <w:vAlign w:val="center"/>
          </w:tcPr>
          <w:p w14:paraId="3C640309"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63D54BC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08C8230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00F3827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18E0729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759995A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200FEC5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1DEBC49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78E0B029"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501341A3" w14:textId="77777777" w:rsidTr="00DC4A4F">
        <w:trPr>
          <w:trHeight w:val="20"/>
        </w:trPr>
        <w:tc>
          <w:tcPr>
            <w:tcW w:w="469" w:type="dxa"/>
            <w:shd w:val="clear" w:color="auto" w:fill="auto"/>
            <w:noWrap/>
          </w:tcPr>
          <w:p w14:paraId="6173021F"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13</w:t>
            </w:r>
          </w:p>
        </w:tc>
        <w:tc>
          <w:tcPr>
            <w:tcW w:w="4214" w:type="dxa"/>
            <w:shd w:val="clear" w:color="auto" w:fill="FFFFFF"/>
          </w:tcPr>
          <w:p w14:paraId="14255427"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proofErr w:type="spellStart"/>
            <w:r w:rsidRPr="00DC4A4F">
              <w:rPr>
                <w:rFonts w:ascii="Times New Roman" w:eastAsia="Times New Roman" w:hAnsi="Times New Roman" w:cs="Times New Roman"/>
                <w:sz w:val="18"/>
                <w:szCs w:val="18"/>
                <w:lang w:eastAsia="de-DE"/>
              </w:rPr>
              <w:t>ToB</w:t>
            </w:r>
            <w:proofErr w:type="spellEnd"/>
            <w:r w:rsidRPr="00DC4A4F">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771A1D6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3FE7E6D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3E8EC27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05C6D6E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382E171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5B3853F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1AF96A8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6D78309A" w14:textId="77777777" w:rsidR="00DC4A4F" w:rsidRPr="00DC4A4F" w:rsidRDefault="00DC4A4F" w:rsidP="00DC4A4F">
            <w:pPr>
              <w:spacing w:before="0" w:after="0"/>
              <w:jc w:val="center"/>
              <w:rPr>
                <w:rFonts w:ascii="Times New Roman" w:eastAsia="Times New Roman" w:hAnsi="Times New Roman" w:cs="Times New Roman"/>
                <w:sz w:val="24"/>
                <w:szCs w:val="24"/>
                <w:vertAlign w:val="superscript"/>
                <w:lang w:eastAsia="de-DE"/>
              </w:rPr>
            </w:pPr>
            <w:r w:rsidRPr="00DC4A4F">
              <w:rPr>
                <w:rFonts w:ascii="Times New Roman" w:eastAsia="Times New Roman" w:hAnsi="Times New Roman" w:cs="Times New Roman"/>
                <w:sz w:val="24"/>
                <w:szCs w:val="24"/>
                <w:vertAlign w:val="superscript"/>
                <w:lang w:eastAsia="de-DE"/>
              </w:rPr>
              <w:t>+</w:t>
            </w:r>
          </w:p>
        </w:tc>
        <w:tc>
          <w:tcPr>
            <w:tcW w:w="670" w:type="dxa"/>
            <w:shd w:val="clear" w:color="auto" w:fill="auto"/>
            <w:vAlign w:val="center"/>
          </w:tcPr>
          <w:p w14:paraId="36ED7E4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5A13F832" w14:textId="77777777" w:rsidTr="00DC4A4F">
        <w:trPr>
          <w:trHeight w:val="20"/>
        </w:trPr>
        <w:tc>
          <w:tcPr>
            <w:tcW w:w="469" w:type="dxa"/>
            <w:shd w:val="clear" w:color="auto" w:fill="auto"/>
            <w:noWrap/>
          </w:tcPr>
          <w:p w14:paraId="0DC9F91D"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14</w:t>
            </w:r>
          </w:p>
        </w:tc>
        <w:tc>
          <w:tcPr>
            <w:tcW w:w="4214" w:type="dxa"/>
            <w:shd w:val="clear" w:color="auto" w:fill="FFFFFF"/>
          </w:tcPr>
          <w:p w14:paraId="18667A6C"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Bauweisen 13 unter Plattenbelägen</w:t>
            </w:r>
          </w:p>
        </w:tc>
        <w:tc>
          <w:tcPr>
            <w:tcW w:w="851" w:type="dxa"/>
            <w:noWrap/>
            <w:vAlign w:val="center"/>
          </w:tcPr>
          <w:p w14:paraId="2E732D2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1397A8D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3C3586D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6C81CEA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4AE2990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7215041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2B4AFE29"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77054508" w14:textId="77777777" w:rsidR="00DC4A4F" w:rsidRPr="00DC4A4F" w:rsidRDefault="00DC4A4F" w:rsidP="00DC4A4F">
            <w:pPr>
              <w:spacing w:before="0" w:after="0"/>
              <w:jc w:val="center"/>
              <w:rPr>
                <w:rFonts w:ascii="Times New Roman" w:eastAsia="Times New Roman" w:hAnsi="Times New Roman" w:cs="Times New Roman"/>
                <w:sz w:val="24"/>
                <w:szCs w:val="24"/>
                <w:vertAlign w:val="superscript"/>
                <w:lang w:eastAsia="de-DE"/>
              </w:rPr>
            </w:pPr>
            <w:r w:rsidRPr="00DC4A4F">
              <w:rPr>
                <w:rFonts w:ascii="Times New Roman" w:eastAsia="Times New Roman" w:hAnsi="Times New Roman" w:cs="Times New Roman"/>
                <w:sz w:val="24"/>
                <w:szCs w:val="24"/>
                <w:vertAlign w:val="superscript"/>
                <w:lang w:eastAsia="de-DE"/>
              </w:rPr>
              <w:t>+</w:t>
            </w:r>
          </w:p>
        </w:tc>
        <w:tc>
          <w:tcPr>
            <w:tcW w:w="670" w:type="dxa"/>
            <w:shd w:val="clear" w:color="auto" w:fill="auto"/>
            <w:vAlign w:val="center"/>
          </w:tcPr>
          <w:p w14:paraId="2036317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5B703C95" w14:textId="77777777" w:rsidTr="00DC4A4F">
        <w:trPr>
          <w:trHeight w:val="20"/>
        </w:trPr>
        <w:tc>
          <w:tcPr>
            <w:tcW w:w="469" w:type="dxa"/>
            <w:shd w:val="clear" w:color="auto" w:fill="auto"/>
            <w:noWrap/>
          </w:tcPr>
          <w:p w14:paraId="4B2573D3"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15</w:t>
            </w:r>
          </w:p>
        </w:tc>
        <w:tc>
          <w:tcPr>
            <w:tcW w:w="4214" w:type="dxa"/>
            <w:shd w:val="clear" w:color="auto" w:fill="FFFFFF"/>
          </w:tcPr>
          <w:p w14:paraId="76D94170"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07B0531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12702DF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74A00E5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3B52B629"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6F23104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2F34FF7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1F383EA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4BC7A99D" w14:textId="77777777" w:rsidR="00DC4A4F" w:rsidRPr="00DC4A4F" w:rsidRDefault="00DC4A4F" w:rsidP="00DC4A4F">
            <w:pPr>
              <w:spacing w:before="0" w:after="0"/>
              <w:jc w:val="center"/>
              <w:rPr>
                <w:rFonts w:ascii="Times New Roman" w:eastAsia="Times New Roman" w:hAnsi="Times New Roman" w:cs="Times New Roman"/>
                <w:sz w:val="24"/>
                <w:szCs w:val="24"/>
                <w:vertAlign w:val="superscript"/>
                <w:lang w:eastAsia="de-DE"/>
              </w:rPr>
            </w:pPr>
            <w:r w:rsidRPr="00DC4A4F">
              <w:rPr>
                <w:rFonts w:ascii="Times New Roman" w:eastAsia="Times New Roman" w:hAnsi="Times New Roman" w:cs="Times New Roman"/>
                <w:sz w:val="24"/>
                <w:szCs w:val="24"/>
                <w:vertAlign w:val="superscript"/>
                <w:lang w:eastAsia="de-DE"/>
              </w:rPr>
              <w:t>+</w:t>
            </w:r>
          </w:p>
        </w:tc>
        <w:tc>
          <w:tcPr>
            <w:tcW w:w="670" w:type="dxa"/>
            <w:shd w:val="clear" w:color="auto" w:fill="auto"/>
            <w:vAlign w:val="center"/>
          </w:tcPr>
          <w:p w14:paraId="45C2C0E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2EA993BA" w14:textId="77777777" w:rsidTr="00DC4A4F">
        <w:trPr>
          <w:trHeight w:val="20"/>
        </w:trPr>
        <w:tc>
          <w:tcPr>
            <w:tcW w:w="469" w:type="dxa"/>
            <w:shd w:val="clear" w:color="auto" w:fill="auto"/>
            <w:noWrap/>
          </w:tcPr>
          <w:p w14:paraId="7BD0FCF6"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16</w:t>
            </w:r>
          </w:p>
        </w:tc>
        <w:tc>
          <w:tcPr>
            <w:tcW w:w="4214" w:type="dxa"/>
            <w:shd w:val="clear" w:color="auto" w:fill="FFFFFF"/>
          </w:tcPr>
          <w:p w14:paraId="1B856B98"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proofErr w:type="spellStart"/>
            <w:r w:rsidRPr="00DC4A4F">
              <w:rPr>
                <w:rFonts w:ascii="Times New Roman" w:eastAsia="Times New Roman" w:hAnsi="Times New Roman" w:cs="Times New Roman"/>
                <w:sz w:val="18"/>
                <w:szCs w:val="18"/>
                <w:lang w:eastAsia="de-DE"/>
              </w:rPr>
              <w:t>Hinterfüllung</w:t>
            </w:r>
            <w:proofErr w:type="spellEnd"/>
            <w:r w:rsidRPr="00DC4A4F">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DC4A4F">
              <w:rPr>
                <w:rFonts w:ascii="Times New Roman" w:eastAsia="Times New Roman" w:hAnsi="Times New Roman" w:cs="Times New Roman"/>
                <w:sz w:val="18"/>
                <w:szCs w:val="18"/>
                <w:lang w:eastAsia="de-DE"/>
              </w:rPr>
              <w:t>Hinterfüllung</w:t>
            </w:r>
            <w:proofErr w:type="spellEnd"/>
            <w:r w:rsidRPr="00DC4A4F">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687D745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2FE6254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2B31A4B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2A88944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54ACA66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7E77C17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5346A19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57B2EFB5" w14:textId="77777777" w:rsidR="00DC4A4F" w:rsidRPr="00DC4A4F" w:rsidRDefault="00DC4A4F" w:rsidP="00DC4A4F">
            <w:pPr>
              <w:spacing w:before="0" w:after="0"/>
              <w:jc w:val="center"/>
              <w:rPr>
                <w:rFonts w:ascii="Times New Roman" w:eastAsia="Times New Roman" w:hAnsi="Times New Roman" w:cs="Times New Roman"/>
                <w:sz w:val="24"/>
                <w:szCs w:val="24"/>
                <w:vertAlign w:val="superscript"/>
                <w:lang w:eastAsia="de-DE"/>
              </w:rPr>
            </w:pPr>
            <w:r w:rsidRPr="00DC4A4F">
              <w:rPr>
                <w:rFonts w:ascii="Times New Roman" w:eastAsia="Times New Roman" w:hAnsi="Times New Roman" w:cs="Times New Roman"/>
                <w:sz w:val="24"/>
                <w:szCs w:val="24"/>
                <w:vertAlign w:val="superscript"/>
                <w:lang w:eastAsia="de-DE"/>
              </w:rPr>
              <w:t>+</w:t>
            </w:r>
          </w:p>
        </w:tc>
        <w:tc>
          <w:tcPr>
            <w:tcW w:w="670" w:type="dxa"/>
            <w:shd w:val="clear" w:color="auto" w:fill="auto"/>
            <w:vAlign w:val="center"/>
          </w:tcPr>
          <w:p w14:paraId="06A2CD4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6F7DCFF2" w14:textId="77777777" w:rsidTr="00DC4A4F">
        <w:trPr>
          <w:trHeight w:val="208"/>
        </w:trPr>
        <w:tc>
          <w:tcPr>
            <w:tcW w:w="469" w:type="dxa"/>
            <w:shd w:val="clear" w:color="auto" w:fill="auto"/>
            <w:noWrap/>
          </w:tcPr>
          <w:p w14:paraId="3A95213C"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17</w:t>
            </w:r>
          </w:p>
        </w:tc>
        <w:tc>
          <w:tcPr>
            <w:tcW w:w="4214" w:type="dxa"/>
            <w:shd w:val="clear" w:color="auto" w:fill="FFFFFF"/>
          </w:tcPr>
          <w:p w14:paraId="0628CC66"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6636111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433B57E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56A7447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67" w:type="dxa"/>
            <w:noWrap/>
            <w:vAlign w:val="center"/>
          </w:tcPr>
          <w:p w14:paraId="69FAF22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5B29C43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6C58AB2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20AB9E3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72E24952" w14:textId="77777777" w:rsidR="00DC4A4F" w:rsidRPr="00DC4A4F" w:rsidRDefault="00DC4A4F" w:rsidP="00DC4A4F">
            <w:pPr>
              <w:spacing w:before="0" w:after="0"/>
              <w:jc w:val="center"/>
              <w:rPr>
                <w:rFonts w:ascii="Times New Roman" w:eastAsia="Times New Roman" w:hAnsi="Times New Roman" w:cs="Times New Roman"/>
                <w:sz w:val="24"/>
                <w:szCs w:val="24"/>
                <w:vertAlign w:val="superscript"/>
                <w:lang w:eastAsia="de-DE"/>
              </w:rPr>
            </w:pPr>
            <w:r w:rsidRPr="00DC4A4F">
              <w:rPr>
                <w:rFonts w:ascii="Times New Roman" w:eastAsia="Times New Roman" w:hAnsi="Times New Roman" w:cs="Times New Roman"/>
                <w:sz w:val="24"/>
                <w:szCs w:val="24"/>
                <w:vertAlign w:val="superscript"/>
                <w:lang w:eastAsia="de-DE"/>
              </w:rPr>
              <w:t>+</w:t>
            </w:r>
          </w:p>
        </w:tc>
        <w:tc>
          <w:tcPr>
            <w:tcW w:w="670" w:type="dxa"/>
            <w:shd w:val="clear" w:color="auto" w:fill="auto"/>
            <w:vAlign w:val="center"/>
          </w:tcPr>
          <w:p w14:paraId="6E23D3B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bl>
    <w:p w14:paraId="489F673B" w14:textId="77777777" w:rsidR="00DC4A4F" w:rsidRPr="00DC4A4F" w:rsidRDefault="00DC4A4F" w:rsidP="00DC4A4F">
      <w:pPr>
        <w:pStyle w:val="Text"/>
      </w:pPr>
    </w:p>
    <w:p w14:paraId="390F687B" w14:textId="4E52BDF4" w:rsidR="00DC4A4F" w:rsidRPr="008D0377" w:rsidRDefault="00F43C5E" w:rsidP="00DC4A4F">
      <w:pPr>
        <w:pStyle w:val="berschrift1"/>
        <w:jc w:val="left"/>
      </w:pPr>
      <w:r>
        <w:rPr>
          <w:lang w:eastAsia="de-DE"/>
        </w:rPr>
        <w:br w:type="page"/>
      </w:r>
      <w:r w:rsidRPr="008D0377">
        <w:lastRenderedPageBreak/>
        <w:t>Tabelle 7: Bodenmaterial der Klasse F2 (BM-F2), Baggergut der Klasse F2 (BG-F2)</w:t>
      </w:r>
    </w:p>
    <w:p w14:paraId="1F27FE18" w14:textId="77777777" w:rsidR="000D49B1" w:rsidRPr="000D49B1" w:rsidRDefault="000D49B1" w:rsidP="000D49B1">
      <w:pPr>
        <w:pStyle w:val="Text"/>
      </w:pPr>
    </w:p>
    <w:tbl>
      <w:tblPr>
        <w:tblW w:w="11082" w:type="dxa"/>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647"/>
        <w:gridCol w:w="715"/>
        <w:gridCol w:w="500"/>
        <w:gridCol w:w="715"/>
        <w:gridCol w:w="542"/>
        <w:gridCol w:w="715"/>
      </w:tblGrid>
      <w:tr w:rsidR="00DC4A4F" w:rsidRPr="00DC4A4F" w14:paraId="5ACCB2FB" w14:textId="77777777" w:rsidTr="00DC4A4F">
        <w:trPr>
          <w:trHeight w:val="330"/>
        </w:trPr>
        <w:tc>
          <w:tcPr>
            <w:tcW w:w="11082" w:type="dxa"/>
            <w:gridSpan w:val="11"/>
            <w:noWrap/>
            <w:vAlign w:val="bottom"/>
          </w:tcPr>
          <w:p w14:paraId="5C4B962A" w14:textId="77777777" w:rsidR="00DC4A4F" w:rsidRPr="00DC4A4F" w:rsidRDefault="00DC4A4F" w:rsidP="00DC4A4F">
            <w:pPr>
              <w:spacing w:before="0" w:after="0"/>
              <w:jc w:val="center"/>
              <w:rPr>
                <w:rFonts w:ascii="Times New Roman" w:eastAsia="Times New Roman" w:hAnsi="Times New Roman" w:cs="Times New Roman"/>
                <w:b/>
                <w:bCs/>
                <w:sz w:val="24"/>
                <w:szCs w:val="24"/>
                <w:lang w:eastAsia="de-DE"/>
              </w:rPr>
            </w:pPr>
            <w:r w:rsidRPr="00DC4A4F">
              <w:rPr>
                <w:rFonts w:ascii="Times New Roman" w:eastAsia="Times New Roman" w:hAnsi="Times New Roman" w:cs="Times New Roman"/>
                <w:b/>
                <w:sz w:val="24"/>
                <w:szCs w:val="24"/>
                <w:lang w:eastAsia="de-DE"/>
              </w:rPr>
              <w:br w:type="page"/>
            </w:r>
            <w:r w:rsidRPr="00DC4A4F">
              <w:rPr>
                <w:rFonts w:ascii="Times New Roman" w:eastAsia="Times New Roman" w:hAnsi="Times New Roman" w:cs="Times New Roman"/>
                <w:b/>
                <w:sz w:val="24"/>
                <w:szCs w:val="24"/>
                <w:lang w:eastAsia="de-DE"/>
              </w:rPr>
              <w:br w:type="page"/>
            </w:r>
            <w:r w:rsidRPr="00DC4A4F">
              <w:rPr>
                <w:rFonts w:ascii="Times New Roman" w:eastAsia="Times New Roman" w:hAnsi="Times New Roman" w:cs="Times New Roman"/>
                <w:b/>
                <w:sz w:val="24"/>
                <w:szCs w:val="24"/>
                <w:lang w:eastAsia="de-DE"/>
              </w:rPr>
              <w:br w:type="page"/>
            </w:r>
            <w:r w:rsidRPr="00DC4A4F">
              <w:rPr>
                <w:rFonts w:ascii="Times New Roman" w:eastAsia="Times New Roman" w:hAnsi="Times New Roman" w:cs="Times New Roman"/>
                <w:b/>
                <w:sz w:val="24"/>
                <w:szCs w:val="24"/>
                <w:lang w:eastAsia="de-DE"/>
              </w:rPr>
              <w:br w:type="page"/>
              <w:t>Bodenmaterial der Klasse F2 (</w:t>
            </w:r>
            <w:r w:rsidRPr="00DC4A4F">
              <w:rPr>
                <w:rFonts w:ascii="Times New Roman" w:eastAsia="Times New Roman" w:hAnsi="Times New Roman" w:cs="Times New Roman"/>
                <w:b/>
                <w:bCs/>
                <w:sz w:val="24"/>
                <w:szCs w:val="24"/>
                <w:lang w:eastAsia="de-DE"/>
              </w:rPr>
              <w:t>BM-F2), Baggergut der Klasse F2 (BG-F2)</w:t>
            </w:r>
          </w:p>
        </w:tc>
      </w:tr>
      <w:tr w:rsidR="00DC4A4F" w:rsidRPr="00DC4A4F" w14:paraId="50655E26" w14:textId="77777777" w:rsidTr="00DC4A4F">
        <w:trPr>
          <w:trHeight w:val="20"/>
        </w:trPr>
        <w:tc>
          <w:tcPr>
            <w:tcW w:w="4683" w:type="dxa"/>
            <w:gridSpan w:val="2"/>
            <w:vMerge w:val="restart"/>
            <w:shd w:val="clear" w:color="auto" w:fill="auto"/>
            <w:noWrap/>
          </w:tcPr>
          <w:p w14:paraId="79FB2C55" w14:textId="77777777" w:rsidR="00DC4A4F" w:rsidRPr="00DC4A4F" w:rsidRDefault="00DC4A4F" w:rsidP="00DC4A4F">
            <w:pPr>
              <w:spacing w:before="0" w:after="0"/>
              <w:jc w:val="center"/>
              <w:rPr>
                <w:rFonts w:ascii="Times New Roman" w:eastAsia="Times New Roman" w:hAnsi="Times New Roman" w:cs="Times New Roman"/>
                <w:b/>
                <w:sz w:val="24"/>
                <w:szCs w:val="24"/>
                <w:lang w:eastAsia="de-DE"/>
              </w:rPr>
            </w:pPr>
            <w:r w:rsidRPr="00DC4A4F">
              <w:rPr>
                <w:rFonts w:ascii="Times New Roman" w:eastAsia="Times New Roman" w:hAnsi="Times New Roman" w:cs="Times New Roman"/>
                <w:b/>
                <w:sz w:val="24"/>
                <w:szCs w:val="24"/>
                <w:lang w:eastAsia="de-DE"/>
              </w:rPr>
              <w:t>Einbauweise</w:t>
            </w:r>
          </w:p>
        </w:tc>
        <w:tc>
          <w:tcPr>
            <w:tcW w:w="6399" w:type="dxa"/>
            <w:gridSpan w:val="9"/>
            <w:shd w:val="clear" w:color="auto" w:fill="auto"/>
            <w:noWrap/>
            <w:vAlign w:val="center"/>
          </w:tcPr>
          <w:p w14:paraId="33E0C153" w14:textId="77777777" w:rsidR="00DC4A4F" w:rsidRPr="00DC4A4F" w:rsidRDefault="00DC4A4F" w:rsidP="00DC4A4F">
            <w:pPr>
              <w:spacing w:before="0" w:after="0"/>
              <w:jc w:val="center"/>
              <w:rPr>
                <w:rFonts w:ascii="Times New Roman" w:eastAsia="Times New Roman" w:hAnsi="Times New Roman" w:cs="Times New Roman"/>
                <w:b/>
                <w:sz w:val="24"/>
                <w:szCs w:val="24"/>
                <w:lang w:eastAsia="de-DE"/>
              </w:rPr>
            </w:pPr>
            <w:r w:rsidRPr="00DC4A4F">
              <w:rPr>
                <w:rFonts w:ascii="Times New Roman" w:eastAsia="Times New Roman" w:hAnsi="Times New Roman" w:cs="Times New Roman"/>
                <w:b/>
                <w:sz w:val="24"/>
                <w:szCs w:val="24"/>
                <w:lang w:eastAsia="de-DE"/>
              </w:rPr>
              <w:t>Eigenschaft der Grundwasserdeckschicht</w:t>
            </w:r>
          </w:p>
        </w:tc>
      </w:tr>
      <w:tr w:rsidR="00DC4A4F" w:rsidRPr="00DC4A4F" w14:paraId="17CDE4D4" w14:textId="77777777" w:rsidTr="00DC4A4F">
        <w:trPr>
          <w:trHeight w:val="20"/>
        </w:trPr>
        <w:tc>
          <w:tcPr>
            <w:tcW w:w="4683" w:type="dxa"/>
            <w:gridSpan w:val="2"/>
            <w:vMerge/>
            <w:shd w:val="clear" w:color="auto" w:fill="auto"/>
            <w:noWrap/>
            <w:vAlign w:val="center"/>
          </w:tcPr>
          <w:p w14:paraId="5BD9BF34" w14:textId="77777777" w:rsidR="00DC4A4F" w:rsidRPr="00DC4A4F" w:rsidRDefault="00DC4A4F" w:rsidP="00DC4A4F">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4B892134"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außerhalb von</w:t>
            </w:r>
          </w:p>
          <w:p w14:paraId="66CBB6A2"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Wasserschutzbereichen</w:t>
            </w:r>
          </w:p>
        </w:tc>
        <w:tc>
          <w:tcPr>
            <w:tcW w:w="3699" w:type="dxa"/>
            <w:gridSpan w:val="6"/>
            <w:shd w:val="clear" w:color="auto" w:fill="auto"/>
            <w:noWrap/>
            <w:vAlign w:val="center"/>
          </w:tcPr>
          <w:p w14:paraId="302A5086"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innerhalb von</w:t>
            </w:r>
          </w:p>
          <w:p w14:paraId="625FFF31"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Wasserschutzbereichen</w:t>
            </w:r>
          </w:p>
        </w:tc>
      </w:tr>
      <w:tr w:rsidR="00DC4A4F" w:rsidRPr="00DC4A4F" w14:paraId="50D2B4A0" w14:textId="77777777" w:rsidTr="00DC4A4F">
        <w:trPr>
          <w:trHeight w:val="20"/>
        </w:trPr>
        <w:tc>
          <w:tcPr>
            <w:tcW w:w="4683" w:type="dxa"/>
            <w:gridSpan w:val="2"/>
            <w:vMerge/>
            <w:shd w:val="clear" w:color="auto" w:fill="auto"/>
            <w:noWrap/>
            <w:vAlign w:val="center"/>
          </w:tcPr>
          <w:p w14:paraId="50D04D51"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6232EE05"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proofErr w:type="spellStart"/>
            <w:r w:rsidRPr="00DC4A4F">
              <w:rPr>
                <w:rFonts w:ascii="Times New Roman" w:eastAsia="Times New Roman" w:hAnsi="Times New Roman" w:cs="Times New Roman"/>
                <w:sz w:val="20"/>
                <w:szCs w:val="20"/>
                <w:lang w:eastAsia="de-DE"/>
              </w:rPr>
              <w:t>un</w:t>
            </w:r>
            <w:proofErr w:type="spellEnd"/>
            <w:r w:rsidRPr="00DC4A4F">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56E22E9A"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günstig</w:t>
            </w:r>
          </w:p>
        </w:tc>
        <w:tc>
          <w:tcPr>
            <w:tcW w:w="3699" w:type="dxa"/>
            <w:gridSpan w:val="6"/>
            <w:shd w:val="clear" w:color="auto" w:fill="auto"/>
            <w:noWrap/>
            <w:vAlign w:val="center"/>
          </w:tcPr>
          <w:p w14:paraId="3E229C4B" w14:textId="77777777" w:rsidR="00DC4A4F" w:rsidRPr="00DC4A4F" w:rsidRDefault="00DC4A4F" w:rsidP="00DC4A4F">
            <w:pPr>
              <w:spacing w:before="0" w:after="0"/>
              <w:jc w:val="center"/>
              <w:rPr>
                <w:rFonts w:ascii="Times New Roman" w:eastAsia="Times New Roman" w:hAnsi="Times New Roman" w:cs="Times New Roman"/>
                <w:sz w:val="20"/>
                <w:szCs w:val="20"/>
                <w:lang w:eastAsia="de-DE"/>
              </w:rPr>
            </w:pPr>
            <w:r w:rsidRPr="00DC4A4F">
              <w:rPr>
                <w:rFonts w:ascii="Times New Roman" w:eastAsia="Times New Roman" w:hAnsi="Times New Roman" w:cs="Times New Roman"/>
                <w:sz w:val="20"/>
                <w:szCs w:val="20"/>
                <w:lang w:eastAsia="de-DE"/>
              </w:rPr>
              <w:t>günstig</w:t>
            </w:r>
          </w:p>
        </w:tc>
      </w:tr>
      <w:tr w:rsidR="00DC4A4F" w:rsidRPr="00DC4A4F" w14:paraId="13A2D66B" w14:textId="77777777" w:rsidTr="00DC4A4F">
        <w:trPr>
          <w:trHeight w:val="20"/>
        </w:trPr>
        <w:tc>
          <w:tcPr>
            <w:tcW w:w="4683" w:type="dxa"/>
            <w:gridSpan w:val="2"/>
            <w:vMerge/>
            <w:shd w:val="clear" w:color="auto" w:fill="auto"/>
            <w:noWrap/>
            <w:vAlign w:val="center"/>
          </w:tcPr>
          <w:p w14:paraId="3E682DA0"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3DAB2240"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694DC3E5"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67610F71" w14:textId="241A9589"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Lehm,</w:t>
            </w:r>
          </w:p>
          <w:p w14:paraId="119A476F" w14:textId="2AE77965"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Schluff,</w:t>
            </w:r>
          </w:p>
          <w:p w14:paraId="66B31795"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Ton</w:t>
            </w:r>
          </w:p>
        </w:tc>
        <w:tc>
          <w:tcPr>
            <w:tcW w:w="1317" w:type="dxa"/>
            <w:gridSpan w:val="2"/>
            <w:shd w:val="clear" w:color="auto" w:fill="auto"/>
            <w:noWrap/>
            <w:vAlign w:val="center"/>
          </w:tcPr>
          <w:p w14:paraId="7F9C9A0C"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35CEC648"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WSG III B</w:t>
            </w:r>
          </w:p>
        </w:tc>
        <w:tc>
          <w:tcPr>
            <w:tcW w:w="1212" w:type="dxa"/>
            <w:gridSpan w:val="2"/>
            <w:shd w:val="clear" w:color="auto" w:fill="auto"/>
            <w:noWrap/>
            <w:vAlign w:val="center"/>
          </w:tcPr>
          <w:p w14:paraId="58997ED0"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Wasservor-</w:t>
            </w:r>
          </w:p>
        </w:tc>
      </w:tr>
      <w:tr w:rsidR="00DC4A4F" w:rsidRPr="00DC4A4F" w14:paraId="50328C7B" w14:textId="77777777" w:rsidTr="00DC4A4F">
        <w:trPr>
          <w:trHeight w:val="80"/>
        </w:trPr>
        <w:tc>
          <w:tcPr>
            <w:tcW w:w="4683" w:type="dxa"/>
            <w:gridSpan w:val="2"/>
            <w:vMerge/>
            <w:shd w:val="clear" w:color="auto" w:fill="auto"/>
            <w:noWrap/>
            <w:vAlign w:val="center"/>
          </w:tcPr>
          <w:p w14:paraId="69088D14"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081919AD"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45FABA6B"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3ECE7A08"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1317" w:type="dxa"/>
            <w:gridSpan w:val="2"/>
            <w:shd w:val="clear" w:color="auto" w:fill="auto"/>
            <w:noWrap/>
            <w:vAlign w:val="center"/>
          </w:tcPr>
          <w:p w14:paraId="122C529C"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4969EC02"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HSG IV</w:t>
            </w:r>
          </w:p>
        </w:tc>
        <w:tc>
          <w:tcPr>
            <w:tcW w:w="1212" w:type="dxa"/>
            <w:gridSpan w:val="2"/>
            <w:shd w:val="clear" w:color="auto" w:fill="auto"/>
            <w:noWrap/>
            <w:vAlign w:val="center"/>
          </w:tcPr>
          <w:p w14:paraId="7F8FF18C"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ranggebiete</w:t>
            </w:r>
          </w:p>
        </w:tc>
      </w:tr>
      <w:tr w:rsidR="00DC4A4F" w:rsidRPr="00DC4A4F" w14:paraId="758DC983" w14:textId="77777777" w:rsidTr="00DC4A4F">
        <w:trPr>
          <w:trHeight w:val="80"/>
        </w:trPr>
        <w:tc>
          <w:tcPr>
            <w:tcW w:w="4683" w:type="dxa"/>
            <w:gridSpan w:val="2"/>
            <w:vMerge/>
            <w:shd w:val="clear" w:color="auto" w:fill="auto"/>
            <w:noWrap/>
            <w:vAlign w:val="center"/>
          </w:tcPr>
          <w:p w14:paraId="3E443801"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5A2558BA"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65C9B3A8"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05FE16F1"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647" w:type="dxa"/>
            <w:shd w:val="clear" w:color="auto" w:fill="auto"/>
            <w:noWrap/>
            <w:vAlign w:val="center"/>
          </w:tcPr>
          <w:p w14:paraId="7FC2C608"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Sand</w:t>
            </w:r>
          </w:p>
        </w:tc>
        <w:tc>
          <w:tcPr>
            <w:tcW w:w="670" w:type="dxa"/>
            <w:shd w:val="clear" w:color="auto" w:fill="auto"/>
            <w:vAlign w:val="center"/>
          </w:tcPr>
          <w:p w14:paraId="6E3420BB" w14:textId="0D28DC41"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Lehm,</w:t>
            </w:r>
          </w:p>
          <w:p w14:paraId="60D8A1A3" w14:textId="739664CE"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Schluff,</w:t>
            </w:r>
          </w:p>
          <w:p w14:paraId="71BDE638"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1D35E3CA"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Sand</w:t>
            </w:r>
          </w:p>
        </w:tc>
        <w:tc>
          <w:tcPr>
            <w:tcW w:w="670" w:type="dxa"/>
            <w:shd w:val="clear" w:color="auto" w:fill="auto"/>
            <w:vAlign w:val="center"/>
          </w:tcPr>
          <w:p w14:paraId="37707029" w14:textId="6BA61FB4"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Lehm,</w:t>
            </w:r>
          </w:p>
          <w:p w14:paraId="6F8B9C13" w14:textId="5F1B39BE"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Schluff,</w:t>
            </w:r>
          </w:p>
          <w:p w14:paraId="59EF742B"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52488BC8"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Sand</w:t>
            </w:r>
          </w:p>
        </w:tc>
        <w:tc>
          <w:tcPr>
            <w:tcW w:w="670" w:type="dxa"/>
            <w:shd w:val="clear" w:color="auto" w:fill="auto"/>
            <w:vAlign w:val="center"/>
          </w:tcPr>
          <w:p w14:paraId="442762A7" w14:textId="328329E2"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Lehm,</w:t>
            </w:r>
          </w:p>
          <w:p w14:paraId="36008932" w14:textId="6CEA803E"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Schluff,</w:t>
            </w:r>
          </w:p>
          <w:p w14:paraId="4D9C058D"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Ton</w:t>
            </w:r>
          </w:p>
        </w:tc>
      </w:tr>
      <w:tr w:rsidR="00DC4A4F" w:rsidRPr="00DC4A4F" w14:paraId="25A1F53C" w14:textId="77777777" w:rsidTr="00DC4A4F">
        <w:trPr>
          <w:trHeight w:val="111"/>
        </w:trPr>
        <w:tc>
          <w:tcPr>
            <w:tcW w:w="4683" w:type="dxa"/>
            <w:gridSpan w:val="2"/>
            <w:vMerge/>
            <w:shd w:val="clear" w:color="auto" w:fill="auto"/>
            <w:noWrap/>
            <w:vAlign w:val="center"/>
          </w:tcPr>
          <w:p w14:paraId="5B7897E1"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3C678528"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1</w:t>
            </w:r>
          </w:p>
        </w:tc>
        <w:tc>
          <w:tcPr>
            <w:tcW w:w="664" w:type="dxa"/>
            <w:shd w:val="clear" w:color="auto" w:fill="auto"/>
            <w:noWrap/>
            <w:vAlign w:val="center"/>
          </w:tcPr>
          <w:p w14:paraId="6A6C1104"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2</w:t>
            </w:r>
          </w:p>
        </w:tc>
        <w:tc>
          <w:tcPr>
            <w:tcW w:w="1185" w:type="dxa"/>
            <w:shd w:val="clear" w:color="auto" w:fill="auto"/>
            <w:noWrap/>
            <w:vAlign w:val="center"/>
          </w:tcPr>
          <w:p w14:paraId="4ED5BD37"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3</w:t>
            </w:r>
          </w:p>
        </w:tc>
        <w:tc>
          <w:tcPr>
            <w:tcW w:w="1317" w:type="dxa"/>
            <w:gridSpan w:val="2"/>
            <w:shd w:val="clear" w:color="auto" w:fill="auto"/>
            <w:noWrap/>
            <w:vAlign w:val="center"/>
          </w:tcPr>
          <w:p w14:paraId="78C8BCFF"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4807708E"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5</w:t>
            </w:r>
          </w:p>
        </w:tc>
        <w:tc>
          <w:tcPr>
            <w:tcW w:w="1212" w:type="dxa"/>
            <w:gridSpan w:val="2"/>
            <w:shd w:val="clear" w:color="auto" w:fill="auto"/>
            <w:noWrap/>
            <w:vAlign w:val="center"/>
          </w:tcPr>
          <w:p w14:paraId="6075E368" w14:textId="77777777" w:rsidR="00DC4A4F" w:rsidRPr="00DC4A4F" w:rsidRDefault="00DC4A4F" w:rsidP="00DC4A4F">
            <w:pPr>
              <w:spacing w:before="0" w:after="0"/>
              <w:jc w:val="center"/>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6</w:t>
            </w:r>
          </w:p>
        </w:tc>
      </w:tr>
      <w:tr w:rsidR="00DC4A4F" w:rsidRPr="00DC4A4F" w14:paraId="68A2952C" w14:textId="77777777" w:rsidTr="00DC4A4F">
        <w:trPr>
          <w:trHeight w:val="20"/>
        </w:trPr>
        <w:tc>
          <w:tcPr>
            <w:tcW w:w="469" w:type="dxa"/>
            <w:shd w:val="clear" w:color="auto" w:fill="auto"/>
            <w:noWrap/>
          </w:tcPr>
          <w:p w14:paraId="5149BA37"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w:t>
            </w:r>
          </w:p>
        </w:tc>
        <w:tc>
          <w:tcPr>
            <w:tcW w:w="4214" w:type="dxa"/>
            <w:shd w:val="clear" w:color="auto" w:fill="FFFFFF"/>
          </w:tcPr>
          <w:p w14:paraId="1479AB65"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1AB10C3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152F9C7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5E9230F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47" w:type="dxa"/>
            <w:shd w:val="clear" w:color="auto" w:fill="auto"/>
            <w:noWrap/>
            <w:vAlign w:val="center"/>
          </w:tcPr>
          <w:p w14:paraId="296D1BE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59D3E17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shd w:val="clear" w:color="auto" w:fill="auto"/>
            <w:noWrap/>
            <w:vAlign w:val="center"/>
          </w:tcPr>
          <w:p w14:paraId="307D010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469C190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6D789B3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46E8B63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7700A4ED" w14:textId="77777777" w:rsidTr="00DC4A4F">
        <w:trPr>
          <w:trHeight w:val="20"/>
        </w:trPr>
        <w:tc>
          <w:tcPr>
            <w:tcW w:w="469" w:type="dxa"/>
            <w:shd w:val="clear" w:color="auto" w:fill="auto"/>
            <w:noWrap/>
          </w:tcPr>
          <w:p w14:paraId="4041A03C"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2</w:t>
            </w:r>
          </w:p>
        </w:tc>
        <w:tc>
          <w:tcPr>
            <w:tcW w:w="4214" w:type="dxa"/>
            <w:shd w:val="clear" w:color="auto" w:fill="FFFFFF"/>
          </w:tcPr>
          <w:p w14:paraId="30AD032D"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785FA5F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086F060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2646A91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47" w:type="dxa"/>
            <w:noWrap/>
            <w:vAlign w:val="center"/>
          </w:tcPr>
          <w:p w14:paraId="7FD17E7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22ED946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0F628F3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531D882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2EFDF39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5F7718D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22F765F5" w14:textId="77777777" w:rsidTr="00DC4A4F">
        <w:trPr>
          <w:trHeight w:val="20"/>
        </w:trPr>
        <w:tc>
          <w:tcPr>
            <w:tcW w:w="469" w:type="dxa"/>
            <w:shd w:val="clear" w:color="auto" w:fill="auto"/>
            <w:noWrap/>
          </w:tcPr>
          <w:p w14:paraId="6EC41A78"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3</w:t>
            </w:r>
          </w:p>
        </w:tc>
        <w:tc>
          <w:tcPr>
            <w:tcW w:w="4214" w:type="dxa"/>
            <w:shd w:val="clear" w:color="auto" w:fill="FFFFFF"/>
          </w:tcPr>
          <w:p w14:paraId="74386FE4"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3429793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361CD2E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0AD4D00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47" w:type="dxa"/>
            <w:noWrap/>
            <w:vAlign w:val="center"/>
          </w:tcPr>
          <w:p w14:paraId="213D4EA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47FFE3D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3ED39FC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57A5100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7265812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3B18015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4F09001E" w14:textId="77777777" w:rsidTr="00DC4A4F">
        <w:trPr>
          <w:trHeight w:val="20"/>
        </w:trPr>
        <w:tc>
          <w:tcPr>
            <w:tcW w:w="469" w:type="dxa"/>
            <w:shd w:val="clear" w:color="auto" w:fill="auto"/>
            <w:noWrap/>
          </w:tcPr>
          <w:p w14:paraId="080F2034"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4</w:t>
            </w:r>
          </w:p>
        </w:tc>
        <w:tc>
          <w:tcPr>
            <w:tcW w:w="4214" w:type="dxa"/>
            <w:shd w:val="clear" w:color="auto" w:fill="FFFFFF"/>
          </w:tcPr>
          <w:p w14:paraId="47532735"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5C13FE8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061999C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1F2D3B5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47" w:type="dxa"/>
            <w:noWrap/>
            <w:vAlign w:val="center"/>
          </w:tcPr>
          <w:p w14:paraId="254B30F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r w:rsidRPr="00DC4A4F">
              <w:rPr>
                <w:rFonts w:ascii="Times New Roman" w:eastAsia="Times New Roman" w:hAnsi="Times New Roman" w:cs="Times New Roman"/>
                <w:b/>
                <w:sz w:val="24"/>
                <w:szCs w:val="24"/>
                <w:vertAlign w:val="superscript"/>
                <w:lang w:eastAsia="de-DE"/>
              </w:rPr>
              <w:t>1)</w:t>
            </w:r>
          </w:p>
        </w:tc>
        <w:tc>
          <w:tcPr>
            <w:tcW w:w="670" w:type="dxa"/>
            <w:vAlign w:val="center"/>
          </w:tcPr>
          <w:p w14:paraId="50A2F0F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r w:rsidRPr="00DC4A4F">
              <w:rPr>
                <w:rFonts w:ascii="Times New Roman" w:eastAsia="Times New Roman" w:hAnsi="Times New Roman" w:cs="Times New Roman"/>
                <w:b/>
                <w:sz w:val="24"/>
                <w:szCs w:val="24"/>
                <w:vertAlign w:val="superscript"/>
                <w:lang w:eastAsia="de-DE"/>
              </w:rPr>
              <w:t>1)</w:t>
            </w:r>
          </w:p>
        </w:tc>
        <w:tc>
          <w:tcPr>
            <w:tcW w:w="500" w:type="dxa"/>
            <w:noWrap/>
            <w:vAlign w:val="center"/>
          </w:tcPr>
          <w:p w14:paraId="1603F1A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305A620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167019B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659638A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4EC4B4A0" w14:textId="77777777" w:rsidTr="00DC4A4F">
        <w:trPr>
          <w:trHeight w:val="20"/>
        </w:trPr>
        <w:tc>
          <w:tcPr>
            <w:tcW w:w="469" w:type="dxa"/>
            <w:shd w:val="clear" w:color="auto" w:fill="auto"/>
            <w:noWrap/>
          </w:tcPr>
          <w:p w14:paraId="27564C60"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5</w:t>
            </w:r>
          </w:p>
        </w:tc>
        <w:tc>
          <w:tcPr>
            <w:tcW w:w="4214" w:type="dxa"/>
            <w:shd w:val="clear" w:color="auto" w:fill="FFFFFF"/>
          </w:tcPr>
          <w:p w14:paraId="34BCD1AC"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4AC4824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6FC7EDD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63FBFC1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47" w:type="dxa"/>
            <w:noWrap/>
            <w:vAlign w:val="center"/>
          </w:tcPr>
          <w:p w14:paraId="5503C89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0D3228F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585A276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15A58F0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0B6DC54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0D353F29"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15FC2B48" w14:textId="77777777" w:rsidTr="00DC4A4F">
        <w:trPr>
          <w:trHeight w:val="20"/>
        </w:trPr>
        <w:tc>
          <w:tcPr>
            <w:tcW w:w="469" w:type="dxa"/>
            <w:shd w:val="clear" w:color="auto" w:fill="auto"/>
            <w:noWrap/>
          </w:tcPr>
          <w:p w14:paraId="6B5248D2"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6</w:t>
            </w:r>
          </w:p>
        </w:tc>
        <w:tc>
          <w:tcPr>
            <w:tcW w:w="4214" w:type="dxa"/>
            <w:shd w:val="clear" w:color="auto" w:fill="FFFFFF"/>
          </w:tcPr>
          <w:p w14:paraId="4EC0934E"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4CDFEA4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452BA8E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36FC144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47" w:type="dxa"/>
            <w:noWrap/>
            <w:vAlign w:val="center"/>
          </w:tcPr>
          <w:p w14:paraId="7FA246D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0F83E97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52A13C59"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0E94F74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03E01E1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47EE248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3D46CE17" w14:textId="77777777" w:rsidTr="00DC4A4F">
        <w:trPr>
          <w:trHeight w:val="20"/>
        </w:trPr>
        <w:tc>
          <w:tcPr>
            <w:tcW w:w="469" w:type="dxa"/>
            <w:shd w:val="clear" w:color="auto" w:fill="auto"/>
            <w:noWrap/>
          </w:tcPr>
          <w:p w14:paraId="061533A4"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7</w:t>
            </w:r>
          </w:p>
        </w:tc>
        <w:tc>
          <w:tcPr>
            <w:tcW w:w="4214" w:type="dxa"/>
            <w:shd w:val="clear" w:color="auto" w:fill="FFFFFF"/>
          </w:tcPr>
          <w:p w14:paraId="766ABCD1"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Schottertragschicht (</w:t>
            </w:r>
            <w:proofErr w:type="spellStart"/>
            <w:r w:rsidRPr="00DC4A4F">
              <w:rPr>
                <w:rFonts w:ascii="Times New Roman" w:eastAsia="Times New Roman" w:hAnsi="Times New Roman" w:cs="Times New Roman"/>
                <w:sz w:val="18"/>
                <w:szCs w:val="18"/>
                <w:lang w:eastAsia="de-DE"/>
              </w:rPr>
              <w:t>ToB</w:t>
            </w:r>
            <w:proofErr w:type="spellEnd"/>
            <w:r w:rsidRPr="00DC4A4F">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77DA9E8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18FF890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1E38235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47" w:type="dxa"/>
            <w:noWrap/>
            <w:vAlign w:val="center"/>
          </w:tcPr>
          <w:p w14:paraId="6AAF8B2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6B794D5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279A344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61D4E19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3EDFF8A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31524C5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4A3AD6FE" w14:textId="77777777" w:rsidTr="00DC4A4F">
        <w:trPr>
          <w:trHeight w:val="20"/>
        </w:trPr>
        <w:tc>
          <w:tcPr>
            <w:tcW w:w="469" w:type="dxa"/>
            <w:shd w:val="clear" w:color="auto" w:fill="auto"/>
            <w:noWrap/>
          </w:tcPr>
          <w:p w14:paraId="605D1C33"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8</w:t>
            </w:r>
          </w:p>
        </w:tc>
        <w:tc>
          <w:tcPr>
            <w:tcW w:w="4214" w:type="dxa"/>
            <w:shd w:val="clear" w:color="auto" w:fill="FFFFFF"/>
          </w:tcPr>
          <w:p w14:paraId="6F0FB42E"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Frostschutzschicht (</w:t>
            </w:r>
            <w:proofErr w:type="spellStart"/>
            <w:r w:rsidRPr="00DC4A4F">
              <w:rPr>
                <w:rFonts w:ascii="Times New Roman" w:eastAsia="Times New Roman" w:hAnsi="Times New Roman" w:cs="Times New Roman"/>
                <w:sz w:val="18"/>
                <w:szCs w:val="18"/>
                <w:lang w:eastAsia="de-DE"/>
              </w:rPr>
              <w:t>ToB</w:t>
            </w:r>
            <w:proofErr w:type="spellEnd"/>
            <w:r w:rsidRPr="00DC4A4F">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488038E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r w:rsidRPr="00DC4A4F">
              <w:rPr>
                <w:rFonts w:ascii="Times New Roman" w:eastAsia="Times New Roman" w:hAnsi="Times New Roman" w:cs="Times New Roman"/>
                <w:b/>
                <w:sz w:val="24"/>
                <w:szCs w:val="24"/>
                <w:vertAlign w:val="superscript"/>
                <w:lang w:eastAsia="de-DE"/>
              </w:rPr>
              <w:t>2)</w:t>
            </w:r>
          </w:p>
        </w:tc>
        <w:tc>
          <w:tcPr>
            <w:tcW w:w="664" w:type="dxa"/>
            <w:noWrap/>
            <w:vAlign w:val="center"/>
          </w:tcPr>
          <w:p w14:paraId="7A12E66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421EE9D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47" w:type="dxa"/>
            <w:noWrap/>
            <w:vAlign w:val="center"/>
          </w:tcPr>
          <w:p w14:paraId="36FED6A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697E42F9"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r w:rsidRPr="00DC4A4F">
              <w:rPr>
                <w:rFonts w:ascii="Times New Roman" w:eastAsia="Times New Roman" w:hAnsi="Times New Roman" w:cs="Times New Roman"/>
                <w:b/>
                <w:sz w:val="24"/>
                <w:szCs w:val="24"/>
                <w:vertAlign w:val="superscript"/>
                <w:lang w:eastAsia="de-DE"/>
              </w:rPr>
              <w:t>2)</w:t>
            </w:r>
          </w:p>
        </w:tc>
        <w:tc>
          <w:tcPr>
            <w:tcW w:w="500" w:type="dxa"/>
            <w:noWrap/>
            <w:vAlign w:val="center"/>
          </w:tcPr>
          <w:p w14:paraId="2BDC370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3A37E8F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r w:rsidRPr="00DC4A4F">
              <w:rPr>
                <w:rFonts w:ascii="Times New Roman" w:eastAsia="Times New Roman" w:hAnsi="Times New Roman" w:cs="Times New Roman"/>
                <w:b/>
                <w:sz w:val="24"/>
                <w:szCs w:val="24"/>
                <w:vertAlign w:val="superscript"/>
                <w:lang w:eastAsia="de-DE"/>
              </w:rPr>
              <w:t>2)</w:t>
            </w:r>
          </w:p>
        </w:tc>
        <w:tc>
          <w:tcPr>
            <w:tcW w:w="542" w:type="dxa"/>
            <w:shd w:val="clear" w:color="auto" w:fill="auto"/>
            <w:noWrap/>
            <w:vAlign w:val="center"/>
          </w:tcPr>
          <w:p w14:paraId="0DF0913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60FFA3C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12A88782" w14:textId="77777777" w:rsidTr="00DC4A4F">
        <w:trPr>
          <w:trHeight w:val="20"/>
        </w:trPr>
        <w:tc>
          <w:tcPr>
            <w:tcW w:w="469" w:type="dxa"/>
            <w:shd w:val="clear" w:color="auto" w:fill="auto"/>
            <w:noWrap/>
          </w:tcPr>
          <w:p w14:paraId="4E56B5F9"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9</w:t>
            </w:r>
          </w:p>
        </w:tc>
        <w:tc>
          <w:tcPr>
            <w:tcW w:w="4214" w:type="dxa"/>
            <w:shd w:val="clear" w:color="auto" w:fill="FFFFFF"/>
          </w:tcPr>
          <w:p w14:paraId="6F8FFA47"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 xml:space="preserve">Dämme oder Wälle gemäß Bauweisen A-D nach MTSE sowie </w:t>
            </w:r>
            <w:proofErr w:type="spellStart"/>
            <w:r w:rsidRPr="00DC4A4F">
              <w:rPr>
                <w:rFonts w:ascii="Times New Roman" w:eastAsia="Times New Roman" w:hAnsi="Times New Roman" w:cs="Times New Roman"/>
                <w:sz w:val="18"/>
                <w:szCs w:val="18"/>
                <w:lang w:eastAsia="de-DE"/>
              </w:rPr>
              <w:t>Hinterfüllung</w:t>
            </w:r>
            <w:proofErr w:type="spellEnd"/>
            <w:r w:rsidRPr="00DC4A4F">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01817A6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5F4221D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07189C6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47" w:type="dxa"/>
            <w:noWrap/>
            <w:vAlign w:val="center"/>
          </w:tcPr>
          <w:p w14:paraId="56341CC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28414C4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6C17D99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FFFFFF"/>
            <w:vAlign w:val="center"/>
          </w:tcPr>
          <w:p w14:paraId="6A027C1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FFFFFF"/>
            <w:noWrap/>
            <w:vAlign w:val="center"/>
          </w:tcPr>
          <w:p w14:paraId="7C5F9EA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FFFFFF"/>
            <w:vAlign w:val="center"/>
          </w:tcPr>
          <w:p w14:paraId="7B554E4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430E69DD" w14:textId="77777777" w:rsidTr="00DC4A4F">
        <w:trPr>
          <w:trHeight w:val="20"/>
        </w:trPr>
        <w:tc>
          <w:tcPr>
            <w:tcW w:w="469" w:type="dxa"/>
            <w:shd w:val="clear" w:color="auto" w:fill="auto"/>
            <w:noWrap/>
          </w:tcPr>
          <w:p w14:paraId="666342FE"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10</w:t>
            </w:r>
          </w:p>
        </w:tc>
        <w:tc>
          <w:tcPr>
            <w:tcW w:w="4214" w:type="dxa"/>
            <w:shd w:val="clear" w:color="auto" w:fill="FFFFFF"/>
          </w:tcPr>
          <w:p w14:paraId="090DF008"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76BE09A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7384D54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49F6286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47" w:type="dxa"/>
            <w:noWrap/>
            <w:vAlign w:val="center"/>
          </w:tcPr>
          <w:p w14:paraId="0378F91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52F9DDD9"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56C0A18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37018DC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auto"/>
            <w:noWrap/>
            <w:vAlign w:val="center"/>
          </w:tcPr>
          <w:p w14:paraId="51A843E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auto"/>
            <w:vAlign w:val="center"/>
          </w:tcPr>
          <w:p w14:paraId="3F41315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76BCADDB" w14:textId="77777777" w:rsidTr="00DC4A4F">
        <w:trPr>
          <w:trHeight w:val="20"/>
        </w:trPr>
        <w:tc>
          <w:tcPr>
            <w:tcW w:w="469" w:type="dxa"/>
            <w:shd w:val="clear" w:color="auto" w:fill="auto"/>
            <w:noWrap/>
          </w:tcPr>
          <w:p w14:paraId="1B0010EA"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11</w:t>
            </w:r>
          </w:p>
        </w:tc>
        <w:tc>
          <w:tcPr>
            <w:tcW w:w="4214" w:type="dxa"/>
            <w:shd w:val="clear" w:color="auto" w:fill="FFFFFF"/>
          </w:tcPr>
          <w:p w14:paraId="6C959B60"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42769ED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5BB7BC53"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32C0946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47" w:type="dxa"/>
            <w:noWrap/>
            <w:vAlign w:val="center"/>
          </w:tcPr>
          <w:p w14:paraId="210AA5A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3082279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0C36054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0F764A5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480DDC1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56C24AC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34B29C06" w14:textId="77777777" w:rsidTr="00DC4A4F">
        <w:trPr>
          <w:trHeight w:val="20"/>
        </w:trPr>
        <w:tc>
          <w:tcPr>
            <w:tcW w:w="469" w:type="dxa"/>
            <w:shd w:val="clear" w:color="auto" w:fill="auto"/>
            <w:noWrap/>
          </w:tcPr>
          <w:p w14:paraId="3F668F6A"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12</w:t>
            </w:r>
          </w:p>
        </w:tc>
        <w:tc>
          <w:tcPr>
            <w:tcW w:w="4214" w:type="dxa"/>
            <w:shd w:val="clear" w:color="auto" w:fill="FFFFFF"/>
          </w:tcPr>
          <w:p w14:paraId="5C989BDD"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Deckschicht ohne Bindemittel</w:t>
            </w:r>
          </w:p>
        </w:tc>
        <w:tc>
          <w:tcPr>
            <w:tcW w:w="851" w:type="dxa"/>
            <w:noWrap/>
            <w:vAlign w:val="center"/>
          </w:tcPr>
          <w:p w14:paraId="65A05CA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540E632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46FFBB9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47" w:type="dxa"/>
            <w:noWrap/>
            <w:vAlign w:val="center"/>
          </w:tcPr>
          <w:p w14:paraId="5BCD896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771DB2B9"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495E4FC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422766C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noWrap/>
            <w:vAlign w:val="center"/>
          </w:tcPr>
          <w:p w14:paraId="7C9E9FD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6C66896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19D6EB6C" w14:textId="77777777" w:rsidTr="00DC4A4F">
        <w:trPr>
          <w:trHeight w:val="20"/>
        </w:trPr>
        <w:tc>
          <w:tcPr>
            <w:tcW w:w="469" w:type="dxa"/>
            <w:shd w:val="clear" w:color="auto" w:fill="auto"/>
            <w:noWrap/>
          </w:tcPr>
          <w:p w14:paraId="4318570A"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13</w:t>
            </w:r>
          </w:p>
        </w:tc>
        <w:tc>
          <w:tcPr>
            <w:tcW w:w="4214" w:type="dxa"/>
            <w:shd w:val="clear" w:color="auto" w:fill="FFFFFF"/>
          </w:tcPr>
          <w:p w14:paraId="17CFF1B4"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proofErr w:type="spellStart"/>
            <w:r w:rsidRPr="00DC4A4F">
              <w:rPr>
                <w:rFonts w:ascii="Times New Roman" w:eastAsia="Times New Roman" w:hAnsi="Times New Roman" w:cs="Times New Roman"/>
                <w:sz w:val="18"/>
                <w:szCs w:val="18"/>
                <w:lang w:eastAsia="de-DE"/>
              </w:rPr>
              <w:t>ToB</w:t>
            </w:r>
            <w:proofErr w:type="spellEnd"/>
            <w:r w:rsidRPr="00DC4A4F">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1F783C6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62B286E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75EEF27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47" w:type="dxa"/>
            <w:noWrap/>
            <w:vAlign w:val="center"/>
          </w:tcPr>
          <w:p w14:paraId="6AD873D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0CE079A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1AA7322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FFFFFF"/>
            <w:vAlign w:val="center"/>
          </w:tcPr>
          <w:p w14:paraId="1B3C47D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FFFFFF"/>
            <w:noWrap/>
            <w:vAlign w:val="center"/>
          </w:tcPr>
          <w:p w14:paraId="729C704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FFFFFF"/>
            <w:vAlign w:val="center"/>
          </w:tcPr>
          <w:p w14:paraId="768CFD1B"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25502039" w14:textId="77777777" w:rsidTr="00DC4A4F">
        <w:trPr>
          <w:trHeight w:val="20"/>
        </w:trPr>
        <w:tc>
          <w:tcPr>
            <w:tcW w:w="469" w:type="dxa"/>
            <w:shd w:val="clear" w:color="auto" w:fill="auto"/>
            <w:noWrap/>
          </w:tcPr>
          <w:p w14:paraId="65125663"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14</w:t>
            </w:r>
          </w:p>
        </w:tc>
        <w:tc>
          <w:tcPr>
            <w:tcW w:w="4214" w:type="dxa"/>
            <w:shd w:val="clear" w:color="auto" w:fill="FFFFFF"/>
          </w:tcPr>
          <w:p w14:paraId="0B891119"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Bauweisen 13 unter Plattenbelägen</w:t>
            </w:r>
          </w:p>
        </w:tc>
        <w:tc>
          <w:tcPr>
            <w:tcW w:w="851" w:type="dxa"/>
            <w:noWrap/>
            <w:vAlign w:val="center"/>
          </w:tcPr>
          <w:p w14:paraId="2461AC99"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52272C1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r w:rsidRPr="00DC4A4F">
              <w:rPr>
                <w:rFonts w:ascii="Times New Roman" w:eastAsia="Times New Roman" w:hAnsi="Times New Roman" w:cs="Times New Roman"/>
                <w:b/>
                <w:sz w:val="24"/>
                <w:szCs w:val="24"/>
                <w:vertAlign w:val="superscript"/>
                <w:lang w:eastAsia="de-DE"/>
              </w:rPr>
              <w:t>3)</w:t>
            </w:r>
          </w:p>
        </w:tc>
        <w:tc>
          <w:tcPr>
            <w:tcW w:w="1185" w:type="dxa"/>
            <w:noWrap/>
            <w:vAlign w:val="center"/>
          </w:tcPr>
          <w:p w14:paraId="43D4602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47" w:type="dxa"/>
            <w:noWrap/>
            <w:vAlign w:val="center"/>
          </w:tcPr>
          <w:p w14:paraId="457894A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3DEC7DA6"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r w:rsidRPr="00DC4A4F">
              <w:rPr>
                <w:rFonts w:ascii="Times New Roman" w:eastAsia="Times New Roman" w:hAnsi="Times New Roman" w:cs="Times New Roman"/>
                <w:b/>
                <w:sz w:val="24"/>
                <w:szCs w:val="24"/>
                <w:vertAlign w:val="superscript"/>
                <w:lang w:eastAsia="de-DE"/>
              </w:rPr>
              <w:t>3)</w:t>
            </w:r>
          </w:p>
        </w:tc>
        <w:tc>
          <w:tcPr>
            <w:tcW w:w="500" w:type="dxa"/>
            <w:noWrap/>
            <w:vAlign w:val="center"/>
          </w:tcPr>
          <w:p w14:paraId="349D2A1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0C65681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r w:rsidRPr="00DC4A4F">
              <w:rPr>
                <w:rFonts w:ascii="Times New Roman" w:eastAsia="Times New Roman" w:hAnsi="Times New Roman" w:cs="Times New Roman"/>
                <w:b/>
                <w:sz w:val="24"/>
                <w:szCs w:val="24"/>
                <w:vertAlign w:val="superscript"/>
                <w:lang w:eastAsia="de-DE"/>
              </w:rPr>
              <w:t>3)</w:t>
            </w:r>
          </w:p>
        </w:tc>
        <w:tc>
          <w:tcPr>
            <w:tcW w:w="542" w:type="dxa"/>
            <w:noWrap/>
            <w:vAlign w:val="center"/>
          </w:tcPr>
          <w:p w14:paraId="2956EDC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r w:rsidRPr="00DC4A4F">
              <w:rPr>
                <w:rFonts w:ascii="Times New Roman" w:eastAsia="Times New Roman" w:hAnsi="Times New Roman" w:cs="Times New Roman"/>
                <w:b/>
                <w:sz w:val="24"/>
                <w:szCs w:val="24"/>
                <w:vertAlign w:val="superscript"/>
                <w:lang w:eastAsia="de-DE"/>
              </w:rPr>
              <w:t>3)</w:t>
            </w:r>
          </w:p>
        </w:tc>
        <w:tc>
          <w:tcPr>
            <w:tcW w:w="670" w:type="dxa"/>
            <w:shd w:val="clear" w:color="auto" w:fill="FFFFFF"/>
            <w:vAlign w:val="center"/>
          </w:tcPr>
          <w:p w14:paraId="06EBF62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20A7DF8C" w14:textId="77777777" w:rsidTr="00DC4A4F">
        <w:trPr>
          <w:trHeight w:val="20"/>
        </w:trPr>
        <w:tc>
          <w:tcPr>
            <w:tcW w:w="469" w:type="dxa"/>
            <w:shd w:val="clear" w:color="auto" w:fill="auto"/>
            <w:noWrap/>
          </w:tcPr>
          <w:p w14:paraId="0DF0F890"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15</w:t>
            </w:r>
          </w:p>
        </w:tc>
        <w:tc>
          <w:tcPr>
            <w:tcW w:w="4214" w:type="dxa"/>
            <w:shd w:val="clear" w:color="auto" w:fill="FFFFFF"/>
          </w:tcPr>
          <w:p w14:paraId="707C5539"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6CDE4C4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272191F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r w:rsidRPr="00DC4A4F">
              <w:rPr>
                <w:rFonts w:ascii="Times New Roman" w:eastAsia="Times New Roman" w:hAnsi="Times New Roman" w:cs="Times New Roman"/>
                <w:b/>
                <w:sz w:val="24"/>
                <w:szCs w:val="24"/>
                <w:vertAlign w:val="superscript"/>
                <w:lang w:eastAsia="de-DE"/>
              </w:rPr>
              <w:t>4)</w:t>
            </w:r>
          </w:p>
        </w:tc>
        <w:tc>
          <w:tcPr>
            <w:tcW w:w="1185" w:type="dxa"/>
            <w:noWrap/>
            <w:vAlign w:val="center"/>
          </w:tcPr>
          <w:p w14:paraId="4DE99DE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47" w:type="dxa"/>
            <w:noWrap/>
            <w:vAlign w:val="center"/>
          </w:tcPr>
          <w:p w14:paraId="165B7359"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4D64DB4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r w:rsidRPr="00DC4A4F">
              <w:rPr>
                <w:rFonts w:ascii="Times New Roman" w:eastAsia="Times New Roman" w:hAnsi="Times New Roman" w:cs="Times New Roman"/>
                <w:b/>
                <w:sz w:val="24"/>
                <w:szCs w:val="24"/>
                <w:vertAlign w:val="superscript"/>
                <w:lang w:eastAsia="de-DE"/>
              </w:rPr>
              <w:t>4)</w:t>
            </w:r>
          </w:p>
        </w:tc>
        <w:tc>
          <w:tcPr>
            <w:tcW w:w="500" w:type="dxa"/>
            <w:noWrap/>
            <w:vAlign w:val="center"/>
          </w:tcPr>
          <w:p w14:paraId="313DD4C4"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2C183B1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r w:rsidRPr="00DC4A4F">
              <w:rPr>
                <w:rFonts w:ascii="Times New Roman" w:eastAsia="Times New Roman" w:hAnsi="Times New Roman" w:cs="Times New Roman"/>
                <w:b/>
                <w:sz w:val="24"/>
                <w:szCs w:val="24"/>
                <w:vertAlign w:val="superscript"/>
                <w:lang w:eastAsia="de-DE"/>
              </w:rPr>
              <w:t>4)</w:t>
            </w:r>
          </w:p>
        </w:tc>
        <w:tc>
          <w:tcPr>
            <w:tcW w:w="542" w:type="dxa"/>
            <w:noWrap/>
            <w:vAlign w:val="center"/>
          </w:tcPr>
          <w:p w14:paraId="389FE408"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r w:rsidRPr="00DC4A4F">
              <w:rPr>
                <w:rFonts w:ascii="Times New Roman" w:eastAsia="Times New Roman" w:hAnsi="Times New Roman" w:cs="Times New Roman"/>
                <w:b/>
                <w:sz w:val="24"/>
                <w:szCs w:val="24"/>
                <w:vertAlign w:val="superscript"/>
                <w:lang w:eastAsia="de-DE"/>
              </w:rPr>
              <w:t>4)</w:t>
            </w:r>
          </w:p>
        </w:tc>
        <w:tc>
          <w:tcPr>
            <w:tcW w:w="670" w:type="dxa"/>
            <w:shd w:val="clear" w:color="auto" w:fill="FFFFFF"/>
            <w:vAlign w:val="center"/>
          </w:tcPr>
          <w:p w14:paraId="68FBD85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300F23F4" w14:textId="77777777" w:rsidTr="00DC4A4F">
        <w:trPr>
          <w:trHeight w:val="20"/>
        </w:trPr>
        <w:tc>
          <w:tcPr>
            <w:tcW w:w="469" w:type="dxa"/>
            <w:shd w:val="clear" w:color="auto" w:fill="auto"/>
            <w:noWrap/>
          </w:tcPr>
          <w:p w14:paraId="6337B215"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16</w:t>
            </w:r>
          </w:p>
        </w:tc>
        <w:tc>
          <w:tcPr>
            <w:tcW w:w="4214" w:type="dxa"/>
            <w:shd w:val="clear" w:color="auto" w:fill="FFFFFF"/>
          </w:tcPr>
          <w:p w14:paraId="6AB7C09E"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proofErr w:type="spellStart"/>
            <w:r w:rsidRPr="00DC4A4F">
              <w:rPr>
                <w:rFonts w:ascii="Times New Roman" w:eastAsia="Times New Roman" w:hAnsi="Times New Roman" w:cs="Times New Roman"/>
                <w:sz w:val="18"/>
                <w:szCs w:val="18"/>
                <w:lang w:eastAsia="de-DE"/>
              </w:rPr>
              <w:t>Hinterfüllung</w:t>
            </w:r>
            <w:proofErr w:type="spellEnd"/>
            <w:r w:rsidRPr="00DC4A4F">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DC4A4F">
              <w:rPr>
                <w:rFonts w:ascii="Times New Roman" w:eastAsia="Times New Roman" w:hAnsi="Times New Roman" w:cs="Times New Roman"/>
                <w:sz w:val="18"/>
                <w:szCs w:val="18"/>
                <w:lang w:eastAsia="de-DE"/>
              </w:rPr>
              <w:t>Hinterfüllung</w:t>
            </w:r>
            <w:proofErr w:type="spellEnd"/>
            <w:r w:rsidRPr="00DC4A4F">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26656A4E"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1BAC044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r w:rsidRPr="00DC4A4F">
              <w:rPr>
                <w:rFonts w:ascii="Times New Roman" w:eastAsia="Times New Roman" w:hAnsi="Times New Roman" w:cs="Times New Roman"/>
                <w:b/>
                <w:sz w:val="24"/>
                <w:szCs w:val="24"/>
                <w:vertAlign w:val="superscript"/>
                <w:lang w:eastAsia="de-DE"/>
              </w:rPr>
              <w:t>5)</w:t>
            </w:r>
          </w:p>
        </w:tc>
        <w:tc>
          <w:tcPr>
            <w:tcW w:w="1185" w:type="dxa"/>
            <w:noWrap/>
            <w:vAlign w:val="center"/>
          </w:tcPr>
          <w:p w14:paraId="312E199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47" w:type="dxa"/>
            <w:noWrap/>
            <w:vAlign w:val="center"/>
          </w:tcPr>
          <w:p w14:paraId="5098E6A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14D6BB31"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r w:rsidRPr="00DC4A4F">
              <w:rPr>
                <w:rFonts w:ascii="Times New Roman" w:eastAsia="Times New Roman" w:hAnsi="Times New Roman" w:cs="Times New Roman"/>
                <w:b/>
                <w:sz w:val="24"/>
                <w:szCs w:val="24"/>
                <w:vertAlign w:val="superscript"/>
                <w:lang w:eastAsia="de-DE"/>
              </w:rPr>
              <w:t>5)</w:t>
            </w:r>
          </w:p>
        </w:tc>
        <w:tc>
          <w:tcPr>
            <w:tcW w:w="500" w:type="dxa"/>
            <w:noWrap/>
            <w:vAlign w:val="center"/>
          </w:tcPr>
          <w:p w14:paraId="0CD804B2"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FFFFFF"/>
            <w:vAlign w:val="center"/>
          </w:tcPr>
          <w:p w14:paraId="5638D57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FFFFFF"/>
            <w:noWrap/>
            <w:vAlign w:val="center"/>
          </w:tcPr>
          <w:p w14:paraId="5D62F86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FFFFFF"/>
            <w:vAlign w:val="center"/>
          </w:tcPr>
          <w:p w14:paraId="38E1232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r w:rsidR="00DC4A4F" w:rsidRPr="00DC4A4F" w14:paraId="5F493A2B" w14:textId="77777777" w:rsidTr="00DC4A4F">
        <w:trPr>
          <w:trHeight w:val="208"/>
        </w:trPr>
        <w:tc>
          <w:tcPr>
            <w:tcW w:w="469" w:type="dxa"/>
            <w:shd w:val="clear" w:color="auto" w:fill="auto"/>
            <w:noWrap/>
          </w:tcPr>
          <w:p w14:paraId="4FE320BB" w14:textId="77777777" w:rsidR="00DC4A4F" w:rsidRPr="00DC4A4F" w:rsidRDefault="00DC4A4F" w:rsidP="00DC4A4F">
            <w:pPr>
              <w:spacing w:before="0" w:after="0"/>
              <w:jc w:val="left"/>
              <w:rPr>
                <w:rFonts w:ascii="Times New Roman" w:eastAsia="Times New Roman" w:hAnsi="Times New Roman" w:cs="Times New Roman"/>
                <w:sz w:val="20"/>
                <w:szCs w:val="24"/>
                <w:lang w:eastAsia="de-DE"/>
              </w:rPr>
            </w:pPr>
            <w:r w:rsidRPr="00DC4A4F">
              <w:rPr>
                <w:rFonts w:ascii="Times New Roman" w:eastAsia="Times New Roman" w:hAnsi="Times New Roman" w:cs="Times New Roman"/>
                <w:sz w:val="20"/>
                <w:szCs w:val="24"/>
                <w:lang w:eastAsia="de-DE"/>
              </w:rPr>
              <w:t>17</w:t>
            </w:r>
          </w:p>
        </w:tc>
        <w:tc>
          <w:tcPr>
            <w:tcW w:w="4214" w:type="dxa"/>
            <w:shd w:val="clear" w:color="auto" w:fill="FFFFFF"/>
          </w:tcPr>
          <w:p w14:paraId="576B7EA6" w14:textId="77777777" w:rsidR="00DC4A4F" w:rsidRPr="00DC4A4F" w:rsidRDefault="00DC4A4F" w:rsidP="00DC4A4F">
            <w:pPr>
              <w:spacing w:before="0" w:after="0"/>
              <w:jc w:val="left"/>
              <w:rPr>
                <w:rFonts w:ascii="Times New Roman" w:eastAsia="Times New Roman" w:hAnsi="Times New Roman" w:cs="Times New Roman"/>
                <w:sz w:val="18"/>
                <w:szCs w:val="18"/>
                <w:lang w:eastAsia="de-DE"/>
              </w:rPr>
            </w:pPr>
            <w:r w:rsidRPr="00DC4A4F">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51E6828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64" w:type="dxa"/>
            <w:noWrap/>
            <w:vAlign w:val="center"/>
          </w:tcPr>
          <w:p w14:paraId="132AD8FA"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1185" w:type="dxa"/>
            <w:noWrap/>
            <w:vAlign w:val="center"/>
          </w:tcPr>
          <w:p w14:paraId="6DD2B76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47" w:type="dxa"/>
            <w:noWrap/>
            <w:vAlign w:val="center"/>
          </w:tcPr>
          <w:p w14:paraId="47D3AAD0"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vAlign w:val="center"/>
          </w:tcPr>
          <w:p w14:paraId="1E4CBBB7"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00" w:type="dxa"/>
            <w:noWrap/>
            <w:vAlign w:val="center"/>
          </w:tcPr>
          <w:p w14:paraId="00CA2045"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FFFFFF"/>
            <w:vAlign w:val="center"/>
          </w:tcPr>
          <w:p w14:paraId="6544A0CD"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542" w:type="dxa"/>
            <w:shd w:val="clear" w:color="auto" w:fill="FFFFFF"/>
            <w:noWrap/>
            <w:vAlign w:val="center"/>
          </w:tcPr>
          <w:p w14:paraId="14D9B8FC"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c>
          <w:tcPr>
            <w:tcW w:w="670" w:type="dxa"/>
            <w:shd w:val="clear" w:color="auto" w:fill="FFFFFF"/>
            <w:vAlign w:val="center"/>
          </w:tcPr>
          <w:p w14:paraId="7F9A58AF" w14:textId="77777777" w:rsidR="00DC4A4F" w:rsidRPr="00DC4A4F" w:rsidRDefault="00DC4A4F" w:rsidP="00DC4A4F">
            <w:pPr>
              <w:spacing w:before="0" w:after="0"/>
              <w:jc w:val="center"/>
              <w:rPr>
                <w:rFonts w:ascii="Times New Roman" w:eastAsia="Times New Roman" w:hAnsi="Times New Roman" w:cs="Times New Roman"/>
                <w:sz w:val="24"/>
                <w:szCs w:val="24"/>
                <w:lang w:eastAsia="de-DE"/>
              </w:rPr>
            </w:pPr>
            <w:r w:rsidRPr="00DC4A4F">
              <w:rPr>
                <w:rFonts w:ascii="Times New Roman" w:eastAsia="Times New Roman" w:hAnsi="Times New Roman" w:cs="Times New Roman"/>
                <w:sz w:val="24"/>
                <w:szCs w:val="24"/>
                <w:lang w:eastAsia="de-DE"/>
              </w:rPr>
              <w:t>+</w:t>
            </w:r>
          </w:p>
        </w:tc>
      </w:tr>
    </w:tbl>
    <w:p w14:paraId="1749628F" w14:textId="77777777" w:rsidR="00DC4A4F" w:rsidRPr="00DC4A4F" w:rsidRDefault="00DC4A4F" w:rsidP="00DC4A4F">
      <w:pPr>
        <w:spacing w:before="0" w:after="0"/>
        <w:jc w:val="left"/>
        <w:rPr>
          <w:rFonts w:ascii="Times New Roman" w:eastAsia="Times New Roman" w:hAnsi="Times New Roman" w:cs="Times New Roman"/>
          <w:sz w:val="16"/>
          <w:szCs w:val="16"/>
          <w:lang w:eastAsia="de-DE"/>
        </w:rPr>
      </w:pPr>
      <w:r w:rsidRPr="00DC4A4F">
        <w:rPr>
          <w:rFonts w:ascii="Times New Roman" w:eastAsia="Times New Roman" w:hAnsi="Times New Roman" w:cs="Times New Roman"/>
          <w:sz w:val="16"/>
          <w:szCs w:val="16"/>
          <w:lang w:eastAsia="de-DE"/>
        </w:rPr>
        <w:t>1) Die Verfüllung von Leitungsgräben ist nicht zulässig.</w:t>
      </w:r>
    </w:p>
    <w:p w14:paraId="7556C0BE" w14:textId="77777777" w:rsidR="00DC4A4F" w:rsidRPr="00DC4A4F" w:rsidRDefault="00DC4A4F" w:rsidP="00DC4A4F">
      <w:pPr>
        <w:spacing w:before="0" w:after="0"/>
        <w:jc w:val="left"/>
        <w:rPr>
          <w:rFonts w:ascii="Times New Roman" w:eastAsia="Times New Roman" w:hAnsi="Times New Roman" w:cs="Times New Roman"/>
          <w:sz w:val="16"/>
          <w:szCs w:val="16"/>
          <w:lang w:eastAsia="de-DE"/>
        </w:rPr>
      </w:pPr>
      <w:r w:rsidRPr="00DC4A4F">
        <w:rPr>
          <w:rFonts w:ascii="Times New Roman" w:eastAsia="Times New Roman" w:hAnsi="Times New Roman" w:cs="Times New Roman"/>
          <w:sz w:val="16"/>
          <w:szCs w:val="16"/>
          <w:lang w:eastAsia="de-DE"/>
        </w:rPr>
        <w:t xml:space="preserve">2) Zulässig, wenn Chrom, ges. </w:t>
      </w:r>
      <w:r w:rsidRPr="00DC4A4F">
        <w:rPr>
          <w:rFonts w:ascii="Times New Roman" w:eastAsia="Times New Roman" w:hAnsi="Times New Roman" w:cs="Times New Roman"/>
          <w:sz w:val="16"/>
          <w:szCs w:val="16"/>
          <w:lang w:eastAsia="de-DE"/>
        </w:rPr>
        <w:sym w:font="Symbol" w:char="F0A3"/>
      </w:r>
      <w:r w:rsidRPr="00DC4A4F">
        <w:rPr>
          <w:rFonts w:ascii="Times New Roman" w:eastAsia="Times New Roman" w:hAnsi="Times New Roman" w:cs="Times New Roman"/>
          <w:sz w:val="16"/>
          <w:szCs w:val="16"/>
          <w:lang w:eastAsia="de-DE"/>
        </w:rPr>
        <w:t xml:space="preserve"> 110 µg/l, Vanadium </w:t>
      </w:r>
      <w:r w:rsidRPr="00DC4A4F">
        <w:rPr>
          <w:rFonts w:ascii="Times New Roman" w:eastAsia="Times New Roman" w:hAnsi="Times New Roman" w:cs="Times New Roman"/>
          <w:sz w:val="16"/>
          <w:szCs w:val="16"/>
          <w:lang w:eastAsia="de-DE"/>
        </w:rPr>
        <w:sym w:font="Symbol" w:char="F0A3"/>
      </w:r>
      <w:r w:rsidRPr="00DC4A4F">
        <w:rPr>
          <w:rFonts w:ascii="Times New Roman" w:eastAsia="Times New Roman" w:hAnsi="Times New Roman" w:cs="Times New Roman"/>
          <w:sz w:val="16"/>
          <w:szCs w:val="16"/>
          <w:lang w:eastAsia="de-DE"/>
        </w:rPr>
        <w:t xml:space="preserve"> 230 µg/l, PAK</w:t>
      </w:r>
      <w:r w:rsidRPr="00DC4A4F">
        <w:rPr>
          <w:rFonts w:ascii="Times New Roman" w:eastAsia="Times New Roman" w:hAnsi="Times New Roman" w:cs="Times New Roman"/>
          <w:sz w:val="16"/>
          <w:szCs w:val="16"/>
          <w:vertAlign w:val="subscript"/>
          <w:lang w:eastAsia="de-DE"/>
        </w:rPr>
        <w:t>15</w:t>
      </w:r>
      <w:r w:rsidRPr="00DC4A4F">
        <w:rPr>
          <w:rFonts w:ascii="Times New Roman" w:eastAsia="Times New Roman" w:hAnsi="Times New Roman" w:cs="Times New Roman"/>
          <w:sz w:val="16"/>
          <w:szCs w:val="16"/>
          <w:lang w:eastAsia="de-DE"/>
        </w:rPr>
        <w:t xml:space="preserve"> </w:t>
      </w:r>
      <w:r w:rsidRPr="00DC4A4F">
        <w:rPr>
          <w:rFonts w:ascii="Times New Roman" w:eastAsia="Times New Roman" w:hAnsi="Times New Roman" w:cs="Times New Roman"/>
          <w:sz w:val="16"/>
          <w:szCs w:val="16"/>
          <w:lang w:eastAsia="de-DE"/>
        </w:rPr>
        <w:sym w:font="Symbol" w:char="F0A3"/>
      </w:r>
      <w:r w:rsidRPr="00DC4A4F">
        <w:rPr>
          <w:rFonts w:ascii="Times New Roman" w:eastAsia="Times New Roman" w:hAnsi="Times New Roman" w:cs="Times New Roman"/>
          <w:sz w:val="16"/>
          <w:szCs w:val="16"/>
          <w:lang w:eastAsia="de-DE"/>
        </w:rPr>
        <w:t xml:space="preserve"> 2,3 µg/l, Phenole </w:t>
      </w:r>
      <w:r w:rsidRPr="00DC4A4F">
        <w:rPr>
          <w:rFonts w:ascii="Times New Roman" w:eastAsia="Times New Roman" w:hAnsi="Times New Roman" w:cs="Times New Roman"/>
          <w:sz w:val="16"/>
          <w:szCs w:val="16"/>
          <w:lang w:eastAsia="de-DE"/>
        </w:rPr>
        <w:sym w:font="Symbol" w:char="F0A3"/>
      </w:r>
      <w:r w:rsidRPr="00DC4A4F">
        <w:rPr>
          <w:rFonts w:ascii="Times New Roman" w:eastAsia="Times New Roman" w:hAnsi="Times New Roman" w:cs="Times New Roman"/>
          <w:sz w:val="16"/>
          <w:szCs w:val="16"/>
          <w:lang w:eastAsia="de-DE"/>
        </w:rPr>
        <w:t xml:space="preserve"> 90 µg/l und Chlorphenole </w:t>
      </w:r>
      <w:r w:rsidRPr="00DC4A4F">
        <w:rPr>
          <w:rFonts w:ascii="Times New Roman" w:eastAsia="Times New Roman" w:hAnsi="Times New Roman" w:cs="Times New Roman"/>
          <w:sz w:val="16"/>
          <w:szCs w:val="16"/>
          <w:lang w:eastAsia="de-DE"/>
        </w:rPr>
        <w:sym w:font="Symbol" w:char="F0A3"/>
      </w:r>
      <w:r w:rsidRPr="00DC4A4F">
        <w:rPr>
          <w:rFonts w:ascii="Times New Roman" w:eastAsia="Times New Roman" w:hAnsi="Times New Roman" w:cs="Times New Roman"/>
          <w:sz w:val="16"/>
          <w:szCs w:val="16"/>
          <w:lang w:eastAsia="de-DE"/>
        </w:rPr>
        <w:t xml:space="preserve"> 10 µg/l. </w:t>
      </w:r>
    </w:p>
    <w:p w14:paraId="1C2D2D17" w14:textId="77777777" w:rsidR="00DC4A4F" w:rsidRPr="00DC4A4F" w:rsidRDefault="00DC4A4F" w:rsidP="00DC4A4F">
      <w:pPr>
        <w:spacing w:before="0" w:after="0"/>
        <w:ind w:left="142" w:hanging="142"/>
        <w:jc w:val="left"/>
        <w:rPr>
          <w:rFonts w:ascii="Times New Roman" w:eastAsia="Times New Roman" w:hAnsi="Times New Roman" w:cs="Times New Roman"/>
          <w:sz w:val="16"/>
          <w:szCs w:val="16"/>
          <w:lang w:eastAsia="de-DE"/>
        </w:rPr>
      </w:pPr>
      <w:r w:rsidRPr="00DC4A4F">
        <w:rPr>
          <w:rFonts w:ascii="Times New Roman" w:eastAsia="Times New Roman" w:hAnsi="Times New Roman" w:cs="Times New Roman"/>
          <w:sz w:val="16"/>
          <w:szCs w:val="16"/>
          <w:lang w:eastAsia="de-DE"/>
        </w:rPr>
        <w:t xml:space="preserve">3) Zulässig, wenn Blei </w:t>
      </w:r>
      <w:r w:rsidRPr="00DC4A4F">
        <w:rPr>
          <w:rFonts w:ascii="Times New Roman" w:eastAsia="Times New Roman" w:hAnsi="Times New Roman" w:cs="Times New Roman"/>
          <w:sz w:val="16"/>
          <w:szCs w:val="16"/>
          <w:lang w:eastAsia="de-DE"/>
        </w:rPr>
        <w:sym w:font="Symbol" w:char="F0A3"/>
      </w:r>
      <w:r w:rsidRPr="00DC4A4F">
        <w:rPr>
          <w:rFonts w:ascii="Times New Roman" w:eastAsia="Times New Roman" w:hAnsi="Times New Roman" w:cs="Times New Roman"/>
          <w:sz w:val="16"/>
          <w:szCs w:val="16"/>
          <w:lang w:eastAsia="de-DE"/>
        </w:rPr>
        <w:t xml:space="preserve"> 140 µg/l, Cadmium </w:t>
      </w:r>
      <w:r w:rsidRPr="00DC4A4F">
        <w:rPr>
          <w:rFonts w:ascii="Times New Roman" w:eastAsia="Times New Roman" w:hAnsi="Times New Roman" w:cs="Times New Roman"/>
          <w:sz w:val="16"/>
          <w:szCs w:val="16"/>
          <w:lang w:eastAsia="de-DE"/>
        </w:rPr>
        <w:sym w:font="Symbol" w:char="F0A3"/>
      </w:r>
      <w:r w:rsidRPr="00DC4A4F">
        <w:rPr>
          <w:rFonts w:ascii="Times New Roman" w:eastAsia="Times New Roman" w:hAnsi="Times New Roman" w:cs="Times New Roman"/>
          <w:sz w:val="16"/>
          <w:szCs w:val="16"/>
          <w:lang w:eastAsia="de-DE"/>
        </w:rPr>
        <w:t xml:space="preserve"> 3,0 µg/l, Chrom, ges. </w:t>
      </w:r>
      <w:r w:rsidRPr="00DC4A4F">
        <w:rPr>
          <w:rFonts w:ascii="Times New Roman" w:eastAsia="Times New Roman" w:hAnsi="Times New Roman" w:cs="Times New Roman"/>
          <w:sz w:val="16"/>
          <w:szCs w:val="16"/>
          <w:lang w:eastAsia="de-DE"/>
        </w:rPr>
        <w:sym w:font="Symbol" w:char="F0A3"/>
      </w:r>
      <w:r w:rsidRPr="00DC4A4F">
        <w:rPr>
          <w:rFonts w:ascii="Times New Roman" w:eastAsia="Times New Roman" w:hAnsi="Times New Roman" w:cs="Times New Roman"/>
          <w:sz w:val="16"/>
          <w:szCs w:val="16"/>
          <w:lang w:eastAsia="de-DE"/>
        </w:rPr>
        <w:t xml:space="preserve"> 230 µg/l, Kupfer </w:t>
      </w:r>
      <w:r w:rsidRPr="00DC4A4F">
        <w:rPr>
          <w:rFonts w:ascii="Times New Roman" w:eastAsia="Times New Roman" w:hAnsi="Times New Roman" w:cs="Times New Roman"/>
          <w:sz w:val="16"/>
          <w:szCs w:val="16"/>
          <w:lang w:eastAsia="de-DE"/>
        </w:rPr>
        <w:sym w:font="Symbol" w:char="F0A3"/>
      </w:r>
      <w:r w:rsidRPr="00DC4A4F">
        <w:rPr>
          <w:rFonts w:ascii="Times New Roman" w:eastAsia="Times New Roman" w:hAnsi="Times New Roman" w:cs="Times New Roman"/>
          <w:sz w:val="16"/>
          <w:szCs w:val="16"/>
          <w:lang w:eastAsia="de-DE"/>
        </w:rPr>
        <w:t xml:space="preserve"> 160 µg/l, Nickel </w:t>
      </w:r>
      <w:r w:rsidRPr="00DC4A4F">
        <w:rPr>
          <w:rFonts w:ascii="Times New Roman" w:eastAsia="Times New Roman" w:hAnsi="Times New Roman" w:cs="Times New Roman"/>
          <w:sz w:val="16"/>
          <w:szCs w:val="16"/>
          <w:lang w:eastAsia="de-DE"/>
        </w:rPr>
        <w:sym w:font="Symbol" w:char="F0A3"/>
      </w:r>
      <w:r w:rsidRPr="00DC4A4F">
        <w:rPr>
          <w:rFonts w:ascii="Times New Roman" w:eastAsia="Times New Roman" w:hAnsi="Times New Roman" w:cs="Times New Roman"/>
          <w:sz w:val="16"/>
          <w:szCs w:val="16"/>
          <w:lang w:eastAsia="de-DE"/>
        </w:rPr>
        <w:t xml:space="preserve"> 30 µg/l, Vanadium </w:t>
      </w:r>
      <w:r w:rsidRPr="00DC4A4F">
        <w:rPr>
          <w:rFonts w:ascii="Times New Roman" w:eastAsia="Times New Roman" w:hAnsi="Times New Roman" w:cs="Times New Roman"/>
          <w:sz w:val="16"/>
          <w:szCs w:val="16"/>
          <w:lang w:eastAsia="de-DE"/>
        </w:rPr>
        <w:sym w:font="Symbol" w:char="F0A3"/>
      </w:r>
      <w:r w:rsidRPr="00DC4A4F">
        <w:rPr>
          <w:rFonts w:ascii="Times New Roman" w:eastAsia="Times New Roman" w:hAnsi="Times New Roman" w:cs="Times New Roman"/>
          <w:sz w:val="16"/>
          <w:szCs w:val="16"/>
          <w:lang w:eastAsia="de-DE"/>
        </w:rPr>
        <w:t xml:space="preserve"> 90 µg/l und Zink </w:t>
      </w:r>
      <w:r w:rsidRPr="00DC4A4F">
        <w:rPr>
          <w:rFonts w:ascii="Times New Roman" w:eastAsia="Times New Roman" w:hAnsi="Times New Roman" w:cs="Times New Roman"/>
          <w:sz w:val="16"/>
          <w:szCs w:val="16"/>
          <w:lang w:eastAsia="de-DE"/>
        </w:rPr>
        <w:sym w:font="Symbol" w:char="F0A3"/>
      </w:r>
      <w:r w:rsidRPr="00DC4A4F">
        <w:rPr>
          <w:rFonts w:ascii="Times New Roman" w:eastAsia="Times New Roman" w:hAnsi="Times New Roman" w:cs="Times New Roman"/>
          <w:sz w:val="16"/>
          <w:szCs w:val="16"/>
          <w:lang w:eastAsia="de-DE"/>
        </w:rPr>
        <w:t xml:space="preserve"> 180 µg/l.</w:t>
      </w:r>
    </w:p>
    <w:p w14:paraId="0C278CC5" w14:textId="77777777" w:rsidR="00DC4A4F" w:rsidRPr="00DC4A4F" w:rsidRDefault="00DC4A4F" w:rsidP="00DC4A4F">
      <w:pPr>
        <w:spacing w:before="0" w:after="0"/>
        <w:jc w:val="left"/>
        <w:rPr>
          <w:rFonts w:ascii="Times New Roman" w:eastAsia="Times New Roman" w:hAnsi="Times New Roman" w:cs="Times New Roman"/>
          <w:sz w:val="16"/>
          <w:szCs w:val="16"/>
          <w:lang w:eastAsia="de-DE"/>
        </w:rPr>
      </w:pPr>
      <w:r w:rsidRPr="00DC4A4F">
        <w:rPr>
          <w:rFonts w:ascii="Times New Roman" w:eastAsia="Times New Roman" w:hAnsi="Times New Roman" w:cs="Times New Roman"/>
          <w:sz w:val="16"/>
          <w:szCs w:val="16"/>
          <w:lang w:eastAsia="de-DE"/>
        </w:rPr>
        <w:t xml:space="preserve">4) Zulässig, wenn Blei </w:t>
      </w:r>
      <w:r w:rsidRPr="00DC4A4F">
        <w:rPr>
          <w:rFonts w:ascii="Times New Roman" w:eastAsia="Times New Roman" w:hAnsi="Times New Roman" w:cs="Times New Roman"/>
          <w:sz w:val="16"/>
          <w:szCs w:val="16"/>
          <w:lang w:eastAsia="de-DE"/>
        </w:rPr>
        <w:sym w:font="Symbol" w:char="F0A3"/>
      </w:r>
      <w:r w:rsidRPr="00DC4A4F">
        <w:rPr>
          <w:rFonts w:ascii="Times New Roman" w:eastAsia="Times New Roman" w:hAnsi="Times New Roman" w:cs="Times New Roman"/>
          <w:sz w:val="16"/>
          <w:szCs w:val="16"/>
          <w:lang w:eastAsia="de-DE"/>
        </w:rPr>
        <w:t xml:space="preserve"> 220 µg/l, Cadmium </w:t>
      </w:r>
      <w:r w:rsidRPr="00DC4A4F">
        <w:rPr>
          <w:rFonts w:ascii="Times New Roman" w:eastAsia="Times New Roman" w:hAnsi="Times New Roman" w:cs="Times New Roman"/>
          <w:sz w:val="16"/>
          <w:szCs w:val="16"/>
          <w:lang w:eastAsia="de-DE"/>
        </w:rPr>
        <w:sym w:font="Symbol" w:char="F0A3"/>
      </w:r>
      <w:r w:rsidRPr="00DC4A4F">
        <w:rPr>
          <w:rFonts w:ascii="Times New Roman" w:eastAsia="Times New Roman" w:hAnsi="Times New Roman" w:cs="Times New Roman"/>
          <w:sz w:val="16"/>
          <w:szCs w:val="16"/>
          <w:lang w:eastAsia="de-DE"/>
        </w:rPr>
        <w:t xml:space="preserve"> 4,0 µg/l, Nickel </w:t>
      </w:r>
      <w:r w:rsidRPr="00DC4A4F">
        <w:rPr>
          <w:rFonts w:ascii="Times New Roman" w:eastAsia="Times New Roman" w:hAnsi="Times New Roman" w:cs="Times New Roman"/>
          <w:sz w:val="16"/>
          <w:szCs w:val="16"/>
          <w:lang w:eastAsia="de-DE"/>
        </w:rPr>
        <w:sym w:font="Symbol" w:char="F0A3"/>
      </w:r>
      <w:r w:rsidRPr="00DC4A4F">
        <w:rPr>
          <w:rFonts w:ascii="Times New Roman" w:eastAsia="Times New Roman" w:hAnsi="Times New Roman" w:cs="Times New Roman"/>
          <w:sz w:val="16"/>
          <w:szCs w:val="16"/>
          <w:lang w:eastAsia="de-DE"/>
        </w:rPr>
        <w:t xml:space="preserve"> 35 µg/l, Vanadium </w:t>
      </w:r>
      <w:r w:rsidRPr="00DC4A4F">
        <w:rPr>
          <w:rFonts w:ascii="Times New Roman" w:eastAsia="Times New Roman" w:hAnsi="Times New Roman" w:cs="Times New Roman"/>
          <w:sz w:val="16"/>
          <w:szCs w:val="16"/>
          <w:lang w:eastAsia="de-DE"/>
        </w:rPr>
        <w:sym w:font="Symbol" w:char="F0A3"/>
      </w:r>
      <w:r w:rsidRPr="00DC4A4F">
        <w:rPr>
          <w:rFonts w:ascii="Times New Roman" w:eastAsia="Times New Roman" w:hAnsi="Times New Roman" w:cs="Times New Roman"/>
          <w:sz w:val="16"/>
          <w:szCs w:val="16"/>
          <w:lang w:eastAsia="de-DE"/>
        </w:rPr>
        <w:t xml:space="preserve"> 180 µg/l und Zink </w:t>
      </w:r>
      <w:r w:rsidRPr="00DC4A4F">
        <w:rPr>
          <w:rFonts w:ascii="Times New Roman" w:eastAsia="Times New Roman" w:hAnsi="Times New Roman" w:cs="Times New Roman"/>
          <w:sz w:val="16"/>
          <w:szCs w:val="16"/>
          <w:lang w:eastAsia="de-DE"/>
        </w:rPr>
        <w:sym w:font="Symbol" w:char="F0A3"/>
      </w:r>
      <w:r w:rsidRPr="00DC4A4F">
        <w:rPr>
          <w:rFonts w:ascii="Times New Roman" w:eastAsia="Times New Roman" w:hAnsi="Times New Roman" w:cs="Times New Roman"/>
          <w:sz w:val="16"/>
          <w:szCs w:val="16"/>
          <w:lang w:eastAsia="de-DE"/>
        </w:rPr>
        <w:t xml:space="preserve"> 250 µg/l.</w:t>
      </w:r>
    </w:p>
    <w:p w14:paraId="64502AFF" w14:textId="77777777" w:rsidR="00DC4A4F" w:rsidRPr="00DC4A4F" w:rsidRDefault="00DC4A4F" w:rsidP="00DC4A4F">
      <w:pPr>
        <w:pStyle w:val="Text"/>
      </w:pPr>
      <w:r w:rsidRPr="00DC4A4F">
        <w:rPr>
          <w:rFonts w:ascii="Times New Roman" w:eastAsia="Times New Roman" w:hAnsi="Times New Roman" w:cs="Times New Roman"/>
          <w:sz w:val="16"/>
          <w:szCs w:val="16"/>
          <w:lang w:eastAsia="de-DE"/>
        </w:rPr>
        <w:t>5) Zulässig, wenn „K“.</w:t>
      </w:r>
    </w:p>
    <w:p w14:paraId="590A6379" w14:textId="574E222A" w:rsidR="00F43C5E" w:rsidRPr="008D0377" w:rsidRDefault="00F43C5E" w:rsidP="00F43C5E">
      <w:pPr>
        <w:pStyle w:val="berschrift1"/>
      </w:pPr>
      <w:r>
        <w:rPr>
          <w:lang w:eastAsia="de-DE"/>
        </w:rPr>
        <w:br w:type="page"/>
      </w:r>
      <w:r w:rsidRPr="008D0377">
        <w:lastRenderedPageBreak/>
        <w:t>Tabelle 8: Bodenmaterial der Klasse F3 (BM-F3), Baggergut der Klasse F3 (BG-3)</w:t>
      </w:r>
    </w:p>
    <w:p w14:paraId="7E97085F" w14:textId="77777777" w:rsidR="000D49B1" w:rsidRDefault="000D49B1" w:rsidP="000D49B1">
      <w:pPr>
        <w:pStyle w:val="Text"/>
      </w:pPr>
    </w:p>
    <w:tbl>
      <w:tblPr>
        <w:tblW w:w="11281" w:type="dxa"/>
        <w:tblInd w:w="-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700"/>
        <w:gridCol w:w="1185"/>
        <w:gridCol w:w="780"/>
        <w:gridCol w:w="715"/>
        <w:gridCol w:w="500"/>
        <w:gridCol w:w="715"/>
        <w:gridCol w:w="542"/>
        <w:gridCol w:w="715"/>
      </w:tblGrid>
      <w:tr w:rsidR="000D49B1" w:rsidRPr="000D49B1" w14:paraId="5D04EBB5" w14:textId="77777777" w:rsidTr="000D49B1">
        <w:trPr>
          <w:trHeight w:val="330"/>
        </w:trPr>
        <w:tc>
          <w:tcPr>
            <w:tcW w:w="11281" w:type="dxa"/>
            <w:gridSpan w:val="11"/>
            <w:noWrap/>
            <w:vAlign w:val="bottom"/>
          </w:tcPr>
          <w:p w14:paraId="0329288A" w14:textId="77777777" w:rsidR="000D49B1" w:rsidRPr="000D49B1" w:rsidRDefault="000D49B1" w:rsidP="000D49B1">
            <w:pPr>
              <w:spacing w:before="0" w:after="0"/>
              <w:jc w:val="center"/>
              <w:rPr>
                <w:rFonts w:ascii="Times New Roman" w:eastAsia="Times New Roman" w:hAnsi="Times New Roman" w:cs="Times New Roman"/>
                <w:b/>
                <w:bCs/>
                <w:sz w:val="24"/>
                <w:szCs w:val="24"/>
                <w:lang w:eastAsia="de-DE"/>
              </w:rPr>
            </w:pPr>
            <w:r w:rsidRPr="000D49B1">
              <w:rPr>
                <w:rFonts w:ascii="Times New Roman" w:eastAsia="Times New Roman" w:hAnsi="Times New Roman" w:cs="Times New Roman"/>
                <w:b/>
                <w:sz w:val="24"/>
                <w:szCs w:val="24"/>
                <w:lang w:eastAsia="de-DE"/>
              </w:rPr>
              <w:br w:type="page"/>
            </w:r>
            <w:r w:rsidRPr="000D49B1">
              <w:rPr>
                <w:rFonts w:ascii="Times New Roman" w:eastAsia="Times New Roman" w:hAnsi="Times New Roman" w:cs="Times New Roman"/>
                <w:b/>
                <w:sz w:val="24"/>
                <w:szCs w:val="24"/>
                <w:lang w:eastAsia="de-DE"/>
              </w:rPr>
              <w:br w:type="page"/>
            </w:r>
            <w:r w:rsidRPr="000D49B1">
              <w:rPr>
                <w:rFonts w:ascii="Times New Roman" w:eastAsia="Times New Roman" w:hAnsi="Times New Roman" w:cs="Times New Roman"/>
                <w:b/>
                <w:sz w:val="24"/>
                <w:szCs w:val="24"/>
                <w:lang w:eastAsia="de-DE"/>
              </w:rPr>
              <w:br w:type="page"/>
            </w:r>
            <w:r w:rsidRPr="000D49B1">
              <w:rPr>
                <w:rFonts w:ascii="Times New Roman" w:eastAsia="Times New Roman" w:hAnsi="Times New Roman" w:cs="Times New Roman"/>
                <w:b/>
                <w:sz w:val="24"/>
                <w:szCs w:val="24"/>
                <w:lang w:eastAsia="de-DE"/>
              </w:rPr>
              <w:br w:type="page"/>
              <w:t>Bodenmaterial der Klasse F3 (</w:t>
            </w:r>
            <w:r w:rsidRPr="000D49B1">
              <w:rPr>
                <w:rFonts w:ascii="Times New Roman" w:eastAsia="Times New Roman" w:hAnsi="Times New Roman" w:cs="Times New Roman"/>
                <w:b/>
                <w:bCs/>
                <w:sz w:val="24"/>
                <w:szCs w:val="24"/>
                <w:lang w:eastAsia="de-DE"/>
              </w:rPr>
              <w:t>BM-F3), Baggergut der Klasse F3 (BG-3)</w:t>
            </w:r>
          </w:p>
        </w:tc>
      </w:tr>
      <w:tr w:rsidR="000D49B1" w:rsidRPr="000D49B1" w14:paraId="3926E99F" w14:textId="77777777" w:rsidTr="000D49B1">
        <w:trPr>
          <w:trHeight w:val="20"/>
        </w:trPr>
        <w:tc>
          <w:tcPr>
            <w:tcW w:w="4683" w:type="dxa"/>
            <w:gridSpan w:val="2"/>
            <w:vMerge w:val="restart"/>
            <w:shd w:val="clear" w:color="auto" w:fill="auto"/>
            <w:noWrap/>
          </w:tcPr>
          <w:p w14:paraId="20D353BA" w14:textId="77777777" w:rsidR="000D49B1" w:rsidRPr="000D49B1" w:rsidRDefault="000D49B1" w:rsidP="000D49B1">
            <w:pPr>
              <w:spacing w:before="0" w:after="0"/>
              <w:jc w:val="center"/>
              <w:rPr>
                <w:rFonts w:ascii="Times New Roman" w:eastAsia="Times New Roman" w:hAnsi="Times New Roman" w:cs="Times New Roman"/>
                <w:b/>
                <w:sz w:val="24"/>
                <w:szCs w:val="24"/>
                <w:lang w:eastAsia="de-DE"/>
              </w:rPr>
            </w:pPr>
            <w:r w:rsidRPr="000D49B1">
              <w:rPr>
                <w:rFonts w:ascii="Times New Roman" w:eastAsia="Times New Roman" w:hAnsi="Times New Roman" w:cs="Times New Roman"/>
                <w:b/>
                <w:sz w:val="24"/>
                <w:szCs w:val="24"/>
                <w:lang w:eastAsia="de-DE"/>
              </w:rPr>
              <w:t>Einbauweise</w:t>
            </w:r>
          </w:p>
        </w:tc>
        <w:tc>
          <w:tcPr>
            <w:tcW w:w="6598" w:type="dxa"/>
            <w:gridSpan w:val="9"/>
            <w:shd w:val="clear" w:color="auto" w:fill="auto"/>
            <w:noWrap/>
            <w:vAlign w:val="center"/>
          </w:tcPr>
          <w:p w14:paraId="663FD04C" w14:textId="77777777" w:rsidR="000D49B1" w:rsidRPr="000D49B1" w:rsidRDefault="000D49B1" w:rsidP="000D49B1">
            <w:pPr>
              <w:spacing w:before="0" w:after="0"/>
              <w:jc w:val="center"/>
              <w:rPr>
                <w:rFonts w:ascii="Times New Roman" w:eastAsia="Times New Roman" w:hAnsi="Times New Roman" w:cs="Times New Roman"/>
                <w:b/>
                <w:sz w:val="24"/>
                <w:szCs w:val="24"/>
                <w:lang w:eastAsia="de-DE"/>
              </w:rPr>
            </w:pPr>
            <w:r w:rsidRPr="000D49B1">
              <w:rPr>
                <w:rFonts w:ascii="Times New Roman" w:eastAsia="Times New Roman" w:hAnsi="Times New Roman" w:cs="Times New Roman"/>
                <w:b/>
                <w:sz w:val="24"/>
                <w:szCs w:val="24"/>
                <w:lang w:eastAsia="de-DE"/>
              </w:rPr>
              <w:t>Eigenschaft der Grundwasserdeckschicht</w:t>
            </w:r>
          </w:p>
        </w:tc>
      </w:tr>
      <w:tr w:rsidR="000D49B1" w:rsidRPr="000D49B1" w14:paraId="6EC3C28D" w14:textId="77777777" w:rsidTr="000D49B1">
        <w:trPr>
          <w:trHeight w:val="20"/>
        </w:trPr>
        <w:tc>
          <w:tcPr>
            <w:tcW w:w="4683" w:type="dxa"/>
            <w:gridSpan w:val="2"/>
            <w:vMerge/>
            <w:shd w:val="clear" w:color="auto" w:fill="auto"/>
            <w:noWrap/>
            <w:vAlign w:val="center"/>
          </w:tcPr>
          <w:p w14:paraId="24DD55D3" w14:textId="77777777" w:rsidR="000D49B1" w:rsidRPr="000D49B1" w:rsidRDefault="000D49B1" w:rsidP="000D49B1">
            <w:pPr>
              <w:spacing w:before="0" w:after="0"/>
              <w:jc w:val="center"/>
              <w:rPr>
                <w:rFonts w:ascii="Times New Roman" w:eastAsia="Times New Roman" w:hAnsi="Times New Roman" w:cs="Times New Roman"/>
                <w:sz w:val="20"/>
                <w:szCs w:val="24"/>
                <w:lang w:eastAsia="de-DE"/>
              </w:rPr>
            </w:pPr>
          </w:p>
        </w:tc>
        <w:tc>
          <w:tcPr>
            <w:tcW w:w="2736" w:type="dxa"/>
            <w:gridSpan w:val="3"/>
            <w:shd w:val="clear" w:color="auto" w:fill="auto"/>
            <w:noWrap/>
            <w:vAlign w:val="center"/>
          </w:tcPr>
          <w:p w14:paraId="5A324A0E" w14:textId="77777777" w:rsidR="000D49B1" w:rsidRPr="000D49B1" w:rsidRDefault="000D49B1" w:rsidP="000D49B1">
            <w:pPr>
              <w:spacing w:before="0" w:after="0"/>
              <w:jc w:val="center"/>
              <w:rPr>
                <w:rFonts w:ascii="Times New Roman" w:eastAsia="Times New Roman" w:hAnsi="Times New Roman" w:cs="Times New Roman"/>
                <w:sz w:val="20"/>
                <w:szCs w:val="20"/>
                <w:lang w:eastAsia="de-DE"/>
              </w:rPr>
            </w:pPr>
            <w:r w:rsidRPr="000D49B1">
              <w:rPr>
                <w:rFonts w:ascii="Times New Roman" w:eastAsia="Times New Roman" w:hAnsi="Times New Roman" w:cs="Times New Roman"/>
                <w:sz w:val="20"/>
                <w:szCs w:val="20"/>
                <w:lang w:eastAsia="de-DE"/>
              </w:rPr>
              <w:t>außerhalb von</w:t>
            </w:r>
          </w:p>
          <w:p w14:paraId="564FE316" w14:textId="77777777" w:rsidR="000D49B1" w:rsidRPr="000D49B1" w:rsidRDefault="000D49B1" w:rsidP="000D49B1">
            <w:pPr>
              <w:spacing w:before="0" w:after="0"/>
              <w:jc w:val="center"/>
              <w:rPr>
                <w:rFonts w:ascii="Times New Roman" w:eastAsia="Times New Roman" w:hAnsi="Times New Roman" w:cs="Times New Roman"/>
                <w:sz w:val="20"/>
                <w:szCs w:val="20"/>
                <w:lang w:eastAsia="de-DE"/>
              </w:rPr>
            </w:pPr>
            <w:r w:rsidRPr="000D49B1">
              <w:rPr>
                <w:rFonts w:ascii="Times New Roman" w:eastAsia="Times New Roman" w:hAnsi="Times New Roman" w:cs="Times New Roman"/>
                <w:sz w:val="20"/>
                <w:szCs w:val="20"/>
                <w:lang w:eastAsia="de-DE"/>
              </w:rPr>
              <w:t>Wasserschutzbereichen</w:t>
            </w:r>
          </w:p>
        </w:tc>
        <w:tc>
          <w:tcPr>
            <w:tcW w:w="3862" w:type="dxa"/>
            <w:gridSpan w:val="6"/>
            <w:shd w:val="clear" w:color="auto" w:fill="auto"/>
            <w:noWrap/>
            <w:vAlign w:val="center"/>
          </w:tcPr>
          <w:p w14:paraId="51C7A153" w14:textId="77777777" w:rsidR="000D49B1" w:rsidRPr="000D49B1" w:rsidRDefault="000D49B1" w:rsidP="000D49B1">
            <w:pPr>
              <w:spacing w:before="0" w:after="0"/>
              <w:jc w:val="center"/>
              <w:rPr>
                <w:rFonts w:ascii="Times New Roman" w:eastAsia="Times New Roman" w:hAnsi="Times New Roman" w:cs="Times New Roman"/>
                <w:sz w:val="20"/>
                <w:szCs w:val="20"/>
                <w:lang w:eastAsia="de-DE"/>
              </w:rPr>
            </w:pPr>
            <w:r w:rsidRPr="000D49B1">
              <w:rPr>
                <w:rFonts w:ascii="Times New Roman" w:eastAsia="Times New Roman" w:hAnsi="Times New Roman" w:cs="Times New Roman"/>
                <w:sz w:val="20"/>
                <w:szCs w:val="20"/>
                <w:lang w:eastAsia="de-DE"/>
              </w:rPr>
              <w:t>innerhalb von</w:t>
            </w:r>
          </w:p>
          <w:p w14:paraId="7284E14A" w14:textId="77777777" w:rsidR="000D49B1" w:rsidRPr="000D49B1" w:rsidRDefault="000D49B1" w:rsidP="000D49B1">
            <w:pPr>
              <w:spacing w:before="0" w:after="0"/>
              <w:jc w:val="center"/>
              <w:rPr>
                <w:rFonts w:ascii="Times New Roman" w:eastAsia="Times New Roman" w:hAnsi="Times New Roman" w:cs="Times New Roman"/>
                <w:sz w:val="20"/>
                <w:szCs w:val="20"/>
                <w:lang w:eastAsia="de-DE"/>
              </w:rPr>
            </w:pPr>
            <w:r w:rsidRPr="000D49B1">
              <w:rPr>
                <w:rFonts w:ascii="Times New Roman" w:eastAsia="Times New Roman" w:hAnsi="Times New Roman" w:cs="Times New Roman"/>
                <w:sz w:val="20"/>
                <w:szCs w:val="20"/>
                <w:lang w:eastAsia="de-DE"/>
              </w:rPr>
              <w:t>Wasserschutzbereichen</w:t>
            </w:r>
          </w:p>
        </w:tc>
      </w:tr>
      <w:tr w:rsidR="000D49B1" w:rsidRPr="000D49B1" w14:paraId="51CF74D6" w14:textId="77777777" w:rsidTr="000D49B1">
        <w:trPr>
          <w:trHeight w:val="20"/>
        </w:trPr>
        <w:tc>
          <w:tcPr>
            <w:tcW w:w="4683" w:type="dxa"/>
            <w:gridSpan w:val="2"/>
            <w:vMerge/>
            <w:shd w:val="clear" w:color="auto" w:fill="auto"/>
            <w:noWrap/>
            <w:vAlign w:val="center"/>
          </w:tcPr>
          <w:p w14:paraId="670B8000"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3F3A65AE" w14:textId="77777777" w:rsidR="000D49B1" w:rsidRPr="000D49B1" w:rsidRDefault="000D49B1" w:rsidP="000D49B1">
            <w:pPr>
              <w:spacing w:before="0" w:after="0"/>
              <w:jc w:val="center"/>
              <w:rPr>
                <w:rFonts w:ascii="Times New Roman" w:eastAsia="Times New Roman" w:hAnsi="Times New Roman" w:cs="Times New Roman"/>
                <w:sz w:val="20"/>
                <w:szCs w:val="20"/>
                <w:lang w:eastAsia="de-DE"/>
              </w:rPr>
            </w:pPr>
            <w:proofErr w:type="spellStart"/>
            <w:r w:rsidRPr="000D49B1">
              <w:rPr>
                <w:rFonts w:ascii="Times New Roman" w:eastAsia="Times New Roman" w:hAnsi="Times New Roman" w:cs="Times New Roman"/>
                <w:sz w:val="20"/>
                <w:szCs w:val="20"/>
                <w:lang w:eastAsia="de-DE"/>
              </w:rPr>
              <w:t>un</w:t>
            </w:r>
            <w:proofErr w:type="spellEnd"/>
            <w:r w:rsidRPr="000D49B1">
              <w:rPr>
                <w:rFonts w:ascii="Times New Roman" w:eastAsia="Times New Roman" w:hAnsi="Times New Roman" w:cs="Times New Roman"/>
                <w:sz w:val="20"/>
                <w:szCs w:val="20"/>
                <w:lang w:eastAsia="de-DE"/>
              </w:rPr>
              <w:t>-günstig</w:t>
            </w:r>
          </w:p>
        </w:tc>
        <w:tc>
          <w:tcPr>
            <w:tcW w:w="1885" w:type="dxa"/>
            <w:gridSpan w:val="2"/>
            <w:shd w:val="clear" w:color="auto" w:fill="auto"/>
            <w:noWrap/>
            <w:vAlign w:val="center"/>
          </w:tcPr>
          <w:p w14:paraId="3E5B8A58" w14:textId="77777777" w:rsidR="000D49B1" w:rsidRPr="000D49B1" w:rsidRDefault="000D49B1" w:rsidP="000D49B1">
            <w:pPr>
              <w:spacing w:before="0" w:after="0"/>
              <w:jc w:val="center"/>
              <w:rPr>
                <w:rFonts w:ascii="Times New Roman" w:eastAsia="Times New Roman" w:hAnsi="Times New Roman" w:cs="Times New Roman"/>
                <w:sz w:val="20"/>
                <w:szCs w:val="20"/>
                <w:lang w:eastAsia="de-DE"/>
              </w:rPr>
            </w:pPr>
            <w:r w:rsidRPr="000D49B1">
              <w:rPr>
                <w:rFonts w:ascii="Times New Roman" w:eastAsia="Times New Roman" w:hAnsi="Times New Roman" w:cs="Times New Roman"/>
                <w:sz w:val="20"/>
                <w:szCs w:val="20"/>
                <w:lang w:eastAsia="de-DE"/>
              </w:rPr>
              <w:t>günstig</w:t>
            </w:r>
          </w:p>
        </w:tc>
        <w:tc>
          <w:tcPr>
            <w:tcW w:w="3862" w:type="dxa"/>
            <w:gridSpan w:val="6"/>
            <w:shd w:val="clear" w:color="auto" w:fill="auto"/>
            <w:noWrap/>
            <w:vAlign w:val="center"/>
          </w:tcPr>
          <w:p w14:paraId="58D72C68" w14:textId="77777777" w:rsidR="000D49B1" w:rsidRPr="000D49B1" w:rsidRDefault="000D49B1" w:rsidP="000D49B1">
            <w:pPr>
              <w:spacing w:before="0" w:after="0"/>
              <w:jc w:val="center"/>
              <w:rPr>
                <w:rFonts w:ascii="Times New Roman" w:eastAsia="Times New Roman" w:hAnsi="Times New Roman" w:cs="Times New Roman"/>
                <w:sz w:val="20"/>
                <w:szCs w:val="20"/>
                <w:lang w:eastAsia="de-DE"/>
              </w:rPr>
            </w:pPr>
            <w:r w:rsidRPr="000D49B1">
              <w:rPr>
                <w:rFonts w:ascii="Times New Roman" w:eastAsia="Times New Roman" w:hAnsi="Times New Roman" w:cs="Times New Roman"/>
                <w:sz w:val="20"/>
                <w:szCs w:val="20"/>
                <w:lang w:eastAsia="de-DE"/>
              </w:rPr>
              <w:t>günstig</w:t>
            </w:r>
          </w:p>
        </w:tc>
      </w:tr>
      <w:tr w:rsidR="000D49B1" w:rsidRPr="000D49B1" w14:paraId="213889B3" w14:textId="77777777" w:rsidTr="000D49B1">
        <w:trPr>
          <w:trHeight w:val="20"/>
        </w:trPr>
        <w:tc>
          <w:tcPr>
            <w:tcW w:w="4683" w:type="dxa"/>
            <w:gridSpan w:val="2"/>
            <w:vMerge/>
            <w:shd w:val="clear" w:color="auto" w:fill="auto"/>
            <w:noWrap/>
            <w:vAlign w:val="center"/>
          </w:tcPr>
          <w:p w14:paraId="1EC21487"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169A5045"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700" w:type="dxa"/>
            <w:vMerge w:val="restart"/>
            <w:shd w:val="clear" w:color="auto" w:fill="auto"/>
            <w:noWrap/>
            <w:vAlign w:val="center"/>
          </w:tcPr>
          <w:p w14:paraId="390616A6"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399F9EE5" w14:textId="7B46ACC0"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Lehm,</w:t>
            </w:r>
          </w:p>
          <w:p w14:paraId="3B9F80B2" w14:textId="615E470C"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Schluff,</w:t>
            </w:r>
          </w:p>
          <w:p w14:paraId="71190DC5"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Ton</w:t>
            </w:r>
          </w:p>
        </w:tc>
        <w:tc>
          <w:tcPr>
            <w:tcW w:w="1450" w:type="dxa"/>
            <w:gridSpan w:val="2"/>
            <w:shd w:val="clear" w:color="auto" w:fill="auto"/>
            <w:noWrap/>
            <w:vAlign w:val="center"/>
          </w:tcPr>
          <w:p w14:paraId="693227FD"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443504A1"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WSG III B</w:t>
            </w:r>
          </w:p>
        </w:tc>
        <w:tc>
          <w:tcPr>
            <w:tcW w:w="1242" w:type="dxa"/>
            <w:gridSpan w:val="2"/>
            <w:shd w:val="clear" w:color="auto" w:fill="auto"/>
            <w:noWrap/>
            <w:vAlign w:val="center"/>
          </w:tcPr>
          <w:p w14:paraId="40FF67A9"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Wasservor-</w:t>
            </w:r>
          </w:p>
        </w:tc>
      </w:tr>
      <w:tr w:rsidR="000D49B1" w:rsidRPr="000D49B1" w14:paraId="50D74D95" w14:textId="77777777" w:rsidTr="000D49B1">
        <w:trPr>
          <w:trHeight w:val="80"/>
        </w:trPr>
        <w:tc>
          <w:tcPr>
            <w:tcW w:w="4683" w:type="dxa"/>
            <w:gridSpan w:val="2"/>
            <w:vMerge/>
            <w:shd w:val="clear" w:color="auto" w:fill="auto"/>
            <w:noWrap/>
            <w:vAlign w:val="center"/>
          </w:tcPr>
          <w:p w14:paraId="11076090"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63102131"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700" w:type="dxa"/>
            <w:vMerge/>
            <w:shd w:val="clear" w:color="auto" w:fill="auto"/>
            <w:noWrap/>
            <w:vAlign w:val="center"/>
          </w:tcPr>
          <w:p w14:paraId="7CD64D6F"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44658619"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1450" w:type="dxa"/>
            <w:gridSpan w:val="2"/>
            <w:shd w:val="clear" w:color="auto" w:fill="auto"/>
            <w:noWrap/>
            <w:vAlign w:val="center"/>
          </w:tcPr>
          <w:p w14:paraId="05D640C8"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077FE804"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HSG IV</w:t>
            </w:r>
          </w:p>
        </w:tc>
        <w:tc>
          <w:tcPr>
            <w:tcW w:w="1242" w:type="dxa"/>
            <w:gridSpan w:val="2"/>
            <w:shd w:val="clear" w:color="auto" w:fill="auto"/>
            <w:noWrap/>
            <w:vAlign w:val="center"/>
          </w:tcPr>
          <w:p w14:paraId="50F48D23"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ranggebiete</w:t>
            </w:r>
          </w:p>
        </w:tc>
      </w:tr>
      <w:tr w:rsidR="000D49B1" w:rsidRPr="000D49B1" w14:paraId="76B8FE30" w14:textId="77777777" w:rsidTr="000D49B1">
        <w:trPr>
          <w:trHeight w:val="80"/>
        </w:trPr>
        <w:tc>
          <w:tcPr>
            <w:tcW w:w="4683" w:type="dxa"/>
            <w:gridSpan w:val="2"/>
            <w:vMerge/>
            <w:shd w:val="clear" w:color="auto" w:fill="auto"/>
            <w:noWrap/>
            <w:vAlign w:val="center"/>
          </w:tcPr>
          <w:p w14:paraId="6EC82D1C"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10777F2A"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700" w:type="dxa"/>
            <w:vMerge/>
            <w:shd w:val="clear" w:color="auto" w:fill="auto"/>
            <w:noWrap/>
            <w:vAlign w:val="center"/>
          </w:tcPr>
          <w:p w14:paraId="535628A0"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2B616F13"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780" w:type="dxa"/>
            <w:shd w:val="clear" w:color="auto" w:fill="auto"/>
            <w:noWrap/>
            <w:vAlign w:val="center"/>
          </w:tcPr>
          <w:p w14:paraId="53EEE36C"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Sand</w:t>
            </w:r>
          </w:p>
        </w:tc>
        <w:tc>
          <w:tcPr>
            <w:tcW w:w="670" w:type="dxa"/>
            <w:shd w:val="clear" w:color="auto" w:fill="auto"/>
            <w:vAlign w:val="center"/>
          </w:tcPr>
          <w:p w14:paraId="0E9796EE" w14:textId="78D8769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Lehm,</w:t>
            </w:r>
          </w:p>
          <w:p w14:paraId="6885E321" w14:textId="234A79E4"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Schluff,</w:t>
            </w:r>
          </w:p>
          <w:p w14:paraId="73674B71"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5CC621D0"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Sand</w:t>
            </w:r>
          </w:p>
        </w:tc>
        <w:tc>
          <w:tcPr>
            <w:tcW w:w="670" w:type="dxa"/>
            <w:shd w:val="clear" w:color="auto" w:fill="auto"/>
            <w:vAlign w:val="center"/>
          </w:tcPr>
          <w:p w14:paraId="380C1AD4" w14:textId="7B32DD31"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Lehm,</w:t>
            </w:r>
          </w:p>
          <w:p w14:paraId="436E10EE" w14:textId="695C97EF"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Schluff,</w:t>
            </w:r>
          </w:p>
          <w:p w14:paraId="708C5319"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525CE1B7"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Sand</w:t>
            </w:r>
          </w:p>
        </w:tc>
        <w:tc>
          <w:tcPr>
            <w:tcW w:w="700" w:type="dxa"/>
            <w:shd w:val="clear" w:color="auto" w:fill="auto"/>
            <w:vAlign w:val="center"/>
          </w:tcPr>
          <w:p w14:paraId="504BF83B" w14:textId="203DA4D6"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Lehm,</w:t>
            </w:r>
          </w:p>
          <w:p w14:paraId="0D7EC59B" w14:textId="77E966A1"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Schluff,</w:t>
            </w:r>
          </w:p>
          <w:p w14:paraId="536F7A70"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Ton</w:t>
            </w:r>
          </w:p>
        </w:tc>
      </w:tr>
      <w:tr w:rsidR="000D49B1" w:rsidRPr="000D49B1" w14:paraId="44820167" w14:textId="77777777" w:rsidTr="000D49B1">
        <w:trPr>
          <w:trHeight w:val="111"/>
        </w:trPr>
        <w:tc>
          <w:tcPr>
            <w:tcW w:w="4683" w:type="dxa"/>
            <w:gridSpan w:val="2"/>
            <w:vMerge/>
            <w:shd w:val="clear" w:color="auto" w:fill="auto"/>
            <w:noWrap/>
            <w:vAlign w:val="center"/>
          </w:tcPr>
          <w:p w14:paraId="31FC8008"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3EC891D7"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1</w:t>
            </w:r>
          </w:p>
        </w:tc>
        <w:tc>
          <w:tcPr>
            <w:tcW w:w="700" w:type="dxa"/>
            <w:shd w:val="clear" w:color="auto" w:fill="auto"/>
            <w:noWrap/>
            <w:vAlign w:val="center"/>
          </w:tcPr>
          <w:p w14:paraId="2F8FC444"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2</w:t>
            </w:r>
          </w:p>
        </w:tc>
        <w:tc>
          <w:tcPr>
            <w:tcW w:w="1185" w:type="dxa"/>
            <w:shd w:val="clear" w:color="auto" w:fill="auto"/>
            <w:noWrap/>
            <w:vAlign w:val="center"/>
          </w:tcPr>
          <w:p w14:paraId="39693268"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3</w:t>
            </w:r>
          </w:p>
        </w:tc>
        <w:tc>
          <w:tcPr>
            <w:tcW w:w="1450" w:type="dxa"/>
            <w:gridSpan w:val="2"/>
            <w:shd w:val="clear" w:color="auto" w:fill="auto"/>
            <w:noWrap/>
            <w:vAlign w:val="center"/>
          </w:tcPr>
          <w:p w14:paraId="13BF811F"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34C944B9"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5</w:t>
            </w:r>
          </w:p>
        </w:tc>
        <w:tc>
          <w:tcPr>
            <w:tcW w:w="1242" w:type="dxa"/>
            <w:gridSpan w:val="2"/>
            <w:shd w:val="clear" w:color="auto" w:fill="auto"/>
            <w:noWrap/>
            <w:vAlign w:val="center"/>
          </w:tcPr>
          <w:p w14:paraId="285E4B78" w14:textId="77777777" w:rsidR="000D49B1" w:rsidRPr="000D49B1" w:rsidRDefault="000D49B1" w:rsidP="000D49B1">
            <w:pPr>
              <w:spacing w:before="0" w:after="0"/>
              <w:jc w:val="center"/>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6</w:t>
            </w:r>
          </w:p>
        </w:tc>
      </w:tr>
      <w:tr w:rsidR="000D49B1" w:rsidRPr="000D49B1" w14:paraId="29A52C08" w14:textId="77777777" w:rsidTr="000D49B1">
        <w:trPr>
          <w:trHeight w:val="20"/>
        </w:trPr>
        <w:tc>
          <w:tcPr>
            <w:tcW w:w="469" w:type="dxa"/>
            <w:shd w:val="clear" w:color="auto" w:fill="auto"/>
            <w:noWrap/>
          </w:tcPr>
          <w:p w14:paraId="4A7C98D8"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1</w:t>
            </w:r>
          </w:p>
        </w:tc>
        <w:tc>
          <w:tcPr>
            <w:tcW w:w="4214" w:type="dxa"/>
            <w:shd w:val="clear" w:color="auto" w:fill="FFFFFF"/>
          </w:tcPr>
          <w:p w14:paraId="29007ACD"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1273C645"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noWrap/>
            <w:vAlign w:val="center"/>
          </w:tcPr>
          <w:p w14:paraId="7E89F697"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noWrap/>
            <w:vAlign w:val="center"/>
          </w:tcPr>
          <w:p w14:paraId="0DC6018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80" w:type="dxa"/>
            <w:shd w:val="clear" w:color="auto" w:fill="auto"/>
            <w:noWrap/>
            <w:vAlign w:val="center"/>
          </w:tcPr>
          <w:p w14:paraId="00358FD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21DC890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shd w:val="clear" w:color="auto" w:fill="auto"/>
            <w:noWrap/>
            <w:vAlign w:val="center"/>
          </w:tcPr>
          <w:p w14:paraId="24824596"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34B4648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0780A0F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shd w:val="clear" w:color="auto" w:fill="auto"/>
            <w:vAlign w:val="center"/>
          </w:tcPr>
          <w:p w14:paraId="6CAC50D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5F5B3A36" w14:textId="77777777" w:rsidTr="000D49B1">
        <w:trPr>
          <w:trHeight w:val="20"/>
        </w:trPr>
        <w:tc>
          <w:tcPr>
            <w:tcW w:w="469" w:type="dxa"/>
            <w:shd w:val="clear" w:color="auto" w:fill="auto"/>
            <w:noWrap/>
          </w:tcPr>
          <w:p w14:paraId="4096FB1C"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2</w:t>
            </w:r>
          </w:p>
        </w:tc>
        <w:tc>
          <w:tcPr>
            <w:tcW w:w="4214" w:type="dxa"/>
            <w:shd w:val="clear" w:color="auto" w:fill="FFFFFF"/>
          </w:tcPr>
          <w:p w14:paraId="7B2C3098"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695125B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noWrap/>
            <w:vAlign w:val="center"/>
          </w:tcPr>
          <w:p w14:paraId="69219A8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noWrap/>
            <w:vAlign w:val="center"/>
          </w:tcPr>
          <w:p w14:paraId="49310E5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80" w:type="dxa"/>
            <w:noWrap/>
            <w:vAlign w:val="center"/>
          </w:tcPr>
          <w:p w14:paraId="7A002ABE"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vAlign w:val="center"/>
          </w:tcPr>
          <w:p w14:paraId="7374C6FD"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noWrap/>
            <w:vAlign w:val="center"/>
          </w:tcPr>
          <w:p w14:paraId="6202BD7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1E2A505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5858437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shd w:val="clear" w:color="auto" w:fill="auto"/>
            <w:vAlign w:val="center"/>
          </w:tcPr>
          <w:p w14:paraId="4D1FFDD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7619C8BA" w14:textId="77777777" w:rsidTr="000D49B1">
        <w:trPr>
          <w:trHeight w:val="20"/>
        </w:trPr>
        <w:tc>
          <w:tcPr>
            <w:tcW w:w="469" w:type="dxa"/>
            <w:shd w:val="clear" w:color="auto" w:fill="auto"/>
            <w:noWrap/>
          </w:tcPr>
          <w:p w14:paraId="49D52087"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3</w:t>
            </w:r>
          </w:p>
        </w:tc>
        <w:tc>
          <w:tcPr>
            <w:tcW w:w="4214" w:type="dxa"/>
            <w:shd w:val="clear" w:color="auto" w:fill="FFFFFF"/>
          </w:tcPr>
          <w:p w14:paraId="104DBF00"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11A52251"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noWrap/>
            <w:vAlign w:val="center"/>
          </w:tcPr>
          <w:p w14:paraId="0722439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noWrap/>
            <w:vAlign w:val="center"/>
          </w:tcPr>
          <w:p w14:paraId="48869F6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80" w:type="dxa"/>
            <w:noWrap/>
            <w:vAlign w:val="center"/>
          </w:tcPr>
          <w:p w14:paraId="6F9D7C04"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vAlign w:val="center"/>
          </w:tcPr>
          <w:p w14:paraId="07ABAA9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noWrap/>
            <w:vAlign w:val="center"/>
          </w:tcPr>
          <w:p w14:paraId="5FBCA73E"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6368D26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475DCF2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shd w:val="clear" w:color="auto" w:fill="auto"/>
            <w:vAlign w:val="center"/>
          </w:tcPr>
          <w:p w14:paraId="74E0FB6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77407AD0" w14:textId="77777777" w:rsidTr="000D49B1">
        <w:trPr>
          <w:trHeight w:val="20"/>
        </w:trPr>
        <w:tc>
          <w:tcPr>
            <w:tcW w:w="469" w:type="dxa"/>
            <w:shd w:val="clear" w:color="auto" w:fill="auto"/>
            <w:noWrap/>
          </w:tcPr>
          <w:p w14:paraId="563682D4"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4</w:t>
            </w:r>
          </w:p>
        </w:tc>
        <w:tc>
          <w:tcPr>
            <w:tcW w:w="4214" w:type="dxa"/>
            <w:shd w:val="clear" w:color="auto" w:fill="FFFFFF"/>
          </w:tcPr>
          <w:p w14:paraId="0445D137"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0577E86D"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noWrap/>
            <w:vAlign w:val="center"/>
          </w:tcPr>
          <w:p w14:paraId="641C4EF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noWrap/>
            <w:vAlign w:val="center"/>
          </w:tcPr>
          <w:p w14:paraId="2D0E9B3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80" w:type="dxa"/>
            <w:noWrap/>
            <w:vAlign w:val="center"/>
          </w:tcPr>
          <w:p w14:paraId="2464A6D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vAlign w:val="center"/>
          </w:tcPr>
          <w:p w14:paraId="4461E34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noWrap/>
            <w:vAlign w:val="center"/>
          </w:tcPr>
          <w:p w14:paraId="7A5995E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59D7A637"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41105EED"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shd w:val="clear" w:color="auto" w:fill="auto"/>
            <w:vAlign w:val="center"/>
          </w:tcPr>
          <w:p w14:paraId="2C1686D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6308A18C" w14:textId="77777777" w:rsidTr="000D49B1">
        <w:trPr>
          <w:trHeight w:val="20"/>
        </w:trPr>
        <w:tc>
          <w:tcPr>
            <w:tcW w:w="469" w:type="dxa"/>
            <w:shd w:val="clear" w:color="auto" w:fill="auto"/>
            <w:noWrap/>
          </w:tcPr>
          <w:p w14:paraId="7FB4760B"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5</w:t>
            </w:r>
          </w:p>
        </w:tc>
        <w:tc>
          <w:tcPr>
            <w:tcW w:w="4214" w:type="dxa"/>
            <w:shd w:val="clear" w:color="auto" w:fill="FFFFFF"/>
          </w:tcPr>
          <w:p w14:paraId="49218732"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264C651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noWrap/>
            <w:vAlign w:val="center"/>
          </w:tcPr>
          <w:p w14:paraId="5BCF6B6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noWrap/>
            <w:vAlign w:val="center"/>
          </w:tcPr>
          <w:p w14:paraId="3F589A9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80" w:type="dxa"/>
            <w:noWrap/>
            <w:vAlign w:val="center"/>
          </w:tcPr>
          <w:p w14:paraId="452FB84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vAlign w:val="center"/>
          </w:tcPr>
          <w:p w14:paraId="52BE17D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noWrap/>
            <w:vAlign w:val="center"/>
          </w:tcPr>
          <w:p w14:paraId="61A5AA4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2B8387A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6FF88555"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shd w:val="clear" w:color="auto" w:fill="auto"/>
            <w:vAlign w:val="center"/>
          </w:tcPr>
          <w:p w14:paraId="2C200265"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59A4A22D" w14:textId="77777777" w:rsidTr="000D49B1">
        <w:trPr>
          <w:trHeight w:val="20"/>
        </w:trPr>
        <w:tc>
          <w:tcPr>
            <w:tcW w:w="469" w:type="dxa"/>
            <w:shd w:val="clear" w:color="auto" w:fill="auto"/>
            <w:noWrap/>
          </w:tcPr>
          <w:p w14:paraId="5D2A754A"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6</w:t>
            </w:r>
          </w:p>
        </w:tc>
        <w:tc>
          <w:tcPr>
            <w:tcW w:w="4214" w:type="dxa"/>
            <w:shd w:val="clear" w:color="auto" w:fill="FFFFFF"/>
          </w:tcPr>
          <w:p w14:paraId="40E27445"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4A93537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noWrap/>
            <w:vAlign w:val="center"/>
          </w:tcPr>
          <w:p w14:paraId="10F67C6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noWrap/>
            <w:vAlign w:val="center"/>
          </w:tcPr>
          <w:p w14:paraId="5B0FA31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80" w:type="dxa"/>
            <w:noWrap/>
            <w:vAlign w:val="center"/>
          </w:tcPr>
          <w:p w14:paraId="01F1304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vAlign w:val="center"/>
          </w:tcPr>
          <w:p w14:paraId="1CD5FC1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noWrap/>
            <w:vAlign w:val="center"/>
          </w:tcPr>
          <w:p w14:paraId="5834F891"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0330A6F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7C825F31"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shd w:val="clear" w:color="auto" w:fill="auto"/>
            <w:vAlign w:val="center"/>
          </w:tcPr>
          <w:p w14:paraId="308AD89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099ED3F0" w14:textId="77777777" w:rsidTr="000D49B1">
        <w:trPr>
          <w:trHeight w:val="20"/>
        </w:trPr>
        <w:tc>
          <w:tcPr>
            <w:tcW w:w="469" w:type="dxa"/>
            <w:shd w:val="clear" w:color="auto" w:fill="auto"/>
            <w:noWrap/>
          </w:tcPr>
          <w:p w14:paraId="1BEE7975"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7</w:t>
            </w:r>
          </w:p>
        </w:tc>
        <w:tc>
          <w:tcPr>
            <w:tcW w:w="4214" w:type="dxa"/>
            <w:shd w:val="clear" w:color="auto" w:fill="FFFFFF"/>
          </w:tcPr>
          <w:p w14:paraId="26B64091"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Schottertragschicht (</w:t>
            </w:r>
            <w:proofErr w:type="spellStart"/>
            <w:r w:rsidRPr="000D49B1">
              <w:rPr>
                <w:rFonts w:ascii="Times New Roman" w:eastAsia="Times New Roman" w:hAnsi="Times New Roman" w:cs="Times New Roman"/>
                <w:sz w:val="18"/>
                <w:szCs w:val="18"/>
                <w:lang w:eastAsia="de-DE"/>
              </w:rPr>
              <w:t>ToB</w:t>
            </w:r>
            <w:proofErr w:type="spellEnd"/>
            <w:r w:rsidRPr="000D49B1">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38D7C3F5"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noWrap/>
            <w:vAlign w:val="center"/>
          </w:tcPr>
          <w:p w14:paraId="48855A35"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noWrap/>
            <w:vAlign w:val="center"/>
          </w:tcPr>
          <w:p w14:paraId="3EE272AE"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80" w:type="dxa"/>
            <w:noWrap/>
            <w:vAlign w:val="center"/>
          </w:tcPr>
          <w:p w14:paraId="1056455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vAlign w:val="center"/>
          </w:tcPr>
          <w:p w14:paraId="58AFFDE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noWrap/>
            <w:vAlign w:val="center"/>
          </w:tcPr>
          <w:p w14:paraId="72ACE0E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6D3C270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37B1103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shd w:val="clear" w:color="auto" w:fill="auto"/>
            <w:vAlign w:val="center"/>
          </w:tcPr>
          <w:p w14:paraId="1EC86A3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55FF59AE" w14:textId="77777777" w:rsidTr="000D49B1">
        <w:trPr>
          <w:trHeight w:val="20"/>
        </w:trPr>
        <w:tc>
          <w:tcPr>
            <w:tcW w:w="469" w:type="dxa"/>
            <w:shd w:val="clear" w:color="auto" w:fill="auto"/>
            <w:noWrap/>
          </w:tcPr>
          <w:p w14:paraId="2D355483"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8</w:t>
            </w:r>
          </w:p>
        </w:tc>
        <w:tc>
          <w:tcPr>
            <w:tcW w:w="4214" w:type="dxa"/>
            <w:shd w:val="clear" w:color="auto" w:fill="FFFFFF"/>
          </w:tcPr>
          <w:p w14:paraId="71F7F383"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Frostschutzschicht (</w:t>
            </w:r>
            <w:proofErr w:type="spellStart"/>
            <w:r w:rsidRPr="000D49B1">
              <w:rPr>
                <w:rFonts w:ascii="Times New Roman" w:eastAsia="Times New Roman" w:hAnsi="Times New Roman" w:cs="Times New Roman"/>
                <w:sz w:val="18"/>
                <w:szCs w:val="18"/>
                <w:lang w:eastAsia="de-DE"/>
              </w:rPr>
              <w:t>ToB</w:t>
            </w:r>
            <w:proofErr w:type="spellEnd"/>
            <w:r w:rsidRPr="000D49B1">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5045E53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noWrap/>
            <w:vAlign w:val="center"/>
          </w:tcPr>
          <w:p w14:paraId="24768BB4"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noWrap/>
            <w:vAlign w:val="center"/>
          </w:tcPr>
          <w:p w14:paraId="72DA386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80" w:type="dxa"/>
            <w:noWrap/>
            <w:vAlign w:val="center"/>
          </w:tcPr>
          <w:p w14:paraId="38B1BFB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vAlign w:val="center"/>
          </w:tcPr>
          <w:p w14:paraId="1614F7F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noWrap/>
            <w:vAlign w:val="center"/>
          </w:tcPr>
          <w:p w14:paraId="3D7AB8A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FFFFFF"/>
            <w:vAlign w:val="center"/>
          </w:tcPr>
          <w:p w14:paraId="280B5974"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FFFFFF"/>
            <w:noWrap/>
            <w:vAlign w:val="center"/>
          </w:tcPr>
          <w:p w14:paraId="56738F1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shd w:val="clear" w:color="auto" w:fill="FFFFFF"/>
            <w:vAlign w:val="center"/>
          </w:tcPr>
          <w:p w14:paraId="2A45E217"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798CBDB8" w14:textId="77777777" w:rsidTr="000D49B1">
        <w:trPr>
          <w:trHeight w:val="20"/>
        </w:trPr>
        <w:tc>
          <w:tcPr>
            <w:tcW w:w="469" w:type="dxa"/>
            <w:shd w:val="clear" w:color="auto" w:fill="auto"/>
            <w:noWrap/>
          </w:tcPr>
          <w:p w14:paraId="4020536F"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9</w:t>
            </w:r>
          </w:p>
        </w:tc>
        <w:tc>
          <w:tcPr>
            <w:tcW w:w="4214" w:type="dxa"/>
            <w:shd w:val="clear" w:color="auto" w:fill="FFFFFF"/>
          </w:tcPr>
          <w:p w14:paraId="332DA064"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 xml:space="preserve">Dämme oder Wälle gemäß Bauweisen A-D nach MTSE sowie </w:t>
            </w:r>
            <w:proofErr w:type="spellStart"/>
            <w:r w:rsidRPr="000D49B1">
              <w:rPr>
                <w:rFonts w:ascii="Times New Roman" w:eastAsia="Times New Roman" w:hAnsi="Times New Roman" w:cs="Times New Roman"/>
                <w:sz w:val="18"/>
                <w:szCs w:val="18"/>
                <w:lang w:eastAsia="de-DE"/>
              </w:rPr>
              <w:t>Hinterfüllung</w:t>
            </w:r>
            <w:proofErr w:type="spellEnd"/>
            <w:r w:rsidRPr="000D49B1">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786EF8B6"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noWrap/>
            <w:vAlign w:val="center"/>
          </w:tcPr>
          <w:p w14:paraId="54485CE5"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noWrap/>
            <w:vAlign w:val="center"/>
          </w:tcPr>
          <w:p w14:paraId="7720A3E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80" w:type="dxa"/>
            <w:noWrap/>
            <w:vAlign w:val="center"/>
          </w:tcPr>
          <w:p w14:paraId="3A3D4956"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vAlign w:val="center"/>
          </w:tcPr>
          <w:p w14:paraId="5C332F7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noWrap/>
            <w:vAlign w:val="center"/>
          </w:tcPr>
          <w:p w14:paraId="32B2116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FFFFFF"/>
            <w:vAlign w:val="center"/>
          </w:tcPr>
          <w:p w14:paraId="74515B7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FFFFFF"/>
            <w:noWrap/>
            <w:vAlign w:val="center"/>
          </w:tcPr>
          <w:p w14:paraId="702F3BB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shd w:val="clear" w:color="auto" w:fill="FFFFFF"/>
            <w:vAlign w:val="center"/>
          </w:tcPr>
          <w:p w14:paraId="5F131154"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10EAB3AA" w14:textId="77777777" w:rsidTr="000D49B1">
        <w:trPr>
          <w:trHeight w:val="20"/>
        </w:trPr>
        <w:tc>
          <w:tcPr>
            <w:tcW w:w="469" w:type="dxa"/>
            <w:shd w:val="clear" w:color="auto" w:fill="auto"/>
            <w:noWrap/>
          </w:tcPr>
          <w:p w14:paraId="275745DD"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10</w:t>
            </w:r>
          </w:p>
        </w:tc>
        <w:tc>
          <w:tcPr>
            <w:tcW w:w="4214" w:type="dxa"/>
            <w:shd w:val="clear" w:color="auto" w:fill="FFFFFF"/>
          </w:tcPr>
          <w:p w14:paraId="5A1FF93D"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17A97DB7"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noWrap/>
            <w:vAlign w:val="center"/>
          </w:tcPr>
          <w:p w14:paraId="5C48A62D"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noWrap/>
            <w:vAlign w:val="center"/>
          </w:tcPr>
          <w:p w14:paraId="6A1BFE3D"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80" w:type="dxa"/>
            <w:noWrap/>
            <w:vAlign w:val="center"/>
          </w:tcPr>
          <w:p w14:paraId="4EF5479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vAlign w:val="center"/>
          </w:tcPr>
          <w:p w14:paraId="32C87F77"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noWrap/>
            <w:vAlign w:val="center"/>
          </w:tcPr>
          <w:p w14:paraId="50CECBA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auto"/>
            <w:vAlign w:val="center"/>
          </w:tcPr>
          <w:p w14:paraId="28669956"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auto"/>
            <w:noWrap/>
            <w:vAlign w:val="center"/>
          </w:tcPr>
          <w:p w14:paraId="0315346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shd w:val="clear" w:color="auto" w:fill="auto"/>
            <w:vAlign w:val="center"/>
          </w:tcPr>
          <w:p w14:paraId="5F88748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4A99E586" w14:textId="77777777" w:rsidTr="000D49B1">
        <w:trPr>
          <w:trHeight w:val="20"/>
        </w:trPr>
        <w:tc>
          <w:tcPr>
            <w:tcW w:w="469" w:type="dxa"/>
            <w:shd w:val="clear" w:color="auto" w:fill="auto"/>
            <w:noWrap/>
          </w:tcPr>
          <w:p w14:paraId="16FB44B8"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11</w:t>
            </w:r>
          </w:p>
        </w:tc>
        <w:tc>
          <w:tcPr>
            <w:tcW w:w="4214" w:type="dxa"/>
            <w:shd w:val="clear" w:color="auto" w:fill="FFFFFF"/>
          </w:tcPr>
          <w:p w14:paraId="40881704"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3FE7DBEE"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noWrap/>
            <w:vAlign w:val="center"/>
          </w:tcPr>
          <w:p w14:paraId="3CED0D6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noWrap/>
            <w:vAlign w:val="center"/>
          </w:tcPr>
          <w:p w14:paraId="6D272CD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80" w:type="dxa"/>
            <w:noWrap/>
            <w:vAlign w:val="center"/>
          </w:tcPr>
          <w:p w14:paraId="12F0DFF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vAlign w:val="center"/>
          </w:tcPr>
          <w:p w14:paraId="3DCD043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noWrap/>
            <w:vAlign w:val="center"/>
          </w:tcPr>
          <w:p w14:paraId="7D285526"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FFFFFF"/>
            <w:vAlign w:val="center"/>
          </w:tcPr>
          <w:p w14:paraId="0F578D77"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FFFFFF"/>
            <w:noWrap/>
            <w:vAlign w:val="center"/>
          </w:tcPr>
          <w:p w14:paraId="2CDACF0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shd w:val="clear" w:color="auto" w:fill="FFFFFF"/>
            <w:vAlign w:val="center"/>
          </w:tcPr>
          <w:p w14:paraId="6145B767"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0F71F2FE" w14:textId="77777777" w:rsidTr="000D49B1">
        <w:trPr>
          <w:trHeight w:val="20"/>
        </w:trPr>
        <w:tc>
          <w:tcPr>
            <w:tcW w:w="469" w:type="dxa"/>
            <w:shd w:val="clear" w:color="auto" w:fill="auto"/>
            <w:noWrap/>
          </w:tcPr>
          <w:p w14:paraId="0D07303B"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12</w:t>
            </w:r>
          </w:p>
        </w:tc>
        <w:tc>
          <w:tcPr>
            <w:tcW w:w="4214" w:type="dxa"/>
            <w:shd w:val="clear" w:color="auto" w:fill="FFFFFF"/>
          </w:tcPr>
          <w:p w14:paraId="67D20625"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Deckschicht ohne Bindemittel</w:t>
            </w:r>
          </w:p>
        </w:tc>
        <w:tc>
          <w:tcPr>
            <w:tcW w:w="851" w:type="dxa"/>
            <w:noWrap/>
            <w:vAlign w:val="center"/>
          </w:tcPr>
          <w:p w14:paraId="7F42BAE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noWrap/>
            <w:vAlign w:val="center"/>
          </w:tcPr>
          <w:p w14:paraId="3E099E6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noWrap/>
            <w:vAlign w:val="center"/>
          </w:tcPr>
          <w:p w14:paraId="120F28A5"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80" w:type="dxa"/>
            <w:noWrap/>
            <w:vAlign w:val="center"/>
          </w:tcPr>
          <w:p w14:paraId="6A96F72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vAlign w:val="center"/>
          </w:tcPr>
          <w:p w14:paraId="3C93F89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noWrap/>
            <w:vAlign w:val="center"/>
          </w:tcPr>
          <w:p w14:paraId="13B3C06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FFFFFF"/>
            <w:vAlign w:val="center"/>
          </w:tcPr>
          <w:p w14:paraId="71E7D35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FFFFFF"/>
            <w:noWrap/>
            <w:vAlign w:val="center"/>
          </w:tcPr>
          <w:p w14:paraId="65A4118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shd w:val="clear" w:color="auto" w:fill="FFFFFF"/>
            <w:vAlign w:val="center"/>
          </w:tcPr>
          <w:p w14:paraId="6241C00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687D2410" w14:textId="77777777" w:rsidTr="000D49B1">
        <w:trPr>
          <w:trHeight w:val="20"/>
        </w:trPr>
        <w:tc>
          <w:tcPr>
            <w:tcW w:w="469" w:type="dxa"/>
            <w:shd w:val="clear" w:color="auto" w:fill="auto"/>
            <w:noWrap/>
          </w:tcPr>
          <w:p w14:paraId="2183B133"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13</w:t>
            </w:r>
          </w:p>
        </w:tc>
        <w:tc>
          <w:tcPr>
            <w:tcW w:w="4214" w:type="dxa"/>
            <w:shd w:val="clear" w:color="auto" w:fill="FFFFFF"/>
          </w:tcPr>
          <w:p w14:paraId="5431AA79"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proofErr w:type="spellStart"/>
            <w:r w:rsidRPr="000D49B1">
              <w:rPr>
                <w:rFonts w:ascii="Times New Roman" w:eastAsia="Times New Roman" w:hAnsi="Times New Roman" w:cs="Times New Roman"/>
                <w:sz w:val="18"/>
                <w:szCs w:val="18"/>
                <w:lang w:eastAsia="de-DE"/>
              </w:rPr>
              <w:t>ToB</w:t>
            </w:r>
            <w:proofErr w:type="spellEnd"/>
            <w:r w:rsidRPr="000D49B1">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1065BF9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noWrap/>
            <w:vAlign w:val="center"/>
          </w:tcPr>
          <w:p w14:paraId="2A7409AE"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noWrap/>
            <w:vAlign w:val="center"/>
          </w:tcPr>
          <w:p w14:paraId="40A41B6C"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80" w:type="dxa"/>
            <w:noWrap/>
            <w:vAlign w:val="center"/>
          </w:tcPr>
          <w:p w14:paraId="72BCD57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vAlign w:val="center"/>
          </w:tcPr>
          <w:p w14:paraId="5155871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noWrap/>
            <w:vAlign w:val="center"/>
          </w:tcPr>
          <w:p w14:paraId="592CC0B1"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FFFFFF"/>
            <w:vAlign w:val="center"/>
          </w:tcPr>
          <w:p w14:paraId="24E934B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FFFFFF"/>
            <w:noWrap/>
            <w:vAlign w:val="center"/>
          </w:tcPr>
          <w:p w14:paraId="2199533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shd w:val="clear" w:color="auto" w:fill="FFFFFF"/>
            <w:vAlign w:val="center"/>
          </w:tcPr>
          <w:p w14:paraId="12191D1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r>
      <w:tr w:rsidR="000D49B1" w:rsidRPr="000D49B1" w14:paraId="2ACFB592" w14:textId="77777777" w:rsidTr="000D49B1">
        <w:trPr>
          <w:trHeight w:val="20"/>
        </w:trPr>
        <w:tc>
          <w:tcPr>
            <w:tcW w:w="469" w:type="dxa"/>
            <w:shd w:val="clear" w:color="auto" w:fill="auto"/>
            <w:noWrap/>
          </w:tcPr>
          <w:p w14:paraId="23DD6290"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14</w:t>
            </w:r>
          </w:p>
        </w:tc>
        <w:tc>
          <w:tcPr>
            <w:tcW w:w="4214" w:type="dxa"/>
            <w:shd w:val="clear" w:color="auto" w:fill="FFFFFF"/>
          </w:tcPr>
          <w:p w14:paraId="7F1B059A"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Bauweisen 13 unter Plattenbelägen</w:t>
            </w:r>
          </w:p>
        </w:tc>
        <w:tc>
          <w:tcPr>
            <w:tcW w:w="851" w:type="dxa"/>
            <w:noWrap/>
            <w:vAlign w:val="center"/>
          </w:tcPr>
          <w:p w14:paraId="4AB2D63D"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noWrap/>
            <w:vAlign w:val="center"/>
          </w:tcPr>
          <w:p w14:paraId="49D1AE36"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noWrap/>
            <w:vAlign w:val="center"/>
          </w:tcPr>
          <w:p w14:paraId="0C153579"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1)</w:t>
            </w:r>
          </w:p>
        </w:tc>
        <w:tc>
          <w:tcPr>
            <w:tcW w:w="780" w:type="dxa"/>
            <w:noWrap/>
            <w:vAlign w:val="center"/>
          </w:tcPr>
          <w:p w14:paraId="24B10CFE"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vAlign w:val="center"/>
          </w:tcPr>
          <w:p w14:paraId="374C424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noWrap/>
            <w:vAlign w:val="center"/>
          </w:tcPr>
          <w:p w14:paraId="0397FECE"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FFFFFF"/>
            <w:vAlign w:val="center"/>
          </w:tcPr>
          <w:p w14:paraId="7916EA37"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FFFFFF"/>
            <w:noWrap/>
            <w:vAlign w:val="center"/>
          </w:tcPr>
          <w:p w14:paraId="7F2447D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vAlign w:val="center"/>
          </w:tcPr>
          <w:p w14:paraId="2DE44FA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1)</w:t>
            </w:r>
          </w:p>
        </w:tc>
      </w:tr>
      <w:tr w:rsidR="000D49B1" w:rsidRPr="000D49B1" w14:paraId="49DC54D5" w14:textId="77777777" w:rsidTr="000D49B1">
        <w:trPr>
          <w:trHeight w:val="20"/>
        </w:trPr>
        <w:tc>
          <w:tcPr>
            <w:tcW w:w="469" w:type="dxa"/>
            <w:shd w:val="clear" w:color="auto" w:fill="auto"/>
            <w:noWrap/>
          </w:tcPr>
          <w:p w14:paraId="7D7572F5"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15</w:t>
            </w:r>
          </w:p>
        </w:tc>
        <w:tc>
          <w:tcPr>
            <w:tcW w:w="4214" w:type="dxa"/>
            <w:shd w:val="clear" w:color="auto" w:fill="FFFFFF"/>
          </w:tcPr>
          <w:p w14:paraId="1DC827CD"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22ABB49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noWrap/>
            <w:vAlign w:val="center"/>
          </w:tcPr>
          <w:p w14:paraId="303D06BD"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noWrap/>
            <w:vAlign w:val="center"/>
          </w:tcPr>
          <w:p w14:paraId="3038455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1)</w:t>
            </w:r>
          </w:p>
        </w:tc>
        <w:tc>
          <w:tcPr>
            <w:tcW w:w="780" w:type="dxa"/>
            <w:noWrap/>
            <w:vAlign w:val="center"/>
          </w:tcPr>
          <w:p w14:paraId="79CA16A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vAlign w:val="center"/>
          </w:tcPr>
          <w:p w14:paraId="58D37635"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noWrap/>
            <w:vAlign w:val="center"/>
          </w:tcPr>
          <w:p w14:paraId="436AA6FF"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FFFFFF"/>
            <w:vAlign w:val="center"/>
          </w:tcPr>
          <w:p w14:paraId="6D95530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FFFFFF"/>
            <w:noWrap/>
            <w:vAlign w:val="center"/>
          </w:tcPr>
          <w:p w14:paraId="149E73C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vAlign w:val="center"/>
          </w:tcPr>
          <w:p w14:paraId="1DCC837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1)</w:t>
            </w:r>
          </w:p>
        </w:tc>
      </w:tr>
      <w:tr w:rsidR="000D49B1" w:rsidRPr="000D49B1" w14:paraId="4EB74D7A" w14:textId="77777777" w:rsidTr="000D49B1">
        <w:trPr>
          <w:trHeight w:val="20"/>
        </w:trPr>
        <w:tc>
          <w:tcPr>
            <w:tcW w:w="469" w:type="dxa"/>
            <w:shd w:val="clear" w:color="auto" w:fill="auto"/>
            <w:noWrap/>
          </w:tcPr>
          <w:p w14:paraId="24AF38BC"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16</w:t>
            </w:r>
          </w:p>
        </w:tc>
        <w:tc>
          <w:tcPr>
            <w:tcW w:w="4214" w:type="dxa"/>
            <w:shd w:val="clear" w:color="auto" w:fill="FFFFFF"/>
          </w:tcPr>
          <w:p w14:paraId="71205777"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proofErr w:type="spellStart"/>
            <w:r w:rsidRPr="000D49B1">
              <w:rPr>
                <w:rFonts w:ascii="Times New Roman" w:eastAsia="Times New Roman" w:hAnsi="Times New Roman" w:cs="Times New Roman"/>
                <w:sz w:val="18"/>
                <w:szCs w:val="18"/>
                <w:lang w:eastAsia="de-DE"/>
              </w:rPr>
              <w:t>Hinterfüllung</w:t>
            </w:r>
            <w:proofErr w:type="spellEnd"/>
            <w:r w:rsidRPr="000D49B1">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0D49B1">
              <w:rPr>
                <w:rFonts w:ascii="Times New Roman" w:eastAsia="Times New Roman" w:hAnsi="Times New Roman" w:cs="Times New Roman"/>
                <w:sz w:val="18"/>
                <w:szCs w:val="18"/>
                <w:lang w:eastAsia="de-DE"/>
              </w:rPr>
              <w:t>Hinterfüllung</w:t>
            </w:r>
            <w:proofErr w:type="spellEnd"/>
            <w:r w:rsidRPr="000D49B1">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00C861E7"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noWrap/>
            <w:vAlign w:val="center"/>
          </w:tcPr>
          <w:p w14:paraId="22607D2A"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2)</w:t>
            </w:r>
          </w:p>
        </w:tc>
        <w:tc>
          <w:tcPr>
            <w:tcW w:w="1185" w:type="dxa"/>
            <w:noWrap/>
            <w:vAlign w:val="center"/>
          </w:tcPr>
          <w:p w14:paraId="6AAE681B" w14:textId="77777777" w:rsidR="000D49B1" w:rsidRPr="000D49B1" w:rsidRDefault="000D49B1" w:rsidP="000D49B1">
            <w:pPr>
              <w:spacing w:before="0" w:after="0"/>
              <w:jc w:val="center"/>
              <w:rPr>
                <w:rFonts w:ascii="Times New Roman" w:eastAsia="Times New Roman" w:hAnsi="Times New Roman" w:cs="Times New Roman"/>
                <w:sz w:val="24"/>
                <w:szCs w:val="24"/>
                <w:vertAlign w:val="superscript"/>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sz w:val="24"/>
                <w:szCs w:val="24"/>
                <w:vertAlign w:val="superscript"/>
                <w:lang w:eastAsia="de-DE"/>
              </w:rPr>
              <w:t>3)</w:t>
            </w:r>
          </w:p>
        </w:tc>
        <w:tc>
          <w:tcPr>
            <w:tcW w:w="780" w:type="dxa"/>
            <w:noWrap/>
            <w:vAlign w:val="center"/>
          </w:tcPr>
          <w:p w14:paraId="3FDCD3D3"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b/>
                <w:sz w:val="24"/>
                <w:szCs w:val="24"/>
                <w:vertAlign w:val="superscript"/>
                <w:lang w:eastAsia="de-DE"/>
              </w:rPr>
              <w:t>-</w:t>
            </w:r>
          </w:p>
        </w:tc>
        <w:tc>
          <w:tcPr>
            <w:tcW w:w="670" w:type="dxa"/>
            <w:vAlign w:val="center"/>
          </w:tcPr>
          <w:p w14:paraId="15B71920"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2)</w:t>
            </w:r>
          </w:p>
        </w:tc>
        <w:tc>
          <w:tcPr>
            <w:tcW w:w="500" w:type="dxa"/>
            <w:noWrap/>
            <w:vAlign w:val="center"/>
          </w:tcPr>
          <w:p w14:paraId="2C4BA171"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b/>
                <w:sz w:val="24"/>
                <w:szCs w:val="24"/>
                <w:vertAlign w:val="superscript"/>
                <w:lang w:eastAsia="de-DE"/>
              </w:rPr>
              <w:t>-</w:t>
            </w:r>
          </w:p>
        </w:tc>
        <w:tc>
          <w:tcPr>
            <w:tcW w:w="670" w:type="dxa"/>
            <w:vAlign w:val="center"/>
          </w:tcPr>
          <w:p w14:paraId="6C7D241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2)</w:t>
            </w:r>
          </w:p>
        </w:tc>
        <w:tc>
          <w:tcPr>
            <w:tcW w:w="542" w:type="dxa"/>
            <w:shd w:val="clear" w:color="auto" w:fill="FFFFFF"/>
            <w:noWrap/>
            <w:vAlign w:val="center"/>
          </w:tcPr>
          <w:p w14:paraId="17DEA7D4"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shd w:val="clear" w:color="auto" w:fill="FFFFFF"/>
            <w:vAlign w:val="center"/>
          </w:tcPr>
          <w:p w14:paraId="53D93446"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2)</w:t>
            </w:r>
          </w:p>
        </w:tc>
      </w:tr>
      <w:tr w:rsidR="000D49B1" w:rsidRPr="000D49B1" w14:paraId="0DA2A939" w14:textId="77777777" w:rsidTr="000D49B1">
        <w:trPr>
          <w:trHeight w:val="208"/>
        </w:trPr>
        <w:tc>
          <w:tcPr>
            <w:tcW w:w="469" w:type="dxa"/>
            <w:shd w:val="clear" w:color="auto" w:fill="auto"/>
            <w:noWrap/>
          </w:tcPr>
          <w:p w14:paraId="6924184F" w14:textId="77777777" w:rsidR="000D49B1" w:rsidRPr="000D49B1" w:rsidRDefault="000D49B1" w:rsidP="000D49B1">
            <w:pPr>
              <w:spacing w:before="0" w:after="0"/>
              <w:jc w:val="left"/>
              <w:rPr>
                <w:rFonts w:ascii="Times New Roman" w:eastAsia="Times New Roman" w:hAnsi="Times New Roman" w:cs="Times New Roman"/>
                <w:sz w:val="20"/>
                <w:szCs w:val="24"/>
                <w:lang w:eastAsia="de-DE"/>
              </w:rPr>
            </w:pPr>
            <w:r w:rsidRPr="000D49B1">
              <w:rPr>
                <w:rFonts w:ascii="Times New Roman" w:eastAsia="Times New Roman" w:hAnsi="Times New Roman" w:cs="Times New Roman"/>
                <w:sz w:val="20"/>
                <w:szCs w:val="24"/>
                <w:lang w:eastAsia="de-DE"/>
              </w:rPr>
              <w:t>17</w:t>
            </w:r>
          </w:p>
        </w:tc>
        <w:tc>
          <w:tcPr>
            <w:tcW w:w="4214" w:type="dxa"/>
            <w:shd w:val="clear" w:color="auto" w:fill="FFFFFF"/>
          </w:tcPr>
          <w:p w14:paraId="28C58A7C" w14:textId="77777777" w:rsidR="000D49B1" w:rsidRPr="000D49B1" w:rsidRDefault="000D49B1" w:rsidP="000D49B1">
            <w:pPr>
              <w:spacing w:before="0" w:after="0"/>
              <w:jc w:val="left"/>
              <w:rPr>
                <w:rFonts w:ascii="Times New Roman" w:eastAsia="Times New Roman" w:hAnsi="Times New Roman" w:cs="Times New Roman"/>
                <w:sz w:val="18"/>
                <w:szCs w:val="18"/>
                <w:lang w:eastAsia="de-DE"/>
              </w:rPr>
            </w:pPr>
            <w:r w:rsidRPr="000D49B1">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3D5E6D38"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noWrap/>
            <w:vAlign w:val="center"/>
          </w:tcPr>
          <w:p w14:paraId="6A90E3B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1185" w:type="dxa"/>
            <w:noWrap/>
            <w:vAlign w:val="center"/>
          </w:tcPr>
          <w:p w14:paraId="537C0226"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4)</w:t>
            </w:r>
          </w:p>
        </w:tc>
        <w:tc>
          <w:tcPr>
            <w:tcW w:w="780" w:type="dxa"/>
            <w:noWrap/>
            <w:vAlign w:val="center"/>
          </w:tcPr>
          <w:p w14:paraId="576B4784"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vAlign w:val="center"/>
          </w:tcPr>
          <w:p w14:paraId="49A37961"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00" w:type="dxa"/>
            <w:noWrap/>
            <w:vAlign w:val="center"/>
          </w:tcPr>
          <w:p w14:paraId="1F7463B2"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670" w:type="dxa"/>
            <w:shd w:val="clear" w:color="auto" w:fill="FFFFFF"/>
            <w:vAlign w:val="center"/>
          </w:tcPr>
          <w:p w14:paraId="4F2154E4"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542" w:type="dxa"/>
            <w:shd w:val="clear" w:color="auto" w:fill="FFFFFF"/>
            <w:noWrap/>
            <w:vAlign w:val="center"/>
          </w:tcPr>
          <w:p w14:paraId="4CC295A1"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p>
        </w:tc>
        <w:tc>
          <w:tcPr>
            <w:tcW w:w="700" w:type="dxa"/>
            <w:shd w:val="clear" w:color="auto" w:fill="FFFFFF"/>
            <w:vAlign w:val="center"/>
          </w:tcPr>
          <w:p w14:paraId="5FF3236B" w14:textId="77777777" w:rsidR="000D49B1" w:rsidRPr="000D49B1" w:rsidRDefault="000D49B1" w:rsidP="000D49B1">
            <w:pPr>
              <w:spacing w:before="0" w:after="0"/>
              <w:jc w:val="center"/>
              <w:rPr>
                <w:rFonts w:ascii="Times New Roman" w:eastAsia="Times New Roman" w:hAnsi="Times New Roman" w:cs="Times New Roman"/>
                <w:sz w:val="24"/>
                <w:szCs w:val="24"/>
                <w:lang w:eastAsia="de-DE"/>
              </w:rPr>
            </w:pPr>
            <w:r w:rsidRPr="000D49B1">
              <w:rPr>
                <w:rFonts w:ascii="Times New Roman" w:eastAsia="Times New Roman" w:hAnsi="Times New Roman" w:cs="Times New Roman"/>
                <w:sz w:val="24"/>
                <w:szCs w:val="24"/>
                <w:lang w:eastAsia="de-DE"/>
              </w:rPr>
              <w:t>+</w:t>
            </w:r>
            <w:r w:rsidRPr="000D49B1">
              <w:rPr>
                <w:rFonts w:ascii="Times New Roman" w:eastAsia="Times New Roman" w:hAnsi="Times New Roman" w:cs="Times New Roman"/>
                <w:b/>
                <w:sz w:val="24"/>
                <w:szCs w:val="24"/>
                <w:vertAlign w:val="superscript"/>
                <w:lang w:eastAsia="de-DE"/>
              </w:rPr>
              <w:t>4)</w:t>
            </w:r>
          </w:p>
        </w:tc>
      </w:tr>
    </w:tbl>
    <w:p w14:paraId="3442B205" w14:textId="77777777" w:rsidR="000D49B1" w:rsidRPr="000D49B1" w:rsidRDefault="000D49B1" w:rsidP="000D49B1">
      <w:pPr>
        <w:tabs>
          <w:tab w:val="left" w:pos="142"/>
        </w:tabs>
        <w:spacing w:before="0" w:after="0"/>
        <w:ind w:left="142" w:right="-336" w:hanging="142"/>
        <w:jc w:val="left"/>
        <w:rPr>
          <w:rFonts w:ascii="Times New Roman" w:eastAsia="Times New Roman" w:hAnsi="Times New Roman" w:cs="Times New Roman"/>
          <w:sz w:val="16"/>
          <w:szCs w:val="16"/>
          <w:lang w:eastAsia="de-DE"/>
        </w:rPr>
      </w:pPr>
      <w:r w:rsidRPr="000D49B1">
        <w:rPr>
          <w:rFonts w:ascii="Times New Roman" w:eastAsia="Times New Roman" w:hAnsi="Times New Roman" w:cs="Times New Roman"/>
          <w:sz w:val="16"/>
          <w:szCs w:val="16"/>
          <w:lang w:eastAsia="de-DE"/>
        </w:rPr>
        <w:t xml:space="preserve">1) Zulässig, wenn Antimon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10 µg/l, Blei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390 µg/l, Cadmium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10 µg/l, Chrom, ges.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440 µg/l, Kupfer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270 µg/l, Molybdän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55 µg/l, Nickel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230 µg/l, Vanadium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700 µg/l, Zink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1.300 µg/l, MKW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230 µg/l, PCB, ges.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0,02 µg/l, Chlorphenole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82 µg/l, Chlorbenzole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1,9 µg/l. und </w:t>
      </w:r>
      <w:proofErr w:type="spellStart"/>
      <w:r w:rsidRPr="000D49B1">
        <w:rPr>
          <w:rFonts w:ascii="Times New Roman" w:eastAsia="Times New Roman" w:hAnsi="Times New Roman" w:cs="Times New Roman"/>
          <w:sz w:val="16"/>
          <w:szCs w:val="16"/>
          <w:lang w:eastAsia="de-DE"/>
        </w:rPr>
        <w:t>Tributylzinn</w:t>
      </w:r>
      <w:proofErr w:type="spellEnd"/>
      <w:r w:rsidRPr="000D49B1">
        <w:rPr>
          <w:rFonts w:ascii="Times New Roman" w:eastAsia="Times New Roman" w:hAnsi="Times New Roman" w:cs="Times New Roman"/>
          <w:sz w:val="16"/>
          <w:szCs w:val="16"/>
          <w:lang w:eastAsia="de-DE"/>
        </w:rPr>
        <w:t xml:space="preserve">-Kation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500 µg/kg.</w:t>
      </w:r>
    </w:p>
    <w:p w14:paraId="7DB43A23" w14:textId="77777777" w:rsidR="000D49B1" w:rsidRPr="000D49B1" w:rsidRDefault="000D49B1" w:rsidP="000D49B1">
      <w:pPr>
        <w:spacing w:before="0" w:after="0"/>
        <w:jc w:val="left"/>
        <w:rPr>
          <w:rFonts w:ascii="Times New Roman" w:eastAsia="Times New Roman" w:hAnsi="Times New Roman" w:cs="Times New Roman"/>
          <w:sz w:val="16"/>
          <w:szCs w:val="16"/>
          <w:lang w:eastAsia="de-DE"/>
        </w:rPr>
      </w:pPr>
      <w:r w:rsidRPr="000D49B1">
        <w:rPr>
          <w:rFonts w:ascii="Times New Roman" w:eastAsia="Times New Roman" w:hAnsi="Times New Roman" w:cs="Times New Roman"/>
          <w:sz w:val="16"/>
          <w:szCs w:val="16"/>
          <w:lang w:eastAsia="de-DE"/>
        </w:rPr>
        <w:t xml:space="preserve">2) Zulässig wenn „K“, Nickel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180 µg/</w:t>
      </w:r>
      <w:proofErr w:type="gramStart"/>
      <w:r w:rsidRPr="000D49B1">
        <w:rPr>
          <w:rFonts w:ascii="Times New Roman" w:eastAsia="Times New Roman" w:hAnsi="Times New Roman" w:cs="Times New Roman"/>
          <w:sz w:val="16"/>
          <w:szCs w:val="16"/>
          <w:lang w:eastAsia="de-DE"/>
        </w:rPr>
        <w:t>l,  und</w:t>
      </w:r>
      <w:proofErr w:type="gramEnd"/>
      <w:r w:rsidRPr="000D49B1">
        <w:rPr>
          <w:rFonts w:ascii="Times New Roman" w:eastAsia="Times New Roman" w:hAnsi="Times New Roman" w:cs="Times New Roman"/>
          <w:sz w:val="16"/>
          <w:szCs w:val="16"/>
          <w:lang w:eastAsia="de-DE"/>
        </w:rPr>
        <w:t xml:space="preserve"> Zink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1.500 µg/l und </w:t>
      </w:r>
      <w:proofErr w:type="spellStart"/>
      <w:r w:rsidRPr="000D49B1">
        <w:rPr>
          <w:rFonts w:ascii="Times New Roman" w:eastAsia="Times New Roman" w:hAnsi="Times New Roman" w:cs="Times New Roman"/>
          <w:sz w:val="16"/>
          <w:szCs w:val="16"/>
          <w:lang w:eastAsia="de-DE"/>
        </w:rPr>
        <w:t>Tributylzinn</w:t>
      </w:r>
      <w:proofErr w:type="spellEnd"/>
      <w:r w:rsidRPr="000D49B1">
        <w:rPr>
          <w:rFonts w:ascii="Times New Roman" w:eastAsia="Times New Roman" w:hAnsi="Times New Roman" w:cs="Times New Roman"/>
          <w:sz w:val="16"/>
          <w:szCs w:val="16"/>
          <w:lang w:eastAsia="de-DE"/>
        </w:rPr>
        <w:t xml:space="preserve">-Kation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500 µg/kg. </w:t>
      </w:r>
    </w:p>
    <w:p w14:paraId="06274622" w14:textId="77777777" w:rsidR="000D49B1" w:rsidRPr="000D49B1" w:rsidRDefault="000D49B1" w:rsidP="000D49B1">
      <w:pPr>
        <w:spacing w:before="0" w:after="0"/>
        <w:jc w:val="left"/>
        <w:rPr>
          <w:rFonts w:ascii="Times New Roman" w:eastAsia="Times New Roman" w:hAnsi="Times New Roman" w:cs="Times New Roman"/>
          <w:sz w:val="16"/>
          <w:szCs w:val="16"/>
          <w:lang w:eastAsia="de-DE"/>
        </w:rPr>
      </w:pPr>
      <w:r w:rsidRPr="000D49B1">
        <w:rPr>
          <w:rFonts w:ascii="Times New Roman" w:eastAsia="Times New Roman" w:hAnsi="Times New Roman" w:cs="Times New Roman"/>
          <w:sz w:val="16"/>
          <w:szCs w:val="16"/>
          <w:lang w:eastAsia="de-DE"/>
        </w:rPr>
        <w:t xml:space="preserve">3) </w:t>
      </w:r>
      <w:proofErr w:type="gramStart"/>
      <w:r w:rsidRPr="000D49B1">
        <w:rPr>
          <w:rFonts w:ascii="Times New Roman" w:eastAsia="Times New Roman" w:hAnsi="Times New Roman" w:cs="Times New Roman"/>
          <w:sz w:val="16"/>
          <w:szCs w:val="16"/>
          <w:lang w:eastAsia="de-DE"/>
        </w:rPr>
        <w:t>Zulässig</w:t>
      </w:r>
      <w:proofErr w:type="gramEnd"/>
      <w:r w:rsidRPr="000D49B1">
        <w:rPr>
          <w:rFonts w:ascii="Times New Roman" w:eastAsia="Times New Roman" w:hAnsi="Times New Roman" w:cs="Times New Roman"/>
          <w:sz w:val="16"/>
          <w:szCs w:val="16"/>
          <w:lang w:eastAsia="de-DE"/>
        </w:rPr>
        <w:t xml:space="preserve"> wenn „K“ und </w:t>
      </w:r>
      <w:proofErr w:type="spellStart"/>
      <w:r w:rsidRPr="000D49B1">
        <w:rPr>
          <w:rFonts w:ascii="Times New Roman" w:eastAsia="Times New Roman" w:hAnsi="Times New Roman" w:cs="Times New Roman"/>
          <w:sz w:val="16"/>
          <w:szCs w:val="16"/>
          <w:lang w:eastAsia="de-DE"/>
        </w:rPr>
        <w:t>Tributylzinn</w:t>
      </w:r>
      <w:proofErr w:type="spellEnd"/>
      <w:r w:rsidRPr="000D49B1">
        <w:rPr>
          <w:rFonts w:ascii="Times New Roman" w:eastAsia="Times New Roman" w:hAnsi="Times New Roman" w:cs="Times New Roman"/>
          <w:sz w:val="16"/>
          <w:szCs w:val="16"/>
          <w:lang w:eastAsia="de-DE"/>
        </w:rPr>
        <w:t xml:space="preserve">-Kation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500 µg/kg.</w:t>
      </w:r>
    </w:p>
    <w:p w14:paraId="2BBA2BBE" w14:textId="501313DE" w:rsidR="000D49B1" w:rsidRPr="000D49B1" w:rsidRDefault="000D49B1" w:rsidP="000D49B1">
      <w:pPr>
        <w:spacing w:before="0" w:after="0"/>
        <w:jc w:val="left"/>
        <w:rPr>
          <w:rFonts w:ascii="Times New Roman" w:eastAsia="Times New Roman" w:hAnsi="Times New Roman" w:cs="Times New Roman"/>
          <w:sz w:val="16"/>
          <w:szCs w:val="16"/>
          <w:lang w:eastAsia="de-DE"/>
        </w:rPr>
      </w:pPr>
      <w:r w:rsidRPr="000D49B1">
        <w:rPr>
          <w:rFonts w:ascii="Times New Roman" w:eastAsia="Times New Roman" w:hAnsi="Times New Roman" w:cs="Times New Roman"/>
          <w:sz w:val="16"/>
          <w:szCs w:val="16"/>
          <w:lang w:eastAsia="de-DE"/>
        </w:rPr>
        <w:t xml:space="preserve">4) Zulässig, wenn Antimon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10 µg/l, Molybdän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55 µg/l, Chlorbenzole, ges.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2,0 µg/l, PCB, ges.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0,02 µg/l und </w:t>
      </w:r>
      <w:proofErr w:type="spellStart"/>
      <w:r w:rsidRPr="000D49B1">
        <w:rPr>
          <w:rFonts w:ascii="Times New Roman" w:eastAsia="Times New Roman" w:hAnsi="Times New Roman" w:cs="Times New Roman"/>
          <w:sz w:val="16"/>
          <w:szCs w:val="16"/>
          <w:lang w:eastAsia="de-DE"/>
        </w:rPr>
        <w:t>Tributylzinn</w:t>
      </w:r>
      <w:proofErr w:type="spellEnd"/>
      <w:r w:rsidRPr="000D49B1">
        <w:rPr>
          <w:rFonts w:ascii="Times New Roman" w:eastAsia="Times New Roman" w:hAnsi="Times New Roman" w:cs="Times New Roman"/>
          <w:sz w:val="16"/>
          <w:szCs w:val="16"/>
          <w:lang w:eastAsia="de-DE"/>
        </w:rPr>
        <w:t xml:space="preserve">-Kation </w:t>
      </w:r>
      <w:r w:rsidRPr="000D49B1">
        <w:rPr>
          <w:rFonts w:ascii="Times New Roman" w:eastAsia="Times New Roman" w:hAnsi="Times New Roman" w:cs="Times New Roman"/>
          <w:sz w:val="16"/>
          <w:szCs w:val="16"/>
          <w:lang w:eastAsia="de-DE"/>
        </w:rPr>
        <w:sym w:font="Symbol" w:char="F0A3"/>
      </w:r>
      <w:r w:rsidRPr="000D49B1">
        <w:rPr>
          <w:rFonts w:ascii="Times New Roman" w:eastAsia="Times New Roman" w:hAnsi="Times New Roman" w:cs="Times New Roman"/>
          <w:sz w:val="16"/>
          <w:szCs w:val="16"/>
          <w:lang w:eastAsia="de-DE"/>
        </w:rPr>
        <w:t xml:space="preserve"> 500 µg/kg.</w:t>
      </w:r>
    </w:p>
    <w:p w14:paraId="7533B4E1" w14:textId="6B818E01" w:rsidR="001F4995" w:rsidRPr="008D0377" w:rsidRDefault="001F4995" w:rsidP="001F4995">
      <w:pPr>
        <w:pStyle w:val="berschrift1"/>
      </w:pPr>
      <w:r>
        <w:br w:type="page"/>
      </w:r>
      <w:bookmarkStart w:id="42" w:name="_Toc30749698"/>
      <w:r w:rsidRPr="008D0377">
        <w:lastRenderedPageBreak/>
        <w:t>Tabelle 9: Gleisschotter der Klasse 0 (GS-0)</w:t>
      </w:r>
    </w:p>
    <w:p w14:paraId="5BAF169F" w14:textId="77777777" w:rsidR="001F4995" w:rsidRPr="001F4995" w:rsidRDefault="001F4995" w:rsidP="001F4995">
      <w:pPr>
        <w:keepNext/>
        <w:spacing w:before="0" w:after="200"/>
        <w:jc w:val="left"/>
        <w:rPr>
          <w:rFonts w:ascii="Times New Roman" w:eastAsia="Calibri" w:hAnsi="Times New Roman" w:cs="Times New Roman"/>
          <w:b/>
          <w:sz w:val="18"/>
          <w:szCs w:val="18"/>
        </w:rPr>
      </w:pPr>
    </w:p>
    <w:tbl>
      <w:tblPr>
        <w:tblW w:w="11002" w:type="dxa"/>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567"/>
        <w:gridCol w:w="715"/>
        <w:gridCol w:w="500"/>
        <w:gridCol w:w="715"/>
        <w:gridCol w:w="542"/>
        <w:gridCol w:w="715"/>
      </w:tblGrid>
      <w:tr w:rsidR="001F4995" w:rsidRPr="001F4995" w14:paraId="123A0BDD" w14:textId="77777777" w:rsidTr="001F4995">
        <w:trPr>
          <w:trHeight w:val="330"/>
        </w:trPr>
        <w:tc>
          <w:tcPr>
            <w:tcW w:w="11002" w:type="dxa"/>
            <w:gridSpan w:val="11"/>
            <w:noWrap/>
            <w:vAlign w:val="bottom"/>
          </w:tcPr>
          <w:p w14:paraId="6703A767" w14:textId="77777777" w:rsidR="001F4995" w:rsidRPr="001F4995" w:rsidRDefault="001F4995" w:rsidP="001F4995">
            <w:pPr>
              <w:spacing w:before="0" w:after="0"/>
              <w:jc w:val="center"/>
              <w:rPr>
                <w:rFonts w:ascii="Times New Roman" w:eastAsia="Times New Roman" w:hAnsi="Times New Roman" w:cs="Times New Roman"/>
                <w:b/>
                <w:bCs/>
                <w:sz w:val="24"/>
                <w:szCs w:val="24"/>
                <w:lang w:eastAsia="de-DE"/>
              </w:rPr>
            </w:pP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bCs/>
                <w:sz w:val="24"/>
                <w:szCs w:val="24"/>
                <w:lang w:eastAsia="de-DE"/>
              </w:rPr>
              <w:t>Gleisschotter der Klasse 0 (GS-0)</w:t>
            </w:r>
          </w:p>
        </w:tc>
      </w:tr>
      <w:tr w:rsidR="001F4995" w:rsidRPr="001F4995" w14:paraId="716F40C2" w14:textId="77777777" w:rsidTr="001F4995">
        <w:trPr>
          <w:trHeight w:val="20"/>
        </w:trPr>
        <w:tc>
          <w:tcPr>
            <w:tcW w:w="4683" w:type="dxa"/>
            <w:gridSpan w:val="2"/>
            <w:vMerge w:val="restart"/>
            <w:shd w:val="clear" w:color="auto" w:fill="auto"/>
            <w:noWrap/>
          </w:tcPr>
          <w:p w14:paraId="57E5D0E9"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Einbauweise</w:t>
            </w:r>
          </w:p>
        </w:tc>
        <w:tc>
          <w:tcPr>
            <w:tcW w:w="6319" w:type="dxa"/>
            <w:gridSpan w:val="9"/>
            <w:shd w:val="clear" w:color="auto" w:fill="auto"/>
            <w:noWrap/>
            <w:vAlign w:val="center"/>
          </w:tcPr>
          <w:p w14:paraId="268C5A41"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Eigenschaft der Grundwasserdeckschicht</w:t>
            </w:r>
          </w:p>
        </w:tc>
      </w:tr>
      <w:tr w:rsidR="001F4995" w:rsidRPr="001F4995" w14:paraId="0C80F145" w14:textId="77777777" w:rsidTr="001F4995">
        <w:trPr>
          <w:trHeight w:val="20"/>
        </w:trPr>
        <w:tc>
          <w:tcPr>
            <w:tcW w:w="4683" w:type="dxa"/>
            <w:gridSpan w:val="2"/>
            <w:vMerge/>
            <w:shd w:val="clear" w:color="auto" w:fill="auto"/>
            <w:noWrap/>
            <w:vAlign w:val="center"/>
          </w:tcPr>
          <w:p w14:paraId="541447D0" w14:textId="77777777" w:rsidR="001F4995" w:rsidRPr="001F4995" w:rsidRDefault="001F4995" w:rsidP="001F4995">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2913E1C9"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außerhalb von</w:t>
            </w:r>
          </w:p>
          <w:p w14:paraId="7AC9B315"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c>
          <w:tcPr>
            <w:tcW w:w="3619" w:type="dxa"/>
            <w:gridSpan w:val="6"/>
            <w:shd w:val="clear" w:color="auto" w:fill="auto"/>
            <w:noWrap/>
            <w:vAlign w:val="center"/>
          </w:tcPr>
          <w:p w14:paraId="26E82F61"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innerhalb von</w:t>
            </w:r>
          </w:p>
          <w:p w14:paraId="346E74BB"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r>
      <w:tr w:rsidR="001F4995" w:rsidRPr="001F4995" w14:paraId="2B7B4D6C" w14:textId="77777777" w:rsidTr="001F4995">
        <w:trPr>
          <w:trHeight w:val="20"/>
        </w:trPr>
        <w:tc>
          <w:tcPr>
            <w:tcW w:w="4683" w:type="dxa"/>
            <w:gridSpan w:val="2"/>
            <w:vMerge/>
            <w:shd w:val="clear" w:color="auto" w:fill="auto"/>
            <w:noWrap/>
            <w:vAlign w:val="center"/>
          </w:tcPr>
          <w:p w14:paraId="49B4948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2FB38658"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proofErr w:type="spellStart"/>
            <w:r w:rsidRPr="001F4995">
              <w:rPr>
                <w:rFonts w:ascii="Times New Roman" w:eastAsia="Times New Roman" w:hAnsi="Times New Roman" w:cs="Times New Roman"/>
                <w:sz w:val="20"/>
                <w:szCs w:val="20"/>
                <w:lang w:eastAsia="de-DE"/>
              </w:rPr>
              <w:t>un</w:t>
            </w:r>
            <w:proofErr w:type="spellEnd"/>
            <w:r w:rsidRPr="001F4995">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15359C63"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c>
          <w:tcPr>
            <w:tcW w:w="3619" w:type="dxa"/>
            <w:gridSpan w:val="6"/>
            <w:shd w:val="clear" w:color="auto" w:fill="auto"/>
            <w:noWrap/>
            <w:vAlign w:val="center"/>
          </w:tcPr>
          <w:p w14:paraId="44BD4134"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r>
      <w:tr w:rsidR="001F4995" w:rsidRPr="001F4995" w14:paraId="114E4167" w14:textId="77777777" w:rsidTr="001F4995">
        <w:trPr>
          <w:trHeight w:val="20"/>
        </w:trPr>
        <w:tc>
          <w:tcPr>
            <w:tcW w:w="4683" w:type="dxa"/>
            <w:gridSpan w:val="2"/>
            <w:vMerge/>
            <w:shd w:val="clear" w:color="auto" w:fill="auto"/>
            <w:noWrap/>
            <w:vAlign w:val="center"/>
          </w:tcPr>
          <w:p w14:paraId="3455E06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5D8FBEA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6E917BE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5E4A72ED" w14:textId="06EDFC5A"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6927E89A" w14:textId="72F6ADDB"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3B135B7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1237" w:type="dxa"/>
            <w:gridSpan w:val="2"/>
            <w:shd w:val="clear" w:color="auto" w:fill="auto"/>
            <w:noWrap/>
            <w:vAlign w:val="center"/>
          </w:tcPr>
          <w:p w14:paraId="70A910A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20F03BB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B</w:t>
            </w:r>
          </w:p>
        </w:tc>
        <w:tc>
          <w:tcPr>
            <w:tcW w:w="1212" w:type="dxa"/>
            <w:gridSpan w:val="2"/>
            <w:shd w:val="clear" w:color="auto" w:fill="auto"/>
            <w:noWrap/>
            <w:vAlign w:val="center"/>
          </w:tcPr>
          <w:p w14:paraId="3B2EE68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Wasservor-</w:t>
            </w:r>
          </w:p>
        </w:tc>
      </w:tr>
      <w:tr w:rsidR="001F4995" w:rsidRPr="001F4995" w14:paraId="4B4653DD" w14:textId="77777777" w:rsidTr="001F4995">
        <w:trPr>
          <w:trHeight w:val="80"/>
        </w:trPr>
        <w:tc>
          <w:tcPr>
            <w:tcW w:w="4683" w:type="dxa"/>
            <w:gridSpan w:val="2"/>
            <w:vMerge/>
            <w:shd w:val="clear" w:color="auto" w:fill="auto"/>
            <w:noWrap/>
            <w:vAlign w:val="center"/>
          </w:tcPr>
          <w:p w14:paraId="022FD20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7F99269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3169623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32E9CB2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237" w:type="dxa"/>
            <w:gridSpan w:val="2"/>
            <w:shd w:val="clear" w:color="auto" w:fill="auto"/>
            <w:noWrap/>
            <w:vAlign w:val="center"/>
          </w:tcPr>
          <w:p w14:paraId="4E232B4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363F03C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IV</w:t>
            </w:r>
          </w:p>
        </w:tc>
        <w:tc>
          <w:tcPr>
            <w:tcW w:w="1212" w:type="dxa"/>
            <w:gridSpan w:val="2"/>
            <w:shd w:val="clear" w:color="auto" w:fill="auto"/>
            <w:noWrap/>
            <w:vAlign w:val="center"/>
          </w:tcPr>
          <w:p w14:paraId="2A81A93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ranggebiete</w:t>
            </w:r>
          </w:p>
        </w:tc>
      </w:tr>
      <w:tr w:rsidR="001F4995" w:rsidRPr="001F4995" w14:paraId="6CAC1093" w14:textId="77777777" w:rsidTr="001F4995">
        <w:trPr>
          <w:trHeight w:val="80"/>
        </w:trPr>
        <w:tc>
          <w:tcPr>
            <w:tcW w:w="4683" w:type="dxa"/>
            <w:gridSpan w:val="2"/>
            <w:vMerge/>
            <w:shd w:val="clear" w:color="auto" w:fill="auto"/>
            <w:noWrap/>
            <w:vAlign w:val="center"/>
          </w:tcPr>
          <w:p w14:paraId="640C22C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409FB9F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4AADE1A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0BB6312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567" w:type="dxa"/>
            <w:shd w:val="clear" w:color="auto" w:fill="auto"/>
            <w:noWrap/>
            <w:vAlign w:val="center"/>
          </w:tcPr>
          <w:p w14:paraId="6788D0E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06C3140D" w14:textId="7C78AE5B"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04E4D9F1" w14:textId="3CC5C661"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5A89B44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6FD553A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65F6AA98" w14:textId="0A5851AE"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42FB7856" w14:textId="79423CE6"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4444636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0EA5DF9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0C7FDC7B" w14:textId="7D2748B3"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203A23BE" w14:textId="671CF2B0"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7179E75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r>
      <w:tr w:rsidR="001F4995" w:rsidRPr="001F4995" w14:paraId="23B16748" w14:textId="77777777" w:rsidTr="001F4995">
        <w:trPr>
          <w:trHeight w:val="111"/>
        </w:trPr>
        <w:tc>
          <w:tcPr>
            <w:tcW w:w="4683" w:type="dxa"/>
            <w:gridSpan w:val="2"/>
            <w:vMerge/>
            <w:shd w:val="clear" w:color="auto" w:fill="auto"/>
            <w:noWrap/>
            <w:vAlign w:val="center"/>
          </w:tcPr>
          <w:p w14:paraId="2004C4E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7201876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w:t>
            </w:r>
          </w:p>
        </w:tc>
        <w:tc>
          <w:tcPr>
            <w:tcW w:w="664" w:type="dxa"/>
            <w:shd w:val="clear" w:color="auto" w:fill="auto"/>
            <w:noWrap/>
            <w:vAlign w:val="center"/>
          </w:tcPr>
          <w:p w14:paraId="3FB3BBC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2</w:t>
            </w:r>
          </w:p>
        </w:tc>
        <w:tc>
          <w:tcPr>
            <w:tcW w:w="1185" w:type="dxa"/>
            <w:shd w:val="clear" w:color="auto" w:fill="auto"/>
            <w:noWrap/>
            <w:vAlign w:val="center"/>
          </w:tcPr>
          <w:p w14:paraId="6D37A0D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3</w:t>
            </w:r>
          </w:p>
        </w:tc>
        <w:tc>
          <w:tcPr>
            <w:tcW w:w="1237" w:type="dxa"/>
            <w:gridSpan w:val="2"/>
            <w:shd w:val="clear" w:color="auto" w:fill="auto"/>
            <w:noWrap/>
            <w:vAlign w:val="center"/>
          </w:tcPr>
          <w:p w14:paraId="0A21AF3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494AE46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5</w:t>
            </w:r>
          </w:p>
        </w:tc>
        <w:tc>
          <w:tcPr>
            <w:tcW w:w="1212" w:type="dxa"/>
            <w:gridSpan w:val="2"/>
            <w:shd w:val="clear" w:color="auto" w:fill="auto"/>
            <w:noWrap/>
            <w:vAlign w:val="center"/>
          </w:tcPr>
          <w:p w14:paraId="5929626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6</w:t>
            </w:r>
          </w:p>
        </w:tc>
      </w:tr>
      <w:tr w:rsidR="001F4995" w:rsidRPr="001F4995" w14:paraId="68C5DDDF" w14:textId="77777777" w:rsidTr="001F4995">
        <w:trPr>
          <w:trHeight w:val="20"/>
        </w:trPr>
        <w:tc>
          <w:tcPr>
            <w:tcW w:w="469" w:type="dxa"/>
            <w:shd w:val="clear" w:color="auto" w:fill="auto"/>
            <w:noWrap/>
          </w:tcPr>
          <w:p w14:paraId="67D408C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w:t>
            </w:r>
          </w:p>
        </w:tc>
        <w:tc>
          <w:tcPr>
            <w:tcW w:w="4214" w:type="dxa"/>
            <w:shd w:val="clear" w:color="auto" w:fill="FFFFFF"/>
          </w:tcPr>
          <w:p w14:paraId="4C61890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54D3412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777BDC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7B7524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shd w:val="clear" w:color="auto" w:fill="auto"/>
            <w:noWrap/>
            <w:vAlign w:val="center"/>
          </w:tcPr>
          <w:p w14:paraId="2EDB69D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278625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4F6108B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897D99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5482C3B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79BA2E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0CD67B0" w14:textId="77777777" w:rsidTr="001F4995">
        <w:trPr>
          <w:trHeight w:val="20"/>
        </w:trPr>
        <w:tc>
          <w:tcPr>
            <w:tcW w:w="469" w:type="dxa"/>
            <w:shd w:val="clear" w:color="auto" w:fill="auto"/>
            <w:noWrap/>
          </w:tcPr>
          <w:p w14:paraId="09DD9F5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2</w:t>
            </w:r>
          </w:p>
        </w:tc>
        <w:tc>
          <w:tcPr>
            <w:tcW w:w="4214" w:type="dxa"/>
            <w:shd w:val="clear" w:color="auto" w:fill="FFFFFF"/>
          </w:tcPr>
          <w:p w14:paraId="163577B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1C3F3F9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176501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2EBD8A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5CE3450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5DBE69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02A593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3AE7B4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37BD731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9F5410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0D0A490" w14:textId="77777777" w:rsidTr="001F4995">
        <w:trPr>
          <w:trHeight w:val="20"/>
        </w:trPr>
        <w:tc>
          <w:tcPr>
            <w:tcW w:w="469" w:type="dxa"/>
            <w:shd w:val="clear" w:color="auto" w:fill="auto"/>
            <w:noWrap/>
          </w:tcPr>
          <w:p w14:paraId="730FAE5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3</w:t>
            </w:r>
          </w:p>
        </w:tc>
        <w:tc>
          <w:tcPr>
            <w:tcW w:w="4214" w:type="dxa"/>
            <w:shd w:val="clear" w:color="auto" w:fill="FFFFFF"/>
          </w:tcPr>
          <w:p w14:paraId="3BA1276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3071CA4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869C52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CBE69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1FD5B9A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540923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93516B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4B4B40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236A889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907F1B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CD46830" w14:textId="77777777" w:rsidTr="001F4995">
        <w:trPr>
          <w:trHeight w:val="20"/>
        </w:trPr>
        <w:tc>
          <w:tcPr>
            <w:tcW w:w="469" w:type="dxa"/>
            <w:shd w:val="clear" w:color="auto" w:fill="auto"/>
            <w:noWrap/>
          </w:tcPr>
          <w:p w14:paraId="6F461328"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4</w:t>
            </w:r>
          </w:p>
        </w:tc>
        <w:tc>
          <w:tcPr>
            <w:tcW w:w="4214" w:type="dxa"/>
            <w:shd w:val="clear" w:color="auto" w:fill="FFFFFF"/>
          </w:tcPr>
          <w:p w14:paraId="6E59E67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09EBEDC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B0CBC5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2A2040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4C82A4F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AFF78C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5C8B34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F93380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0DD896E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922885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A86D4AD" w14:textId="77777777" w:rsidTr="001F4995">
        <w:trPr>
          <w:trHeight w:val="20"/>
        </w:trPr>
        <w:tc>
          <w:tcPr>
            <w:tcW w:w="469" w:type="dxa"/>
            <w:shd w:val="clear" w:color="auto" w:fill="auto"/>
            <w:noWrap/>
          </w:tcPr>
          <w:p w14:paraId="0BADCE5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5</w:t>
            </w:r>
          </w:p>
        </w:tc>
        <w:tc>
          <w:tcPr>
            <w:tcW w:w="4214" w:type="dxa"/>
            <w:shd w:val="clear" w:color="auto" w:fill="FFFFFF"/>
          </w:tcPr>
          <w:p w14:paraId="25D1650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6D1C8DD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B7A269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827D67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4B5B31B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48F83A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0B9E09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5EA4C5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48804C2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CF628C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64F6C0D" w14:textId="77777777" w:rsidTr="001F4995">
        <w:trPr>
          <w:trHeight w:val="20"/>
        </w:trPr>
        <w:tc>
          <w:tcPr>
            <w:tcW w:w="469" w:type="dxa"/>
            <w:shd w:val="clear" w:color="auto" w:fill="auto"/>
            <w:noWrap/>
          </w:tcPr>
          <w:p w14:paraId="7199B2DB"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6</w:t>
            </w:r>
          </w:p>
        </w:tc>
        <w:tc>
          <w:tcPr>
            <w:tcW w:w="4214" w:type="dxa"/>
            <w:shd w:val="clear" w:color="auto" w:fill="FFFFFF"/>
          </w:tcPr>
          <w:p w14:paraId="306F7CBC"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401117D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ACC108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1A4110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7E2EBDC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233022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9E7BA3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9DE999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5BB7A4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F3A2FF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5D4189F" w14:textId="77777777" w:rsidTr="001F4995">
        <w:trPr>
          <w:trHeight w:val="20"/>
        </w:trPr>
        <w:tc>
          <w:tcPr>
            <w:tcW w:w="469" w:type="dxa"/>
            <w:shd w:val="clear" w:color="auto" w:fill="auto"/>
            <w:noWrap/>
          </w:tcPr>
          <w:p w14:paraId="0FF10D9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7</w:t>
            </w:r>
          </w:p>
        </w:tc>
        <w:tc>
          <w:tcPr>
            <w:tcW w:w="4214" w:type="dxa"/>
            <w:shd w:val="clear" w:color="auto" w:fill="FFFFFF"/>
          </w:tcPr>
          <w:p w14:paraId="2DA2E55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Schottertragschicht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5D444C9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03BE40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4A699F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766E250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A9028A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774931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E3ACB8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509E66B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7D7333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2427F8E" w14:textId="77777777" w:rsidTr="001F4995">
        <w:trPr>
          <w:trHeight w:val="20"/>
        </w:trPr>
        <w:tc>
          <w:tcPr>
            <w:tcW w:w="469" w:type="dxa"/>
            <w:shd w:val="clear" w:color="auto" w:fill="auto"/>
            <w:noWrap/>
          </w:tcPr>
          <w:p w14:paraId="74C1779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8</w:t>
            </w:r>
          </w:p>
        </w:tc>
        <w:tc>
          <w:tcPr>
            <w:tcW w:w="4214" w:type="dxa"/>
            <w:shd w:val="clear" w:color="auto" w:fill="FFFFFF"/>
          </w:tcPr>
          <w:p w14:paraId="3D157794"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Frostschutzschicht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7B994AB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2D3780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5AFF3E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0A2D364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387BBE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93F4CC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C7238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24F9F2A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3DDE26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33DC822" w14:textId="77777777" w:rsidTr="001F4995">
        <w:trPr>
          <w:trHeight w:val="20"/>
        </w:trPr>
        <w:tc>
          <w:tcPr>
            <w:tcW w:w="469" w:type="dxa"/>
            <w:shd w:val="clear" w:color="auto" w:fill="auto"/>
            <w:noWrap/>
          </w:tcPr>
          <w:p w14:paraId="1C2415AC"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9</w:t>
            </w:r>
          </w:p>
        </w:tc>
        <w:tc>
          <w:tcPr>
            <w:tcW w:w="4214" w:type="dxa"/>
            <w:shd w:val="clear" w:color="auto" w:fill="FFFFFF"/>
          </w:tcPr>
          <w:p w14:paraId="2F602BF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Dämme oder Wälle gemäß Bauweisen A-D nach MTSE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1783A3A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02B3B3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58B107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4302444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902E68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F51ED5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50AA32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14210D3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305DEB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D305BC5" w14:textId="77777777" w:rsidTr="001F4995">
        <w:trPr>
          <w:trHeight w:val="20"/>
        </w:trPr>
        <w:tc>
          <w:tcPr>
            <w:tcW w:w="469" w:type="dxa"/>
            <w:shd w:val="clear" w:color="auto" w:fill="auto"/>
            <w:noWrap/>
          </w:tcPr>
          <w:p w14:paraId="143375E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10</w:t>
            </w:r>
          </w:p>
        </w:tc>
        <w:tc>
          <w:tcPr>
            <w:tcW w:w="4214" w:type="dxa"/>
            <w:shd w:val="clear" w:color="auto" w:fill="FFFFFF"/>
          </w:tcPr>
          <w:p w14:paraId="153FDA1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4D9D974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1C0E46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007B91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535531A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65E9C4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69E03A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6FE9F1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112A209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830A4D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4629510" w14:textId="77777777" w:rsidTr="001F4995">
        <w:trPr>
          <w:trHeight w:val="20"/>
        </w:trPr>
        <w:tc>
          <w:tcPr>
            <w:tcW w:w="469" w:type="dxa"/>
            <w:shd w:val="clear" w:color="auto" w:fill="auto"/>
            <w:noWrap/>
          </w:tcPr>
          <w:p w14:paraId="633D469E"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11</w:t>
            </w:r>
          </w:p>
        </w:tc>
        <w:tc>
          <w:tcPr>
            <w:tcW w:w="4214" w:type="dxa"/>
            <w:shd w:val="clear" w:color="auto" w:fill="FFFFFF"/>
          </w:tcPr>
          <w:p w14:paraId="40CB0220"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471D609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D0F47F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E4890A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20E2C3F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684BE6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D88A5C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E4C4D3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7039DD0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6E0AD3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4764BEC" w14:textId="77777777" w:rsidTr="001F4995">
        <w:trPr>
          <w:trHeight w:val="20"/>
        </w:trPr>
        <w:tc>
          <w:tcPr>
            <w:tcW w:w="469" w:type="dxa"/>
            <w:shd w:val="clear" w:color="auto" w:fill="auto"/>
            <w:noWrap/>
          </w:tcPr>
          <w:p w14:paraId="74FD5E8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12</w:t>
            </w:r>
          </w:p>
        </w:tc>
        <w:tc>
          <w:tcPr>
            <w:tcW w:w="4214" w:type="dxa"/>
            <w:shd w:val="clear" w:color="auto" w:fill="FFFFFF"/>
          </w:tcPr>
          <w:p w14:paraId="37213BF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Deckschicht ohne Bindemittel</w:t>
            </w:r>
          </w:p>
        </w:tc>
        <w:tc>
          <w:tcPr>
            <w:tcW w:w="851" w:type="dxa"/>
            <w:noWrap/>
            <w:vAlign w:val="center"/>
          </w:tcPr>
          <w:p w14:paraId="1106263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3F490E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868AD7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72D462A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8D8D2F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122402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A03B34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2B0214A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9DED3F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0D75A6C" w14:textId="77777777" w:rsidTr="001F4995">
        <w:trPr>
          <w:trHeight w:val="20"/>
        </w:trPr>
        <w:tc>
          <w:tcPr>
            <w:tcW w:w="469" w:type="dxa"/>
            <w:shd w:val="clear" w:color="auto" w:fill="auto"/>
            <w:noWrap/>
          </w:tcPr>
          <w:p w14:paraId="094B887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13</w:t>
            </w:r>
          </w:p>
        </w:tc>
        <w:tc>
          <w:tcPr>
            <w:tcW w:w="4214" w:type="dxa"/>
            <w:shd w:val="clear" w:color="auto" w:fill="FFFFFF"/>
          </w:tcPr>
          <w:p w14:paraId="31BFB82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2309092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CB144E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7AE52E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65AF25B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B47718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EDAB51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761E88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4223681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35C8E9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67E57D2" w14:textId="77777777" w:rsidTr="001F4995">
        <w:trPr>
          <w:trHeight w:val="20"/>
        </w:trPr>
        <w:tc>
          <w:tcPr>
            <w:tcW w:w="469" w:type="dxa"/>
            <w:shd w:val="clear" w:color="auto" w:fill="auto"/>
            <w:noWrap/>
          </w:tcPr>
          <w:p w14:paraId="10B4CF1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14</w:t>
            </w:r>
          </w:p>
        </w:tc>
        <w:tc>
          <w:tcPr>
            <w:tcW w:w="4214" w:type="dxa"/>
            <w:shd w:val="clear" w:color="auto" w:fill="FFFFFF"/>
          </w:tcPr>
          <w:p w14:paraId="03791733"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Plattenbelägen</w:t>
            </w:r>
          </w:p>
        </w:tc>
        <w:tc>
          <w:tcPr>
            <w:tcW w:w="851" w:type="dxa"/>
            <w:noWrap/>
            <w:vAlign w:val="center"/>
          </w:tcPr>
          <w:p w14:paraId="577BA65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DA934E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F5EEE2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17E2905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9C8AC2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2813DB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32A793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4F7A037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6E47C3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C1FEA6A" w14:textId="77777777" w:rsidTr="001F4995">
        <w:trPr>
          <w:trHeight w:val="20"/>
        </w:trPr>
        <w:tc>
          <w:tcPr>
            <w:tcW w:w="469" w:type="dxa"/>
            <w:shd w:val="clear" w:color="auto" w:fill="auto"/>
            <w:noWrap/>
          </w:tcPr>
          <w:p w14:paraId="47FBE73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15</w:t>
            </w:r>
          </w:p>
        </w:tc>
        <w:tc>
          <w:tcPr>
            <w:tcW w:w="4214" w:type="dxa"/>
            <w:shd w:val="clear" w:color="auto" w:fill="FFFFFF"/>
          </w:tcPr>
          <w:p w14:paraId="25E1C6E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61976B6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900E53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266B77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399A12F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6D5B44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F718A3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1CF4C7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78B498A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351972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CB28038" w14:textId="77777777" w:rsidTr="001F4995">
        <w:trPr>
          <w:trHeight w:val="20"/>
        </w:trPr>
        <w:tc>
          <w:tcPr>
            <w:tcW w:w="469" w:type="dxa"/>
            <w:shd w:val="clear" w:color="auto" w:fill="auto"/>
            <w:noWrap/>
          </w:tcPr>
          <w:p w14:paraId="5F70B009"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16</w:t>
            </w:r>
          </w:p>
        </w:tc>
        <w:tc>
          <w:tcPr>
            <w:tcW w:w="4214" w:type="dxa"/>
            <w:shd w:val="clear" w:color="auto" w:fill="FFFFFF"/>
          </w:tcPr>
          <w:p w14:paraId="011E26B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7CBFB4A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181A49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594E07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7B752A3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8E1AE7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4EFCCE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E94651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7DF67BB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3F5184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BB0C9FE" w14:textId="77777777" w:rsidTr="001F4995">
        <w:trPr>
          <w:trHeight w:val="208"/>
        </w:trPr>
        <w:tc>
          <w:tcPr>
            <w:tcW w:w="469" w:type="dxa"/>
            <w:shd w:val="clear" w:color="auto" w:fill="auto"/>
            <w:noWrap/>
          </w:tcPr>
          <w:p w14:paraId="06ED9F04"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17</w:t>
            </w:r>
          </w:p>
        </w:tc>
        <w:tc>
          <w:tcPr>
            <w:tcW w:w="4214" w:type="dxa"/>
            <w:shd w:val="clear" w:color="auto" w:fill="FFFFFF"/>
          </w:tcPr>
          <w:p w14:paraId="64FA188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698C804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E21562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FF3829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6BE4D16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4438AB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E2E081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6F84FB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2F17DE4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1B8055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bl>
    <w:p w14:paraId="5841FFBF" w14:textId="77777777" w:rsidR="001F4995" w:rsidRDefault="001F4995" w:rsidP="00F43C5E">
      <w:pPr>
        <w:rPr>
          <w:lang w:eastAsia="de-DE"/>
        </w:rPr>
      </w:pPr>
      <w:bookmarkStart w:id="43" w:name="_Toc30749699"/>
      <w:bookmarkEnd w:id="42"/>
    </w:p>
    <w:p w14:paraId="67D4875E" w14:textId="6431BA04" w:rsidR="001F4995" w:rsidRPr="008D0377" w:rsidRDefault="001F4995" w:rsidP="001F4995">
      <w:pPr>
        <w:pStyle w:val="berschrift1"/>
      </w:pPr>
      <w:r>
        <w:rPr>
          <w:lang w:eastAsia="de-DE"/>
        </w:rPr>
        <w:br w:type="page"/>
      </w:r>
      <w:bookmarkEnd w:id="43"/>
      <w:r w:rsidRPr="008D0377">
        <w:lastRenderedPageBreak/>
        <w:t>Tabelle 10: Gleisschotter der Klasse 1 (GS-1)</w:t>
      </w:r>
    </w:p>
    <w:p w14:paraId="5F5A1C41" w14:textId="77777777" w:rsidR="001F4995" w:rsidRPr="001F4995" w:rsidRDefault="001F4995" w:rsidP="001F4995">
      <w:pPr>
        <w:pStyle w:val="Text"/>
      </w:pPr>
    </w:p>
    <w:tbl>
      <w:tblPr>
        <w:tblW w:w="11183" w:type="dxa"/>
        <w:tblInd w:w="-1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703"/>
        <w:gridCol w:w="1185"/>
        <w:gridCol w:w="821"/>
        <w:gridCol w:w="715"/>
        <w:gridCol w:w="500"/>
        <w:gridCol w:w="715"/>
        <w:gridCol w:w="703"/>
        <w:gridCol w:w="715"/>
      </w:tblGrid>
      <w:tr w:rsidR="001F4995" w:rsidRPr="001F4995" w14:paraId="17AA0DFA" w14:textId="77777777" w:rsidTr="001F4995">
        <w:trPr>
          <w:trHeight w:val="330"/>
        </w:trPr>
        <w:tc>
          <w:tcPr>
            <w:tcW w:w="11183" w:type="dxa"/>
            <w:gridSpan w:val="11"/>
            <w:noWrap/>
            <w:vAlign w:val="bottom"/>
          </w:tcPr>
          <w:p w14:paraId="1EFAD42A" w14:textId="77777777" w:rsidR="001F4995" w:rsidRPr="001F4995" w:rsidRDefault="001F4995" w:rsidP="001F4995">
            <w:pPr>
              <w:spacing w:before="0" w:after="0"/>
              <w:jc w:val="center"/>
              <w:rPr>
                <w:rFonts w:ascii="Times New Roman" w:eastAsia="Times New Roman" w:hAnsi="Times New Roman" w:cs="Times New Roman"/>
                <w:b/>
                <w:bCs/>
                <w:sz w:val="24"/>
                <w:szCs w:val="24"/>
                <w:lang w:eastAsia="de-DE"/>
              </w:rPr>
            </w:pP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t>Gleisschotter der Klasse 1 (GS-1)</w:t>
            </w:r>
          </w:p>
        </w:tc>
      </w:tr>
      <w:tr w:rsidR="001F4995" w:rsidRPr="001F4995" w14:paraId="1E4D27C4" w14:textId="77777777" w:rsidTr="001F4995">
        <w:trPr>
          <w:trHeight w:val="20"/>
        </w:trPr>
        <w:tc>
          <w:tcPr>
            <w:tcW w:w="4683" w:type="dxa"/>
            <w:gridSpan w:val="2"/>
            <w:vMerge w:val="restart"/>
            <w:shd w:val="clear" w:color="auto" w:fill="auto"/>
            <w:noWrap/>
          </w:tcPr>
          <w:p w14:paraId="71E6E491"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Einbauweise</w:t>
            </w:r>
          </w:p>
        </w:tc>
        <w:tc>
          <w:tcPr>
            <w:tcW w:w="6500" w:type="dxa"/>
            <w:gridSpan w:val="9"/>
            <w:shd w:val="clear" w:color="auto" w:fill="auto"/>
            <w:noWrap/>
            <w:vAlign w:val="center"/>
          </w:tcPr>
          <w:p w14:paraId="41DB8A15"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Eigenschaft der Grundwasserdeckschicht</w:t>
            </w:r>
          </w:p>
        </w:tc>
      </w:tr>
      <w:tr w:rsidR="001F4995" w:rsidRPr="001F4995" w14:paraId="32B6B9CF" w14:textId="77777777" w:rsidTr="001F4995">
        <w:trPr>
          <w:trHeight w:val="20"/>
        </w:trPr>
        <w:tc>
          <w:tcPr>
            <w:tcW w:w="4683" w:type="dxa"/>
            <w:gridSpan w:val="2"/>
            <w:vMerge/>
            <w:shd w:val="clear" w:color="auto" w:fill="auto"/>
            <w:noWrap/>
            <w:vAlign w:val="center"/>
          </w:tcPr>
          <w:p w14:paraId="10FB3F68" w14:textId="77777777" w:rsidR="001F4995" w:rsidRPr="001F4995" w:rsidRDefault="001F4995" w:rsidP="001F4995">
            <w:pPr>
              <w:spacing w:before="0" w:after="0"/>
              <w:jc w:val="center"/>
              <w:rPr>
                <w:rFonts w:ascii="Times New Roman" w:eastAsia="Times New Roman" w:hAnsi="Times New Roman" w:cs="Times New Roman"/>
                <w:sz w:val="20"/>
                <w:szCs w:val="24"/>
                <w:lang w:eastAsia="de-DE"/>
              </w:rPr>
            </w:pPr>
          </w:p>
        </w:tc>
        <w:tc>
          <w:tcPr>
            <w:tcW w:w="2739" w:type="dxa"/>
            <w:gridSpan w:val="3"/>
            <w:shd w:val="clear" w:color="auto" w:fill="auto"/>
            <w:noWrap/>
            <w:vAlign w:val="center"/>
          </w:tcPr>
          <w:p w14:paraId="11BC2AE9"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außerhalb von</w:t>
            </w:r>
          </w:p>
          <w:p w14:paraId="7AC6F3F9"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c>
          <w:tcPr>
            <w:tcW w:w="3761" w:type="dxa"/>
            <w:gridSpan w:val="6"/>
            <w:shd w:val="clear" w:color="auto" w:fill="auto"/>
            <w:noWrap/>
            <w:vAlign w:val="center"/>
          </w:tcPr>
          <w:p w14:paraId="3D8A94AA"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innerhalb von</w:t>
            </w:r>
          </w:p>
          <w:p w14:paraId="08760551"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r>
      <w:tr w:rsidR="001F4995" w:rsidRPr="001F4995" w14:paraId="513D8080" w14:textId="77777777" w:rsidTr="001F4995">
        <w:trPr>
          <w:trHeight w:val="20"/>
        </w:trPr>
        <w:tc>
          <w:tcPr>
            <w:tcW w:w="4683" w:type="dxa"/>
            <w:gridSpan w:val="2"/>
            <w:vMerge/>
            <w:shd w:val="clear" w:color="auto" w:fill="auto"/>
            <w:noWrap/>
            <w:vAlign w:val="center"/>
          </w:tcPr>
          <w:p w14:paraId="27031BA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3D49C81D"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proofErr w:type="spellStart"/>
            <w:r w:rsidRPr="001F4995">
              <w:rPr>
                <w:rFonts w:ascii="Times New Roman" w:eastAsia="Times New Roman" w:hAnsi="Times New Roman" w:cs="Times New Roman"/>
                <w:sz w:val="20"/>
                <w:szCs w:val="20"/>
                <w:lang w:eastAsia="de-DE"/>
              </w:rPr>
              <w:t>un</w:t>
            </w:r>
            <w:proofErr w:type="spellEnd"/>
            <w:r w:rsidRPr="001F4995">
              <w:rPr>
                <w:rFonts w:ascii="Times New Roman" w:eastAsia="Times New Roman" w:hAnsi="Times New Roman" w:cs="Times New Roman"/>
                <w:sz w:val="20"/>
                <w:szCs w:val="20"/>
                <w:lang w:eastAsia="de-DE"/>
              </w:rPr>
              <w:t>-günstig</w:t>
            </w:r>
          </w:p>
        </w:tc>
        <w:tc>
          <w:tcPr>
            <w:tcW w:w="1888" w:type="dxa"/>
            <w:gridSpan w:val="2"/>
            <w:shd w:val="clear" w:color="auto" w:fill="auto"/>
            <w:noWrap/>
            <w:vAlign w:val="center"/>
          </w:tcPr>
          <w:p w14:paraId="528EDB92"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c>
          <w:tcPr>
            <w:tcW w:w="3761" w:type="dxa"/>
            <w:gridSpan w:val="6"/>
            <w:shd w:val="clear" w:color="auto" w:fill="auto"/>
            <w:noWrap/>
            <w:vAlign w:val="center"/>
          </w:tcPr>
          <w:p w14:paraId="4D8A647A"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r>
      <w:tr w:rsidR="001F4995" w:rsidRPr="001F4995" w14:paraId="109A6199" w14:textId="77777777" w:rsidTr="001F4995">
        <w:trPr>
          <w:trHeight w:val="20"/>
        </w:trPr>
        <w:tc>
          <w:tcPr>
            <w:tcW w:w="4683" w:type="dxa"/>
            <w:gridSpan w:val="2"/>
            <w:vMerge/>
            <w:shd w:val="clear" w:color="auto" w:fill="auto"/>
            <w:noWrap/>
            <w:vAlign w:val="center"/>
          </w:tcPr>
          <w:p w14:paraId="3F7782B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66DEACF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703" w:type="dxa"/>
            <w:vMerge w:val="restart"/>
            <w:shd w:val="clear" w:color="auto" w:fill="auto"/>
            <w:noWrap/>
            <w:vAlign w:val="center"/>
          </w:tcPr>
          <w:p w14:paraId="079ECE6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72605E17" w14:textId="5C9726EC"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7606860C" w14:textId="2DBD1589"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7351779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1524" w:type="dxa"/>
            <w:gridSpan w:val="2"/>
            <w:shd w:val="clear" w:color="auto" w:fill="auto"/>
            <w:noWrap/>
            <w:vAlign w:val="center"/>
          </w:tcPr>
          <w:p w14:paraId="1764BD3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A</w:t>
            </w:r>
          </w:p>
        </w:tc>
        <w:tc>
          <w:tcPr>
            <w:tcW w:w="1203" w:type="dxa"/>
            <w:gridSpan w:val="2"/>
            <w:shd w:val="clear" w:color="auto" w:fill="auto"/>
            <w:noWrap/>
            <w:vAlign w:val="center"/>
          </w:tcPr>
          <w:p w14:paraId="0EBC6C4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B</w:t>
            </w:r>
          </w:p>
        </w:tc>
        <w:tc>
          <w:tcPr>
            <w:tcW w:w="1034" w:type="dxa"/>
            <w:gridSpan w:val="2"/>
            <w:shd w:val="clear" w:color="auto" w:fill="auto"/>
            <w:noWrap/>
            <w:vAlign w:val="center"/>
          </w:tcPr>
          <w:p w14:paraId="6D91E21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Wasservor-</w:t>
            </w:r>
          </w:p>
        </w:tc>
      </w:tr>
      <w:tr w:rsidR="001F4995" w:rsidRPr="001F4995" w14:paraId="6057E1F1" w14:textId="77777777" w:rsidTr="001F4995">
        <w:trPr>
          <w:trHeight w:val="80"/>
        </w:trPr>
        <w:tc>
          <w:tcPr>
            <w:tcW w:w="4683" w:type="dxa"/>
            <w:gridSpan w:val="2"/>
            <w:vMerge/>
            <w:shd w:val="clear" w:color="auto" w:fill="auto"/>
            <w:noWrap/>
            <w:vAlign w:val="center"/>
          </w:tcPr>
          <w:p w14:paraId="0D9EDFB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22F8F44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703" w:type="dxa"/>
            <w:vMerge/>
            <w:shd w:val="clear" w:color="auto" w:fill="auto"/>
            <w:noWrap/>
            <w:vAlign w:val="center"/>
          </w:tcPr>
          <w:p w14:paraId="43C0133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3AAF2E5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524" w:type="dxa"/>
            <w:gridSpan w:val="2"/>
            <w:shd w:val="clear" w:color="auto" w:fill="auto"/>
            <w:noWrap/>
            <w:vAlign w:val="center"/>
          </w:tcPr>
          <w:p w14:paraId="6D92240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III</w:t>
            </w:r>
          </w:p>
        </w:tc>
        <w:tc>
          <w:tcPr>
            <w:tcW w:w="1203" w:type="dxa"/>
            <w:gridSpan w:val="2"/>
            <w:shd w:val="clear" w:color="auto" w:fill="auto"/>
            <w:noWrap/>
            <w:vAlign w:val="center"/>
          </w:tcPr>
          <w:p w14:paraId="1A7E4CD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IV</w:t>
            </w:r>
          </w:p>
        </w:tc>
        <w:tc>
          <w:tcPr>
            <w:tcW w:w="1034" w:type="dxa"/>
            <w:gridSpan w:val="2"/>
            <w:shd w:val="clear" w:color="auto" w:fill="auto"/>
            <w:noWrap/>
            <w:vAlign w:val="center"/>
          </w:tcPr>
          <w:p w14:paraId="7A566B1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ranggebiete</w:t>
            </w:r>
          </w:p>
        </w:tc>
      </w:tr>
      <w:tr w:rsidR="001F4995" w:rsidRPr="001F4995" w14:paraId="341B242B" w14:textId="77777777" w:rsidTr="001F4995">
        <w:trPr>
          <w:trHeight w:val="80"/>
        </w:trPr>
        <w:tc>
          <w:tcPr>
            <w:tcW w:w="4683" w:type="dxa"/>
            <w:gridSpan w:val="2"/>
            <w:vMerge/>
            <w:shd w:val="clear" w:color="auto" w:fill="auto"/>
            <w:noWrap/>
            <w:vAlign w:val="center"/>
          </w:tcPr>
          <w:p w14:paraId="2683D39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2A57FC3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703" w:type="dxa"/>
            <w:vMerge/>
            <w:shd w:val="clear" w:color="auto" w:fill="auto"/>
            <w:noWrap/>
            <w:vAlign w:val="center"/>
          </w:tcPr>
          <w:p w14:paraId="0C7315E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361C35E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21" w:type="dxa"/>
            <w:shd w:val="clear" w:color="auto" w:fill="auto"/>
            <w:noWrap/>
            <w:vAlign w:val="center"/>
          </w:tcPr>
          <w:p w14:paraId="734CC9D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703" w:type="dxa"/>
            <w:shd w:val="clear" w:color="auto" w:fill="auto"/>
            <w:vAlign w:val="center"/>
          </w:tcPr>
          <w:p w14:paraId="63E81EA9" w14:textId="49EFEE8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5AED266A" w14:textId="149E8F02"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56E7955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0D59D6F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703" w:type="dxa"/>
            <w:shd w:val="clear" w:color="auto" w:fill="auto"/>
            <w:vAlign w:val="center"/>
          </w:tcPr>
          <w:p w14:paraId="4A99AFAE" w14:textId="21E0EAAA"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04F58526" w14:textId="4C97324E"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5A01BB9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703" w:type="dxa"/>
            <w:shd w:val="clear" w:color="auto" w:fill="auto"/>
            <w:noWrap/>
            <w:vAlign w:val="center"/>
          </w:tcPr>
          <w:p w14:paraId="0F86D0A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331" w:type="dxa"/>
            <w:shd w:val="clear" w:color="auto" w:fill="auto"/>
            <w:vAlign w:val="center"/>
          </w:tcPr>
          <w:p w14:paraId="41FF31A4" w14:textId="5F71BD2A"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76204966" w14:textId="2972E481"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4FACD2A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r>
      <w:tr w:rsidR="001F4995" w:rsidRPr="001F4995" w14:paraId="64AE268C" w14:textId="77777777" w:rsidTr="001F4995">
        <w:trPr>
          <w:trHeight w:val="111"/>
        </w:trPr>
        <w:tc>
          <w:tcPr>
            <w:tcW w:w="4683" w:type="dxa"/>
            <w:gridSpan w:val="2"/>
            <w:vMerge/>
            <w:shd w:val="clear" w:color="auto" w:fill="auto"/>
            <w:noWrap/>
            <w:vAlign w:val="center"/>
          </w:tcPr>
          <w:p w14:paraId="10475FF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1D3A22A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w:t>
            </w:r>
          </w:p>
        </w:tc>
        <w:tc>
          <w:tcPr>
            <w:tcW w:w="703" w:type="dxa"/>
            <w:shd w:val="clear" w:color="auto" w:fill="auto"/>
            <w:noWrap/>
            <w:vAlign w:val="center"/>
          </w:tcPr>
          <w:p w14:paraId="5A4F83C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2</w:t>
            </w:r>
          </w:p>
        </w:tc>
        <w:tc>
          <w:tcPr>
            <w:tcW w:w="1185" w:type="dxa"/>
            <w:shd w:val="clear" w:color="auto" w:fill="auto"/>
            <w:noWrap/>
            <w:vAlign w:val="center"/>
          </w:tcPr>
          <w:p w14:paraId="377E7A5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3</w:t>
            </w:r>
          </w:p>
        </w:tc>
        <w:tc>
          <w:tcPr>
            <w:tcW w:w="1524" w:type="dxa"/>
            <w:gridSpan w:val="2"/>
            <w:shd w:val="clear" w:color="auto" w:fill="auto"/>
            <w:noWrap/>
            <w:vAlign w:val="center"/>
          </w:tcPr>
          <w:p w14:paraId="0A279B9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4</w:t>
            </w:r>
          </w:p>
        </w:tc>
        <w:tc>
          <w:tcPr>
            <w:tcW w:w="1203" w:type="dxa"/>
            <w:gridSpan w:val="2"/>
            <w:shd w:val="clear" w:color="auto" w:fill="auto"/>
            <w:noWrap/>
            <w:vAlign w:val="center"/>
          </w:tcPr>
          <w:p w14:paraId="2C89D19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5</w:t>
            </w:r>
          </w:p>
        </w:tc>
        <w:tc>
          <w:tcPr>
            <w:tcW w:w="1034" w:type="dxa"/>
            <w:gridSpan w:val="2"/>
            <w:shd w:val="clear" w:color="auto" w:fill="auto"/>
            <w:noWrap/>
            <w:vAlign w:val="center"/>
          </w:tcPr>
          <w:p w14:paraId="3E3A7BD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6</w:t>
            </w:r>
          </w:p>
        </w:tc>
      </w:tr>
      <w:tr w:rsidR="001F4995" w:rsidRPr="001F4995" w14:paraId="44EB1E22" w14:textId="77777777" w:rsidTr="001F4995">
        <w:trPr>
          <w:trHeight w:val="20"/>
        </w:trPr>
        <w:tc>
          <w:tcPr>
            <w:tcW w:w="469" w:type="dxa"/>
            <w:shd w:val="clear" w:color="auto" w:fill="auto"/>
            <w:noWrap/>
          </w:tcPr>
          <w:p w14:paraId="0809A639"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w:t>
            </w:r>
          </w:p>
        </w:tc>
        <w:tc>
          <w:tcPr>
            <w:tcW w:w="4214" w:type="dxa"/>
            <w:shd w:val="clear" w:color="auto" w:fill="FFFFFF"/>
          </w:tcPr>
          <w:p w14:paraId="753A989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63FDE34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1E04FAA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00FB2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shd w:val="clear" w:color="auto" w:fill="auto"/>
            <w:noWrap/>
            <w:vAlign w:val="center"/>
          </w:tcPr>
          <w:p w14:paraId="3533515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vAlign w:val="center"/>
          </w:tcPr>
          <w:p w14:paraId="0CC3A2F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4850827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vAlign w:val="center"/>
          </w:tcPr>
          <w:p w14:paraId="53AA4F7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noWrap/>
            <w:vAlign w:val="center"/>
          </w:tcPr>
          <w:p w14:paraId="47B8986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331" w:type="dxa"/>
            <w:shd w:val="clear" w:color="auto" w:fill="auto"/>
            <w:vAlign w:val="center"/>
          </w:tcPr>
          <w:p w14:paraId="0FBC468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0A9383A" w14:textId="77777777" w:rsidTr="001F4995">
        <w:trPr>
          <w:trHeight w:val="20"/>
        </w:trPr>
        <w:tc>
          <w:tcPr>
            <w:tcW w:w="469" w:type="dxa"/>
            <w:shd w:val="clear" w:color="auto" w:fill="auto"/>
            <w:noWrap/>
          </w:tcPr>
          <w:p w14:paraId="0AEFDDD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2</w:t>
            </w:r>
          </w:p>
        </w:tc>
        <w:tc>
          <w:tcPr>
            <w:tcW w:w="4214" w:type="dxa"/>
            <w:shd w:val="clear" w:color="auto" w:fill="FFFFFF"/>
          </w:tcPr>
          <w:p w14:paraId="2F1D37C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0EF17E2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61813BC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5DE9E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386EB05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vAlign w:val="center"/>
          </w:tcPr>
          <w:p w14:paraId="0970409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26BB1A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vAlign w:val="center"/>
          </w:tcPr>
          <w:p w14:paraId="688B661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noWrap/>
            <w:vAlign w:val="center"/>
          </w:tcPr>
          <w:p w14:paraId="46D7E44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331" w:type="dxa"/>
            <w:shd w:val="clear" w:color="auto" w:fill="auto"/>
            <w:vAlign w:val="center"/>
          </w:tcPr>
          <w:p w14:paraId="635C8D6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C99283A" w14:textId="77777777" w:rsidTr="001F4995">
        <w:trPr>
          <w:trHeight w:val="20"/>
        </w:trPr>
        <w:tc>
          <w:tcPr>
            <w:tcW w:w="469" w:type="dxa"/>
            <w:shd w:val="clear" w:color="auto" w:fill="auto"/>
            <w:noWrap/>
          </w:tcPr>
          <w:p w14:paraId="26DEEF6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3</w:t>
            </w:r>
          </w:p>
        </w:tc>
        <w:tc>
          <w:tcPr>
            <w:tcW w:w="4214" w:type="dxa"/>
            <w:shd w:val="clear" w:color="auto" w:fill="FFFFFF"/>
          </w:tcPr>
          <w:p w14:paraId="5193E0D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31268E4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2F2DD7C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CBC6CF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33AC76D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vAlign w:val="center"/>
          </w:tcPr>
          <w:p w14:paraId="7A57609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521FFF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vAlign w:val="center"/>
          </w:tcPr>
          <w:p w14:paraId="0466531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noWrap/>
            <w:vAlign w:val="center"/>
          </w:tcPr>
          <w:p w14:paraId="648F874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331" w:type="dxa"/>
            <w:shd w:val="clear" w:color="auto" w:fill="auto"/>
            <w:vAlign w:val="center"/>
          </w:tcPr>
          <w:p w14:paraId="71469A4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6AA7744" w14:textId="77777777" w:rsidTr="001F4995">
        <w:trPr>
          <w:trHeight w:val="20"/>
        </w:trPr>
        <w:tc>
          <w:tcPr>
            <w:tcW w:w="469" w:type="dxa"/>
            <w:shd w:val="clear" w:color="auto" w:fill="auto"/>
            <w:noWrap/>
          </w:tcPr>
          <w:p w14:paraId="5AA906EB"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4</w:t>
            </w:r>
          </w:p>
        </w:tc>
        <w:tc>
          <w:tcPr>
            <w:tcW w:w="4214" w:type="dxa"/>
            <w:shd w:val="clear" w:color="auto" w:fill="FFFFFF"/>
          </w:tcPr>
          <w:p w14:paraId="217B5B03"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145F3C5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249981B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011E2E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3939C1A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vAlign w:val="center"/>
          </w:tcPr>
          <w:p w14:paraId="77C8184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2588DD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vAlign w:val="center"/>
          </w:tcPr>
          <w:p w14:paraId="2A45A14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noWrap/>
            <w:vAlign w:val="center"/>
          </w:tcPr>
          <w:p w14:paraId="4C4A1C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331" w:type="dxa"/>
            <w:shd w:val="clear" w:color="auto" w:fill="auto"/>
            <w:vAlign w:val="center"/>
          </w:tcPr>
          <w:p w14:paraId="522F966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05875F9" w14:textId="77777777" w:rsidTr="001F4995">
        <w:trPr>
          <w:trHeight w:val="20"/>
        </w:trPr>
        <w:tc>
          <w:tcPr>
            <w:tcW w:w="469" w:type="dxa"/>
            <w:shd w:val="clear" w:color="auto" w:fill="auto"/>
            <w:noWrap/>
          </w:tcPr>
          <w:p w14:paraId="54AE30D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5</w:t>
            </w:r>
          </w:p>
        </w:tc>
        <w:tc>
          <w:tcPr>
            <w:tcW w:w="4214" w:type="dxa"/>
            <w:shd w:val="clear" w:color="auto" w:fill="FFFFFF"/>
          </w:tcPr>
          <w:p w14:paraId="39955AD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31CB9C3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6B33B75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A0DD05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3EFE489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vAlign w:val="center"/>
          </w:tcPr>
          <w:p w14:paraId="3C33781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D91C1E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vAlign w:val="center"/>
          </w:tcPr>
          <w:p w14:paraId="7BC958D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noWrap/>
            <w:vAlign w:val="center"/>
          </w:tcPr>
          <w:p w14:paraId="766235B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331" w:type="dxa"/>
            <w:shd w:val="clear" w:color="auto" w:fill="auto"/>
            <w:vAlign w:val="center"/>
          </w:tcPr>
          <w:p w14:paraId="30B30F2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CA1E9BD" w14:textId="77777777" w:rsidTr="001F4995">
        <w:trPr>
          <w:trHeight w:val="20"/>
        </w:trPr>
        <w:tc>
          <w:tcPr>
            <w:tcW w:w="469" w:type="dxa"/>
            <w:shd w:val="clear" w:color="auto" w:fill="auto"/>
            <w:noWrap/>
          </w:tcPr>
          <w:p w14:paraId="3CB2BD81"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6</w:t>
            </w:r>
          </w:p>
        </w:tc>
        <w:tc>
          <w:tcPr>
            <w:tcW w:w="4214" w:type="dxa"/>
            <w:shd w:val="clear" w:color="auto" w:fill="FFFFFF"/>
          </w:tcPr>
          <w:p w14:paraId="301CD4D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5D1EAAF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7C92155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B4A2A6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3749DCC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vAlign w:val="center"/>
          </w:tcPr>
          <w:p w14:paraId="27A7A7F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5E2A6B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vAlign w:val="center"/>
          </w:tcPr>
          <w:p w14:paraId="4323608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noWrap/>
            <w:vAlign w:val="center"/>
          </w:tcPr>
          <w:p w14:paraId="3F39DF0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331" w:type="dxa"/>
            <w:shd w:val="clear" w:color="auto" w:fill="auto"/>
            <w:vAlign w:val="center"/>
          </w:tcPr>
          <w:p w14:paraId="2A2EB35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75FF2D9" w14:textId="77777777" w:rsidTr="001F4995">
        <w:trPr>
          <w:trHeight w:val="20"/>
        </w:trPr>
        <w:tc>
          <w:tcPr>
            <w:tcW w:w="469" w:type="dxa"/>
            <w:shd w:val="clear" w:color="auto" w:fill="auto"/>
            <w:noWrap/>
          </w:tcPr>
          <w:p w14:paraId="4A90E428"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7</w:t>
            </w:r>
          </w:p>
        </w:tc>
        <w:tc>
          <w:tcPr>
            <w:tcW w:w="4214" w:type="dxa"/>
            <w:shd w:val="clear" w:color="auto" w:fill="FFFFFF"/>
          </w:tcPr>
          <w:p w14:paraId="338DACF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Schottertragschicht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5D31892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noWrap/>
            <w:vAlign w:val="center"/>
          </w:tcPr>
          <w:p w14:paraId="5067559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1185" w:type="dxa"/>
            <w:noWrap/>
            <w:vAlign w:val="center"/>
          </w:tcPr>
          <w:p w14:paraId="274B531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821" w:type="dxa"/>
            <w:noWrap/>
            <w:vAlign w:val="center"/>
          </w:tcPr>
          <w:p w14:paraId="0FBEFC3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vAlign w:val="center"/>
          </w:tcPr>
          <w:p w14:paraId="2CDE643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500" w:type="dxa"/>
            <w:noWrap/>
            <w:vAlign w:val="center"/>
          </w:tcPr>
          <w:p w14:paraId="6AB70EC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shd w:val="clear" w:color="auto" w:fill="auto"/>
            <w:vAlign w:val="center"/>
          </w:tcPr>
          <w:p w14:paraId="0BBE099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shd w:val="clear" w:color="auto" w:fill="auto"/>
            <w:noWrap/>
            <w:vAlign w:val="center"/>
          </w:tcPr>
          <w:p w14:paraId="1482828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331" w:type="dxa"/>
            <w:shd w:val="clear" w:color="auto" w:fill="auto"/>
            <w:vAlign w:val="center"/>
          </w:tcPr>
          <w:p w14:paraId="6DD74AD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r>
      <w:tr w:rsidR="001F4995" w:rsidRPr="001F4995" w14:paraId="36D87D20" w14:textId="77777777" w:rsidTr="001F4995">
        <w:trPr>
          <w:trHeight w:val="20"/>
        </w:trPr>
        <w:tc>
          <w:tcPr>
            <w:tcW w:w="469" w:type="dxa"/>
            <w:shd w:val="clear" w:color="auto" w:fill="auto"/>
            <w:noWrap/>
          </w:tcPr>
          <w:p w14:paraId="36F464B2"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8</w:t>
            </w:r>
          </w:p>
        </w:tc>
        <w:tc>
          <w:tcPr>
            <w:tcW w:w="4214" w:type="dxa"/>
            <w:shd w:val="clear" w:color="auto" w:fill="FFFFFF"/>
          </w:tcPr>
          <w:p w14:paraId="58C7CFD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Frostschutzschicht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047E2AE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noWrap/>
            <w:vAlign w:val="center"/>
          </w:tcPr>
          <w:p w14:paraId="77409CA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1185" w:type="dxa"/>
            <w:noWrap/>
            <w:vAlign w:val="center"/>
          </w:tcPr>
          <w:p w14:paraId="04C7CB5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821" w:type="dxa"/>
            <w:noWrap/>
            <w:vAlign w:val="center"/>
          </w:tcPr>
          <w:p w14:paraId="7FD022C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vAlign w:val="center"/>
          </w:tcPr>
          <w:p w14:paraId="6ED29D7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500" w:type="dxa"/>
            <w:noWrap/>
            <w:vAlign w:val="center"/>
          </w:tcPr>
          <w:p w14:paraId="20EF6CD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vAlign w:val="center"/>
          </w:tcPr>
          <w:p w14:paraId="1C2F5E2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shd w:val="clear" w:color="auto" w:fill="auto"/>
            <w:noWrap/>
            <w:vAlign w:val="center"/>
          </w:tcPr>
          <w:p w14:paraId="603AF2A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331" w:type="dxa"/>
            <w:shd w:val="clear" w:color="auto" w:fill="auto"/>
            <w:vAlign w:val="center"/>
          </w:tcPr>
          <w:p w14:paraId="507BC24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r>
      <w:tr w:rsidR="001F4995" w:rsidRPr="001F4995" w14:paraId="23736332" w14:textId="77777777" w:rsidTr="001F4995">
        <w:trPr>
          <w:trHeight w:val="20"/>
        </w:trPr>
        <w:tc>
          <w:tcPr>
            <w:tcW w:w="469" w:type="dxa"/>
            <w:shd w:val="clear" w:color="auto" w:fill="auto"/>
            <w:noWrap/>
          </w:tcPr>
          <w:p w14:paraId="2A4506F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9</w:t>
            </w:r>
          </w:p>
        </w:tc>
        <w:tc>
          <w:tcPr>
            <w:tcW w:w="4214" w:type="dxa"/>
            <w:shd w:val="clear" w:color="auto" w:fill="FFFFFF"/>
          </w:tcPr>
          <w:p w14:paraId="352949D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Dämme oder Wälle gemäß Bauweisen A-D nach MTSE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0C02663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531927A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712DDF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79D99A8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vAlign w:val="center"/>
          </w:tcPr>
          <w:p w14:paraId="2C0A126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97189E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vAlign w:val="center"/>
          </w:tcPr>
          <w:p w14:paraId="33C5615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noWrap/>
            <w:vAlign w:val="center"/>
          </w:tcPr>
          <w:p w14:paraId="3634972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331" w:type="dxa"/>
            <w:shd w:val="clear" w:color="auto" w:fill="auto"/>
            <w:vAlign w:val="center"/>
          </w:tcPr>
          <w:p w14:paraId="1A96BA3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828DF06" w14:textId="77777777" w:rsidTr="001F4995">
        <w:trPr>
          <w:trHeight w:val="20"/>
        </w:trPr>
        <w:tc>
          <w:tcPr>
            <w:tcW w:w="469" w:type="dxa"/>
            <w:shd w:val="clear" w:color="auto" w:fill="auto"/>
            <w:noWrap/>
          </w:tcPr>
          <w:p w14:paraId="1CB12F03"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10</w:t>
            </w:r>
          </w:p>
        </w:tc>
        <w:tc>
          <w:tcPr>
            <w:tcW w:w="4214" w:type="dxa"/>
            <w:shd w:val="clear" w:color="auto" w:fill="FFFFFF"/>
          </w:tcPr>
          <w:p w14:paraId="5465424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4BABB25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noWrap/>
            <w:vAlign w:val="center"/>
          </w:tcPr>
          <w:p w14:paraId="14E5C80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1185" w:type="dxa"/>
            <w:noWrap/>
            <w:vAlign w:val="center"/>
          </w:tcPr>
          <w:p w14:paraId="4E37FAF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821" w:type="dxa"/>
            <w:noWrap/>
            <w:vAlign w:val="center"/>
          </w:tcPr>
          <w:p w14:paraId="54A33BE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vAlign w:val="center"/>
          </w:tcPr>
          <w:p w14:paraId="153D0D6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500" w:type="dxa"/>
            <w:noWrap/>
            <w:vAlign w:val="center"/>
          </w:tcPr>
          <w:p w14:paraId="6237895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shd w:val="clear" w:color="auto" w:fill="auto"/>
            <w:vAlign w:val="center"/>
          </w:tcPr>
          <w:p w14:paraId="079C006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shd w:val="clear" w:color="auto" w:fill="auto"/>
            <w:noWrap/>
            <w:vAlign w:val="center"/>
          </w:tcPr>
          <w:p w14:paraId="06C7712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331" w:type="dxa"/>
            <w:shd w:val="clear" w:color="auto" w:fill="auto"/>
            <w:vAlign w:val="center"/>
          </w:tcPr>
          <w:p w14:paraId="2C4D2FA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r>
      <w:tr w:rsidR="001F4995" w:rsidRPr="001F4995" w14:paraId="157F6740" w14:textId="77777777" w:rsidTr="001F4995">
        <w:trPr>
          <w:trHeight w:val="20"/>
        </w:trPr>
        <w:tc>
          <w:tcPr>
            <w:tcW w:w="469" w:type="dxa"/>
            <w:shd w:val="clear" w:color="auto" w:fill="auto"/>
            <w:noWrap/>
          </w:tcPr>
          <w:p w14:paraId="4300B11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11</w:t>
            </w:r>
          </w:p>
        </w:tc>
        <w:tc>
          <w:tcPr>
            <w:tcW w:w="4214" w:type="dxa"/>
            <w:shd w:val="clear" w:color="auto" w:fill="FFFFFF"/>
          </w:tcPr>
          <w:p w14:paraId="0C97676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276680E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noWrap/>
            <w:vAlign w:val="center"/>
          </w:tcPr>
          <w:p w14:paraId="226D123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1185" w:type="dxa"/>
            <w:noWrap/>
            <w:vAlign w:val="center"/>
          </w:tcPr>
          <w:p w14:paraId="4D61779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821" w:type="dxa"/>
            <w:noWrap/>
            <w:vAlign w:val="center"/>
          </w:tcPr>
          <w:p w14:paraId="2F35B5F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vAlign w:val="center"/>
          </w:tcPr>
          <w:p w14:paraId="3A93BED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500" w:type="dxa"/>
            <w:noWrap/>
            <w:vAlign w:val="center"/>
          </w:tcPr>
          <w:p w14:paraId="510C473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vAlign w:val="center"/>
          </w:tcPr>
          <w:p w14:paraId="5F1418E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noWrap/>
            <w:vAlign w:val="center"/>
          </w:tcPr>
          <w:p w14:paraId="210BA07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331" w:type="dxa"/>
            <w:vAlign w:val="center"/>
          </w:tcPr>
          <w:p w14:paraId="5618EE6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r>
      <w:tr w:rsidR="001F4995" w:rsidRPr="001F4995" w14:paraId="3F92A65C" w14:textId="77777777" w:rsidTr="001F4995">
        <w:trPr>
          <w:trHeight w:val="20"/>
        </w:trPr>
        <w:tc>
          <w:tcPr>
            <w:tcW w:w="469" w:type="dxa"/>
            <w:shd w:val="clear" w:color="auto" w:fill="auto"/>
            <w:noWrap/>
          </w:tcPr>
          <w:p w14:paraId="53A8B6B3"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12</w:t>
            </w:r>
          </w:p>
        </w:tc>
        <w:tc>
          <w:tcPr>
            <w:tcW w:w="4214" w:type="dxa"/>
            <w:shd w:val="clear" w:color="auto" w:fill="FFFFFF"/>
          </w:tcPr>
          <w:p w14:paraId="0A75D09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Deckschicht ohne Bindemittel</w:t>
            </w:r>
          </w:p>
        </w:tc>
        <w:tc>
          <w:tcPr>
            <w:tcW w:w="851" w:type="dxa"/>
            <w:noWrap/>
            <w:vAlign w:val="center"/>
          </w:tcPr>
          <w:p w14:paraId="64CEEE7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noWrap/>
            <w:vAlign w:val="center"/>
          </w:tcPr>
          <w:p w14:paraId="71A02AD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1185" w:type="dxa"/>
            <w:noWrap/>
            <w:vAlign w:val="center"/>
          </w:tcPr>
          <w:p w14:paraId="2899715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821" w:type="dxa"/>
            <w:noWrap/>
            <w:vAlign w:val="center"/>
          </w:tcPr>
          <w:p w14:paraId="219E2FF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vAlign w:val="center"/>
          </w:tcPr>
          <w:p w14:paraId="4CA3A96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500" w:type="dxa"/>
            <w:noWrap/>
            <w:vAlign w:val="center"/>
          </w:tcPr>
          <w:p w14:paraId="3DA743A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vAlign w:val="center"/>
          </w:tcPr>
          <w:p w14:paraId="54DBA9C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noWrap/>
            <w:vAlign w:val="center"/>
          </w:tcPr>
          <w:p w14:paraId="0A0CE2A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331" w:type="dxa"/>
            <w:vAlign w:val="center"/>
          </w:tcPr>
          <w:p w14:paraId="2B60E73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r>
      <w:tr w:rsidR="001F4995" w:rsidRPr="001F4995" w14:paraId="33742C1F" w14:textId="77777777" w:rsidTr="001F4995">
        <w:trPr>
          <w:trHeight w:val="20"/>
        </w:trPr>
        <w:tc>
          <w:tcPr>
            <w:tcW w:w="469" w:type="dxa"/>
            <w:shd w:val="clear" w:color="auto" w:fill="auto"/>
            <w:noWrap/>
          </w:tcPr>
          <w:p w14:paraId="7804E38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13</w:t>
            </w:r>
          </w:p>
        </w:tc>
        <w:tc>
          <w:tcPr>
            <w:tcW w:w="4214" w:type="dxa"/>
            <w:shd w:val="clear" w:color="auto" w:fill="FFFFFF"/>
          </w:tcPr>
          <w:p w14:paraId="6E9A60A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337BBF9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2D70D4C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C9E90A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821" w:type="dxa"/>
            <w:noWrap/>
            <w:vAlign w:val="center"/>
          </w:tcPr>
          <w:p w14:paraId="4A1F6A3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vAlign w:val="center"/>
          </w:tcPr>
          <w:p w14:paraId="323BD31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C1E224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FFFFFF"/>
            <w:vAlign w:val="center"/>
          </w:tcPr>
          <w:p w14:paraId="6B14C59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FFFFFF"/>
            <w:noWrap/>
            <w:vAlign w:val="center"/>
          </w:tcPr>
          <w:p w14:paraId="16EE2C7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331" w:type="dxa"/>
            <w:shd w:val="clear" w:color="auto" w:fill="FFFFFF"/>
            <w:vAlign w:val="center"/>
          </w:tcPr>
          <w:p w14:paraId="4A2CCAF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r>
      <w:tr w:rsidR="001F4995" w:rsidRPr="001F4995" w14:paraId="44F62278" w14:textId="77777777" w:rsidTr="001F4995">
        <w:trPr>
          <w:trHeight w:val="20"/>
        </w:trPr>
        <w:tc>
          <w:tcPr>
            <w:tcW w:w="469" w:type="dxa"/>
            <w:shd w:val="clear" w:color="auto" w:fill="auto"/>
            <w:noWrap/>
          </w:tcPr>
          <w:p w14:paraId="0ACD5D6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14</w:t>
            </w:r>
          </w:p>
        </w:tc>
        <w:tc>
          <w:tcPr>
            <w:tcW w:w="4214" w:type="dxa"/>
            <w:shd w:val="clear" w:color="auto" w:fill="FFFFFF"/>
          </w:tcPr>
          <w:p w14:paraId="0386195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Plattenbelägen</w:t>
            </w:r>
          </w:p>
        </w:tc>
        <w:tc>
          <w:tcPr>
            <w:tcW w:w="851" w:type="dxa"/>
            <w:noWrap/>
            <w:vAlign w:val="center"/>
          </w:tcPr>
          <w:p w14:paraId="4A86999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28BEE2D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E101E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 xml:space="preserve">1) </w:t>
            </w:r>
          </w:p>
        </w:tc>
        <w:tc>
          <w:tcPr>
            <w:tcW w:w="821" w:type="dxa"/>
            <w:noWrap/>
            <w:vAlign w:val="center"/>
          </w:tcPr>
          <w:p w14:paraId="0B7A852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vAlign w:val="center"/>
          </w:tcPr>
          <w:p w14:paraId="7651F09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088CEF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FFFFFF"/>
            <w:vAlign w:val="center"/>
          </w:tcPr>
          <w:p w14:paraId="5B79A7D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FFFFFF"/>
            <w:noWrap/>
            <w:vAlign w:val="center"/>
          </w:tcPr>
          <w:p w14:paraId="6528941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331" w:type="dxa"/>
            <w:shd w:val="clear" w:color="auto" w:fill="FFFFFF"/>
            <w:vAlign w:val="center"/>
          </w:tcPr>
          <w:p w14:paraId="60C6C81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r>
      <w:tr w:rsidR="001F4995" w:rsidRPr="001F4995" w14:paraId="44F3F84F" w14:textId="77777777" w:rsidTr="001F4995">
        <w:trPr>
          <w:trHeight w:val="20"/>
        </w:trPr>
        <w:tc>
          <w:tcPr>
            <w:tcW w:w="469" w:type="dxa"/>
            <w:shd w:val="clear" w:color="auto" w:fill="auto"/>
            <w:noWrap/>
          </w:tcPr>
          <w:p w14:paraId="31953DD2"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15</w:t>
            </w:r>
          </w:p>
        </w:tc>
        <w:tc>
          <w:tcPr>
            <w:tcW w:w="4214" w:type="dxa"/>
            <w:shd w:val="clear" w:color="auto" w:fill="FFFFFF"/>
          </w:tcPr>
          <w:p w14:paraId="45716E2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2B9C290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20DF07B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1185" w:type="dxa"/>
            <w:noWrap/>
            <w:vAlign w:val="center"/>
          </w:tcPr>
          <w:p w14:paraId="2737382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821" w:type="dxa"/>
            <w:noWrap/>
            <w:vAlign w:val="center"/>
          </w:tcPr>
          <w:p w14:paraId="0C7290C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vAlign w:val="center"/>
          </w:tcPr>
          <w:p w14:paraId="2229F7B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500" w:type="dxa"/>
            <w:noWrap/>
            <w:vAlign w:val="center"/>
          </w:tcPr>
          <w:p w14:paraId="3F1203B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FFFFFF"/>
            <w:vAlign w:val="center"/>
          </w:tcPr>
          <w:p w14:paraId="31269A6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shd w:val="clear" w:color="auto" w:fill="FFFFFF"/>
            <w:noWrap/>
            <w:vAlign w:val="center"/>
          </w:tcPr>
          <w:p w14:paraId="30FEC12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331" w:type="dxa"/>
            <w:shd w:val="clear" w:color="auto" w:fill="FFFFFF"/>
            <w:vAlign w:val="center"/>
          </w:tcPr>
          <w:p w14:paraId="3844DD8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r>
      <w:tr w:rsidR="001F4995" w:rsidRPr="001F4995" w14:paraId="55461738" w14:textId="77777777" w:rsidTr="001F4995">
        <w:trPr>
          <w:trHeight w:val="20"/>
        </w:trPr>
        <w:tc>
          <w:tcPr>
            <w:tcW w:w="469" w:type="dxa"/>
            <w:shd w:val="clear" w:color="auto" w:fill="auto"/>
            <w:noWrap/>
          </w:tcPr>
          <w:p w14:paraId="5E89CE3B"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16</w:t>
            </w:r>
          </w:p>
        </w:tc>
        <w:tc>
          <w:tcPr>
            <w:tcW w:w="4214" w:type="dxa"/>
            <w:shd w:val="clear" w:color="auto" w:fill="FFFFFF"/>
          </w:tcPr>
          <w:p w14:paraId="67B99DF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56EE52E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0FEFC5B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1185" w:type="dxa"/>
            <w:noWrap/>
            <w:vAlign w:val="center"/>
          </w:tcPr>
          <w:p w14:paraId="7C807D6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821" w:type="dxa"/>
            <w:noWrap/>
            <w:vAlign w:val="center"/>
          </w:tcPr>
          <w:p w14:paraId="6857D1A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vAlign w:val="center"/>
          </w:tcPr>
          <w:p w14:paraId="0C12C99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500" w:type="dxa"/>
            <w:noWrap/>
            <w:vAlign w:val="center"/>
          </w:tcPr>
          <w:p w14:paraId="47CD4CA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vAlign w:val="center"/>
          </w:tcPr>
          <w:p w14:paraId="2A015FA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703" w:type="dxa"/>
            <w:shd w:val="clear" w:color="auto" w:fill="auto"/>
            <w:noWrap/>
            <w:vAlign w:val="center"/>
          </w:tcPr>
          <w:p w14:paraId="11BE849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331" w:type="dxa"/>
            <w:shd w:val="clear" w:color="auto" w:fill="auto"/>
            <w:vAlign w:val="center"/>
          </w:tcPr>
          <w:p w14:paraId="54F1A4A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r>
      <w:tr w:rsidR="001F4995" w:rsidRPr="001F4995" w14:paraId="7A6DBCA3" w14:textId="77777777" w:rsidTr="001F4995">
        <w:trPr>
          <w:trHeight w:val="208"/>
        </w:trPr>
        <w:tc>
          <w:tcPr>
            <w:tcW w:w="469" w:type="dxa"/>
            <w:shd w:val="clear" w:color="auto" w:fill="auto"/>
            <w:noWrap/>
          </w:tcPr>
          <w:p w14:paraId="7CF5B1E8"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17</w:t>
            </w:r>
          </w:p>
        </w:tc>
        <w:tc>
          <w:tcPr>
            <w:tcW w:w="4214" w:type="dxa"/>
            <w:shd w:val="clear" w:color="auto" w:fill="FFFFFF"/>
          </w:tcPr>
          <w:p w14:paraId="78B7071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209705B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5CC2548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1185" w:type="dxa"/>
            <w:noWrap/>
            <w:vAlign w:val="center"/>
          </w:tcPr>
          <w:p w14:paraId="2630C6B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821" w:type="dxa"/>
            <w:noWrap/>
            <w:vAlign w:val="center"/>
          </w:tcPr>
          <w:p w14:paraId="3843F28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vAlign w:val="center"/>
          </w:tcPr>
          <w:p w14:paraId="21BC310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500" w:type="dxa"/>
            <w:noWrap/>
            <w:vAlign w:val="center"/>
          </w:tcPr>
          <w:p w14:paraId="4BB0FF4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vAlign w:val="center"/>
          </w:tcPr>
          <w:p w14:paraId="603D3F2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703" w:type="dxa"/>
            <w:shd w:val="clear" w:color="auto" w:fill="FFFFFF"/>
            <w:noWrap/>
            <w:vAlign w:val="center"/>
          </w:tcPr>
          <w:p w14:paraId="28AD5DA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331" w:type="dxa"/>
            <w:shd w:val="clear" w:color="auto" w:fill="FFFFFF"/>
            <w:vAlign w:val="center"/>
          </w:tcPr>
          <w:p w14:paraId="1DEF251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r>
    </w:tbl>
    <w:p w14:paraId="5EEAB3A5"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1) Zulässig, wenn AMPA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2,5 µg/l, PAK</w:t>
      </w:r>
      <w:r w:rsidRPr="001F4995">
        <w:rPr>
          <w:rFonts w:ascii="Times New Roman" w:eastAsia="Times New Roman" w:hAnsi="Times New Roman" w:cs="Times New Roman"/>
          <w:sz w:val="16"/>
          <w:szCs w:val="16"/>
          <w:vertAlign w:val="subscript"/>
          <w:lang w:eastAsia="de-DE"/>
        </w:rPr>
        <w:t>15</w:t>
      </w:r>
      <w:r w:rsidRPr="001F4995">
        <w:rPr>
          <w:rFonts w:ascii="Times New Roman" w:eastAsia="Times New Roman" w:hAnsi="Times New Roman" w:cs="Times New Roman"/>
          <w:sz w:val="16"/>
          <w:szCs w:val="16"/>
          <w:lang w:eastAsia="de-DE"/>
        </w:rPr>
        <w:t xml:space="preserv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1,5 µg/l, Glyphosat, </w:t>
      </w:r>
      <w:proofErr w:type="spellStart"/>
      <w:r w:rsidRPr="001F4995">
        <w:rPr>
          <w:rFonts w:ascii="Times New Roman" w:eastAsia="Times New Roman" w:hAnsi="Times New Roman" w:cs="Times New Roman"/>
          <w:sz w:val="16"/>
          <w:szCs w:val="16"/>
          <w:lang w:eastAsia="de-DE"/>
        </w:rPr>
        <w:t>Simazin</w:t>
      </w:r>
      <w:proofErr w:type="spellEnd"/>
      <w:r w:rsidRPr="001F4995">
        <w:rPr>
          <w:rFonts w:ascii="Times New Roman" w:eastAsia="Times New Roman" w:hAnsi="Times New Roman" w:cs="Times New Roman"/>
          <w:sz w:val="16"/>
          <w:szCs w:val="16"/>
          <w:lang w:eastAsia="de-DE"/>
        </w:rPr>
        <w:t xml:space="preserve"> und sonstige Herbizide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0,8 µg/l. </w:t>
      </w:r>
    </w:p>
    <w:p w14:paraId="6CFAB9A6"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2) Zulässig, wenn Atrazin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0,5 µg/l, </w:t>
      </w:r>
      <w:proofErr w:type="spellStart"/>
      <w:r w:rsidRPr="001F4995">
        <w:rPr>
          <w:rFonts w:ascii="Times New Roman" w:eastAsia="Times New Roman" w:hAnsi="Times New Roman" w:cs="Times New Roman"/>
          <w:sz w:val="16"/>
          <w:szCs w:val="16"/>
          <w:lang w:eastAsia="de-DE"/>
        </w:rPr>
        <w:t>Bromacil</w:t>
      </w:r>
      <w:proofErr w:type="spellEnd"/>
      <w:r w:rsidRPr="001F4995">
        <w:rPr>
          <w:rFonts w:ascii="Times New Roman" w:eastAsia="Times New Roman" w:hAnsi="Times New Roman" w:cs="Times New Roman"/>
          <w:sz w:val="16"/>
          <w:szCs w:val="16"/>
          <w:lang w:eastAsia="de-DE"/>
        </w:rPr>
        <w:t xml:space="preserv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0,3 µg/l, </w:t>
      </w:r>
      <w:proofErr w:type="spellStart"/>
      <w:r w:rsidRPr="001F4995">
        <w:rPr>
          <w:rFonts w:ascii="Times New Roman" w:eastAsia="Times New Roman" w:hAnsi="Times New Roman" w:cs="Times New Roman"/>
          <w:sz w:val="16"/>
          <w:szCs w:val="16"/>
          <w:lang w:eastAsia="de-DE"/>
        </w:rPr>
        <w:t>Diuron</w:t>
      </w:r>
      <w:proofErr w:type="spellEnd"/>
      <w:r w:rsidRPr="001F4995">
        <w:rPr>
          <w:rFonts w:ascii="Times New Roman" w:eastAsia="Times New Roman" w:hAnsi="Times New Roman" w:cs="Times New Roman"/>
          <w:sz w:val="16"/>
          <w:szCs w:val="16"/>
          <w:lang w:eastAsia="de-DE"/>
        </w:rPr>
        <w:t xml:space="preserv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0,2 µg/l, AMPA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2,2 µg/l, PAK</w:t>
      </w:r>
      <w:r w:rsidRPr="001F4995">
        <w:rPr>
          <w:rFonts w:ascii="Times New Roman" w:eastAsia="Times New Roman" w:hAnsi="Times New Roman" w:cs="Times New Roman"/>
          <w:sz w:val="16"/>
          <w:szCs w:val="16"/>
          <w:vertAlign w:val="subscript"/>
          <w:lang w:eastAsia="de-DE"/>
        </w:rPr>
        <w:t>15</w:t>
      </w:r>
      <w:r w:rsidRPr="001F4995">
        <w:rPr>
          <w:rFonts w:ascii="Times New Roman" w:eastAsia="Times New Roman" w:hAnsi="Times New Roman" w:cs="Times New Roman"/>
          <w:sz w:val="16"/>
          <w:szCs w:val="16"/>
          <w:lang w:eastAsia="de-DE"/>
        </w:rPr>
        <w:t xml:space="preserv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1,5, Glyphosat, </w:t>
      </w:r>
      <w:proofErr w:type="spellStart"/>
      <w:r w:rsidRPr="001F4995">
        <w:rPr>
          <w:rFonts w:ascii="Times New Roman" w:eastAsia="Times New Roman" w:hAnsi="Times New Roman" w:cs="Times New Roman"/>
          <w:sz w:val="16"/>
          <w:szCs w:val="16"/>
          <w:lang w:eastAsia="de-DE"/>
        </w:rPr>
        <w:t>Simazin</w:t>
      </w:r>
      <w:proofErr w:type="spellEnd"/>
      <w:r w:rsidRPr="001F4995">
        <w:rPr>
          <w:rFonts w:ascii="Times New Roman" w:eastAsia="Times New Roman" w:hAnsi="Times New Roman" w:cs="Times New Roman"/>
          <w:sz w:val="16"/>
          <w:szCs w:val="16"/>
          <w:lang w:eastAsia="de-DE"/>
        </w:rPr>
        <w:t xml:space="preserve"> und sonstige Herbizide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0,8 µg/l.</w:t>
      </w:r>
    </w:p>
    <w:p w14:paraId="69B1070B" w14:textId="77777777" w:rsidR="001F4995" w:rsidRDefault="001F4995" w:rsidP="001F4995">
      <w:pPr>
        <w:tabs>
          <w:tab w:val="left" w:pos="142"/>
        </w:tabs>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3) </w:t>
      </w:r>
      <w:proofErr w:type="gramStart"/>
      <w:r w:rsidRPr="001F4995">
        <w:rPr>
          <w:rFonts w:ascii="Times New Roman" w:eastAsia="Times New Roman" w:hAnsi="Times New Roman" w:cs="Times New Roman"/>
          <w:sz w:val="16"/>
          <w:szCs w:val="16"/>
          <w:lang w:eastAsia="de-DE"/>
        </w:rPr>
        <w:t>Zulässig</w:t>
      </w:r>
      <w:proofErr w:type="gramEnd"/>
      <w:r w:rsidRPr="001F4995">
        <w:rPr>
          <w:rFonts w:ascii="Times New Roman" w:eastAsia="Times New Roman" w:hAnsi="Times New Roman" w:cs="Times New Roman"/>
          <w:sz w:val="16"/>
          <w:szCs w:val="16"/>
          <w:lang w:eastAsia="de-DE"/>
        </w:rPr>
        <w:t xml:space="preserve"> wenn “M“ oder wenn AMPA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2,5 µg/l, </w:t>
      </w:r>
      <w:proofErr w:type="spellStart"/>
      <w:r w:rsidRPr="001F4995">
        <w:rPr>
          <w:rFonts w:ascii="Times New Roman" w:eastAsia="Times New Roman" w:hAnsi="Times New Roman" w:cs="Times New Roman"/>
          <w:sz w:val="16"/>
          <w:szCs w:val="16"/>
          <w:lang w:eastAsia="de-DE"/>
        </w:rPr>
        <w:t>Bromacil</w:t>
      </w:r>
      <w:proofErr w:type="spellEnd"/>
      <w:r w:rsidRPr="001F4995">
        <w:rPr>
          <w:rFonts w:ascii="Times New Roman" w:eastAsia="Times New Roman" w:hAnsi="Times New Roman" w:cs="Times New Roman"/>
          <w:sz w:val="16"/>
          <w:szCs w:val="16"/>
          <w:lang w:eastAsia="de-DE"/>
        </w:rPr>
        <w:t xml:space="preserv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0,3 µg/l, PAK</w:t>
      </w:r>
      <w:r w:rsidRPr="001F4995">
        <w:rPr>
          <w:rFonts w:ascii="Times New Roman" w:eastAsia="Times New Roman" w:hAnsi="Times New Roman" w:cs="Times New Roman"/>
          <w:sz w:val="16"/>
          <w:szCs w:val="16"/>
          <w:vertAlign w:val="subscript"/>
          <w:lang w:eastAsia="de-DE"/>
        </w:rPr>
        <w:t>15</w:t>
      </w:r>
      <w:r w:rsidRPr="001F4995">
        <w:rPr>
          <w:rFonts w:ascii="Times New Roman" w:eastAsia="Times New Roman" w:hAnsi="Times New Roman" w:cs="Times New Roman"/>
          <w:sz w:val="16"/>
          <w:szCs w:val="16"/>
          <w:lang w:eastAsia="de-DE"/>
        </w:rPr>
        <w:t xml:space="preserv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1,5 µg/l, Glyphosat, </w:t>
      </w:r>
      <w:proofErr w:type="spellStart"/>
      <w:r w:rsidRPr="001F4995">
        <w:rPr>
          <w:rFonts w:ascii="Times New Roman" w:eastAsia="Times New Roman" w:hAnsi="Times New Roman" w:cs="Times New Roman"/>
          <w:sz w:val="16"/>
          <w:szCs w:val="16"/>
          <w:lang w:eastAsia="de-DE"/>
        </w:rPr>
        <w:t>Simazin</w:t>
      </w:r>
      <w:proofErr w:type="spellEnd"/>
      <w:r w:rsidRPr="001F4995">
        <w:rPr>
          <w:rFonts w:ascii="Times New Roman" w:eastAsia="Times New Roman" w:hAnsi="Times New Roman" w:cs="Times New Roman"/>
          <w:sz w:val="16"/>
          <w:szCs w:val="16"/>
          <w:lang w:eastAsia="de-DE"/>
        </w:rPr>
        <w:t xml:space="preserve"> und sonstige Herbizide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0,8 µg/l.</w:t>
      </w:r>
    </w:p>
    <w:p w14:paraId="01AD54CB" w14:textId="62BA1CD1" w:rsidR="001F4995" w:rsidRDefault="001F4995" w:rsidP="001F4995">
      <w:pPr>
        <w:pStyle w:val="berschrift1"/>
      </w:pPr>
      <w:r>
        <w:rPr>
          <w:lang w:eastAsia="de-DE"/>
        </w:rPr>
        <w:br w:type="page"/>
      </w:r>
      <w:r w:rsidRPr="008D0377">
        <w:lastRenderedPageBreak/>
        <w:t>Tabelle 11: Gleisschotter der Klasse 2 (GS-2)</w:t>
      </w:r>
    </w:p>
    <w:p w14:paraId="719A93C9" w14:textId="77777777" w:rsidR="001F4995" w:rsidRPr="001F4995" w:rsidRDefault="001F4995" w:rsidP="001F4995">
      <w:pPr>
        <w:keepNext/>
        <w:spacing w:before="0" w:after="200"/>
        <w:jc w:val="left"/>
        <w:rPr>
          <w:rFonts w:ascii="Times New Roman" w:eastAsia="Calibri" w:hAnsi="Times New Roman" w:cs="Times New Roman"/>
          <w:b/>
          <w:sz w:val="18"/>
          <w:szCs w:val="18"/>
        </w:rPr>
      </w:pPr>
    </w:p>
    <w:tbl>
      <w:tblPr>
        <w:tblW w:w="11315" w:type="dxa"/>
        <w:tblInd w:w="-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647"/>
        <w:gridCol w:w="715"/>
        <w:gridCol w:w="660"/>
        <w:gridCol w:w="715"/>
        <w:gridCol w:w="582"/>
        <w:gridCol w:w="715"/>
      </w:tblGrid>
      <w:tr w:rsidR="001F4995" w:rsidRPr="001F4995" w14:paraId="5A9DAB3A" w14:textId="77777777" w:rsidTr="001F4995">
        <w:trPr>
          <w:trHeight w:val="330"/>
        </w:trPr>
        <w:tc>
          <w:tcPr>
            <w:tcW w:w="11315" w:type="dxa"/>
            <w:gridSpan w:val="11"/>
            <w:noWrap/>
            <w:vAlign w:val="bottom"/>
          </w:tcPr>
          <w:p w14:paraId="52246E06" w14:textId="77777777" w:rsidR="001F4995" w:rsidRPr="001F4995" w:rsidRDefault="001F4995" w:rsidP="001F4995">
            <w:pPr>
              <w:spacing w:before="0" w:after="0"/>
              <w:jc w:val="center"/>
              <w:rPr>
                <w:rFonts w:ascii="Times New Roman" w:eastAsia="Times New Roman" w:hAnsi="Times New Roman" w:cs="Times New Roman"/>
                <w:b/>
                <w:bCs/>
                <w:sz w:val="24"/>
                <w:szCs w:val="24"/>
                <w:lang w:eastAsia="de-DE"/>
              </w:rPr>
            </w:pP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t>Gleisschotter der Klasse 2 (GS-2)</w:t>
            </w:r>
          </w:p>
        </w:tc>
      </w:tr>
      <w:tr w:rsidR="001F4995" w:rsidRPr="001F4995" w14:paraId="38A79493" w14:textId="77777777" w:rsidTr="001F4995">
        <w:trPr>
          <w:trHeight w:val="20"/>
        </w:trPr>
        <w:tc>
          <w:tcPr>
            <w:tcW w:w="4683" w:type="dxa"/>
            <w:gridSpan w:val="2"/>
            <w:vMerge w:val="restart"/>
            <w:shd w:val="clear" w:color="auto" w:fill="auto"/>
            <w:noWrap/>
          </w:tcPr>
          <w:p w14:paraId="6DBEC21C"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Einbauweise</w:t>
            </w:r>
          </w:p>
        </w:tc>
        <w:tc>
          <w:tcPr>
            <w:tcW w:w="6632" w:type="dxa"/>
            <w:gridSpan w:val="9"/>
            <w:shd w:val="clear" w:color="auto" w:fill="auto"/>
            <w:noWrap/>
            <w:vAlign w:val="center"/>
          </w:tcPr>
          <w:p w14:paraId="4A29978B"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Eigenschaft der Grundwasserdeckschicht</w:t>
            </w:r>
          </w:p>
        </w:tc>
      </w:tr>
      <w:tr w:rsidR="001F4995" w:rsidRPr="001F4995" w14:paraId="539EC8AF" w14:textId="77777777" w:rsidTr="001F4995">
        <w:trPr>
          <w:trHeight w:val="20"/>
        </w:trPr>
        <w:tc>
          <w:tcPr>
            <w:tcW w:w="4683" w:type="dxa"/>
            <w:gridSpan w:val="2"/>
            <w:vMerge/>
            <w:shd w:val="clear" w:color="auto" w:fill="auto"/>
            <w:noWrap/>
            <w:vAlign w:val="center"/>
          </w:tcPr>
          <w:p w14:paraId="0FFBA685" w14:textId="77777777" w:rsidR="001F4995" w:rsidRPr="001F4995" w:rsidRDefault="001F4995" w:rsidP="001F4995">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442FEAF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außerhalb von</w:t>
            </w:r>
          </w:p>
          <w:p w14:paraId="7D5718B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Wasserschutzbereichen</w:t>
            </w:r>
          </w:p>
        </w:tc>
        <w:tc>
          <w:tcPr>
            <w:tcW w:w="3932" w:type="dxa"/>
            <w:gridSpan w:val="6"/>
            <w:shd w:val="clear" w:color="auto" w:fill="auto"/>
            <w:noWrap/>
            <w:vAlign w:val="center"/>
          </w:tcPr>
          <w:p w14:paraId="115B394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innerhalb von</w:t>
            </w:r>
          </w:p>
          <w:p w14:paraId="73B075A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Wasserschutzbereichen</w:t>
            </w:r>
          </w:p>
        </w:tc>
      </w:tr>
      <w:tr w:rsidR="001F4995" w:rsidRPr="001F4995" w14:paraId="4D019486" w14:textId="77777777" w:rsidTr="001F4995">
        <w:trPr>
          <w:trHeight w:val="20"/>
        </w:trPr>
        <w:tc>
          <w:tcPr>
            <w:tcW w:w="4683" w:type="dxa"/>
            <w:gridSpan w:val="2"/>
            <w:vMerge/>
            <w:shd w:val="clear" w:color="auto" w:fill="auto"/>
            <w:noWrap/>
            <w:vAlign w:val="center"/>
          </w:tcPr>
          <w:p w14:paraId="0D85B7D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5DE9A96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proofErr w:type="spellStart"/>
            <w:r w:rsidRPr="001F4995">
              <w:rPr>
                <w:rFonts w:ascii="Times New Roman" w:eastAsia="Times New Roman" w:hAnsi="Times New Roman" w:cs="Times New Roman"/>
                <w:sz w:val="24"/>
                <w:szCs w:val="24"/>
                <w:lang w:eastAsia="de-DE"/>
              </w:rPr>
              <w:t>un</w:t>
            </w:r>
            <w:proofErr w:type="spellEnd"/>
            <w:r w:rsidRPr="001F4995">
              <w:rPr>
                <w:rFonts w:ascii="Times New Roman" w:eastAsia="Times New Roman" w:hAnsi="Times New Roman" w:cs="Times New Roman"/>
                <w:sz w:val="24"/>
                <w:szCs w:val="24"/>
                <w:lang w:eastAsia="de-DE"/>
              </w:rPr>
              <w:t>-günstig</w:t>
            </w:r>
          </w:p>
        </w:tc>
        <w:tc>
          <w:tcPr>
            <w:tcW w:w="1849" w:type="dxa"/>
            <w:gridSpan w:val="2"/>
            <w:shd w:val="clear" w:color="auto" w:fill="auto"/>
            <w:noWrap/>
            <w:vAlign w:val="center"/>
          </w:tcPr>
          <w:p w14:paraId="68141A5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günstig</w:t>
            </w:r>
          </w:p>
        </w:tc>
        <w:tc>
          <w:tcPr>
            <w:tcW w:w="3932" w:type="dxa"/>
            <w:gridSpan w:val="6"/>
            <w:shd w:val="clear" w:color="auto" w:fill="auto"/>
            <w:noWrap/>
            <w:vAlign w:val="center"/>
          </w:tcPr>
          <w:p w14:paraId="6643AAF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günstig</w:t>
            </w:r>
          </w:p>
        </w:tc>
      </w:tr>
      <w:tr w:rsidR="001F4995" w:rsidRPr="001F4995" w14:paraId="4E0331D4" w14:textId="77777777" w:rsidTr="001F4995">
        <w:trPr>
          <w:trHeight w:val="20"/>
        </w:trPr>
        <w:tc>
          <w:tcPr>
            <w:tcW w:w="4683" w:type="dxa"/>
            <w:gridSpan w:val="2"/>
            <w:vMerge/>
            <w:shd w:val="clear" w:color="auto" w:fill="auto"/>
            <w:noWrap/>
            <w:vAlign w:val="center"/>
          </w:tcPr>
          <w:p w14:paraId="50ABC2A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68566E2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56CDD6C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31B5FBCB" w14:textId="37B4E016"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2D89709E" w14:textId="310580D0"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0CB2170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1317" w:type="dxa"/>
            <w:gridSpan w:val="2"/>
            <w:shd w:val="clear" w:color="auto" w:fill="auto"/>
            <w:noWrap/>
            <w:vAlign w:val="center"/>
          </w:tcPr>
          <w:p w14:paraId="2729E87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A</w:t>
            </w:r>
          </w:p>
        </w:tc>
        <w:tc>
          <w:tcPr>
            <w:tcW w:w="1330" w:type="dxa"/>
            <w:gridSpan w:val="2"/>
            <w:shd w:val="clear" w:color="auto" w:fill="auto"/>
            <w:noWrap/>
            <w:vAlign w:val="center"/>
          </w:tcPr>
          <w:p w14:paraId="0DC717C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B</w:t>
            </w:r>
          </w:p>
        </w:tc>
        <w:tc>
          <w:tcPr>
            <w:tcW w:w="1285" w:type="dxa"/>
            <w:gridSpan w:val="2"/>
            <w:shd w:val="clear" w:color="auto" w:fill="auto"/>
            <w:noWrap/>
            <w:vAlign w:val="center"/>
          </w:tcPr>
          <w:p w14:paraId="29E8409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Wasservor-</w:t>
            </w:r>
          </w:p>
        </w:tc>
      </w:tr>
      <w:tr w:rsidR="001F4995" w:rsidRPr="001F4995" w14:paraId="48D24DB7" w14:textId="77777777" w:rsidTr="001F4995">
        <w:trPr>
          <w:trHeight w:val="80"/>
        </w:trPr>
        <w:tc>
          <w:tcPr>
            <w:tcW w:w="4683" w:type="dxa"/>
            <w:gridSpan w:val="2"/>
            <w:vMerge/>
            <w:shd w:val="clear" w:color="auto" w:fill="auto"/>
            <w:noWrap/>
            <w:vAlign w:val="center"/>
          </w:tcPr>
          <w:p w14:paraId="6B9B82B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47F23AC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32C6138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73E8DC9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317" w:type="dxa"/>
            <w:gridSpan w:val="2"/>
            <w:shd w:val="clear" w:color="auto" w:fill="auto"/>
            <w:noWrap/>
            <w:vAlign w:val="center"/>
          </w:tcPr>
          <w:p w14:paraId="47637AE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III</w:t>
            </w:r>
          </w:p>
        </w:tc>
        <w:tc>
          <w:tcPr>
            <w:tcW w:w="1330" w:type="dxa"/>
            <w:gridSpan w:val="2"/>
            <w:shd w:val="clear" w:color="auto" w:fill="auto"/>
            <w:noWrap/>
            <w:vAlign w:val="center"/>
          </w:tcPr>
          <w:p w14:paraId="4E6FA97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IV</w:t>
            </w:r>
          </w:p>
        </w:tc>
        <w:tc>
          <w:tcPr>
            <w:tcW w:w="1285" w:type="dxa"/>
            <w:gridSpan w:val="2"/>
            <w:shd w:val="clear" w:color="auto" w:fill="auto"/>
            <w:noWrap/>
            <w:vAlign w:val="center"/>
          </w:tcPr>
          <w:p w14:paraId="2CC626F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ranggebiete</w:t>
            </w:r>
          </w:p>
        </w:tc>
      </w:tr>
      <w:tr w:rsidR="001F4995" w:rsidRPr="001F4995" w14:paraId="10991495" w14:textId="77777777" w:rsidTr="001F4995">
        <w:trPr>
          <w:trHeight w:val="80"/>
        </w:trPr>
        <w:tc>
          <w:tcPr>
            <w:tcW w:w="4683" w:type="dxa"/>
            <w:gridSpan w:val="2"/>
            <w:vMerge/>
            <w:shd w:val="clear" w:color="auto" w:fill="auto"/>
            <w:noWrap/>
            <w:vAlign w:val="center"/>
          </w:tcPr>
          <w:p w14:paraId="46FC39D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554427E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32BB9C3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6265A96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47" w:type="dxa"/>
            <w:shd w:val="clear" w:color="auto" w:fill="auto"/>
            <w:noWrap/>
            <w:vAlign w:val="center"/>
          </w:tcPr>
          <w:p w14:paraId="712094B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09F5B7C1" w14:textId="3B2B76B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32970C0E" w14:textId="0D762B71"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67B63D9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660" w:type="dxa"/>
            <w:shd w:val="clear" w:color="auto" w:fill="auto"/>
            <w:noWrap/>
            <w:vAlign w:val="center"/>
          </w:tcPr>
          <w:p w14:paraId="5566A9A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5E86F136" w14:textId="096D432E"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79E08F63" w14:textId="3FB6E6DF"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36E9C2F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82" w:type="dxa"/>
            <w:shd w:val="clear" w:color="auto" w:fill="auto"/>
            <w:noWrap/>
            <w:vAlign w:val="center"/>
          </w:tcPr>
          <w:p w14:paraId="40E8B30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703" w:type="dxa"/>
            <w:shd w:val="clear" w:color="auto" w:fill="auto"/>
            <w:vAlign w:val="center"/>
          </w:tcPr>
          <w:p w14:paraId="3A28E9B6" w14:textId="66C3C476"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4E9AC09C" w14:textId="7F54DFB2"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21DC042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r>
      <w:tr w:rsidR="001F4995" w:rsidRPr="001F4995" w14:paraId="3934C82C" w14:textId="77777777" w:rsidTr="001F4995">
        <w:trPr>
          <w:trHeight w:val="111"/>
        </w:trPr>
        <w:tc>
          <w:tcPr>
            <w:tcW w:w="4683" w:type="dxa"/>
            <w:gridSpan w:val="2"/>
            <w:vMerge/>
            <w:shd w:val="clear" w:color="auto" w:fill="auto"/>
            <w:noWrap/>
            <w:vAlign w:val="center"/>
          </w:tcPr>
          <w:p w14:paraId="5BB750A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229CE25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w:t>
            </w:r>
          </w:p>
        </w:tc>
        <w:tc>
          <w:tcPr>
            <w:tcW w:w="664" w:type="dxa"/>
            <w:shd w:val="clear" w:color="auto" w:fill="auto"/>
            <w:noWrap/>
            <w:vAlign w:val="center"/>
          </w:tcPr>
          <w:p w14:paraId="77A30F3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2</w:t>
            </w:r>
          </w:p>
        </w:tc>
        <w:tc>
          <w:tcPr>
            <w:tcW w:w="1185" w:type="dxa"/>
            <w:shd w:val="clear" w:color="auto" w:fill="auto"/>
            <w:noWrap/>
            <w:vAlign w:val="center"/>
          </w:tcPr>
          <w:p w14:paraId="458CCB3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3</w:t>
            </w:r>
          </w:p>
        </w:tc>
        <w:tc>
          <w:tcPr>
            <w:tcW w:w="1317" w:type="dxa"/>
            <w:gridSpan w:val="2"/>
            <w:shd w:val="clear" w:color="auto" w:fill="auto"/>
            <w:noWrap/>
            <w:vAlign w:val="center"/>
          </w:tcPr>
          <w:p w14:paraId="455CC30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4</w:t>
            </w:r>
          </w:p>
        </w:tc>
        <w:tc>
          <w:tcPr>
            <w:tcW w:w="1330" w:type="dxa"/>
            <w:gridSpan w:val="2"/>
            <w:shd w:val="clear" w:color="auto" w:fill="auto"/>
            <w:noWrap/>
            <w:vAlign w:val="center"/>
          </w:tcPr>
          <w:p w14:paraId="12B32A1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5</w:t>
            </w:r>
          </w:p>
        </w:tc>
        <w:tc>
          <w:tcPr>
            <w:tcW w:w="1285" w:type="dxa"/>
            <w:gridSpan w:val="2"/>
            <w:shd w:val="clear" w:color="auto" w:fill="auto"/>
            <w:noWrap/>
            <w:vAlign w:val="center"/>
          </w:tcPr>
          <w:p w14:paraId="7E630E9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6</w:t>
            </w:r>
          </w:p>
        </w:tc>
      </w:tr>
      <w:tr w:rsidR="001F4995" w:rsidRPr="001F4995" w14:paraId="7EB45437" w14:textId="77777777" w:rsidTr="001F4995">
        <w:trPr>
          <w:trHeight w:val="20"/>
        </w:trPr>
        <w:tc>
          <w:tcPr>
            <w:tcW w:w="469" w:type="dxa"/>
            <w:shd w:val="clear" w:color="auto" w:fill="auto"/>
            <w:noWrap/>
          </w:tcPr>
          <w:p w14:paraId="38F014BB"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w:t>
            </w:r>
          </w:p>
        </w:tc>
        <w:tc>
          <w:tcPr>
            <w:tcW w:w="4214" w:type="dxa"/>
            <w:shd w:val="clear" w:color="auto" w:fill="FFFFFF"/>
          </w:tcPr>
          <w:p w14:paraId="6D580E1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662279F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3AE470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FE6F3B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shd w:val="clear" w:color="auto" w:fill="auto"/>
            <w:noWrap/>
            <w:vAlign w:val="center"/>
          </w:tcPr>
          <w:p w14:paraId="3A21759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0A9438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0" w:type="dxa"/>
            <w:shd w:val="clear" w:color="auto" w:fill="auto"/>
            <w:noWrap/>
            <w:vAlign w:val="center"/>
          </w:tcPr>
          <w:p w14:paraId="6891514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9E942C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74B3A88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vAlign w:val="center"/>
          </w:tcPr>
          <w:p w14:paraId="2B5533E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57C3BAE" w14:textId="77777777" w:rsidTr="001F4995">
        <w:trPr>
          <w:trHeight w:val="20"/>
        </w:trPr>
        <w:tc>
          <w:tcPr>
            <w:tcW w:w="469" w:type="dxa"/>
            <w:shd w:val="clear" w:color="auto" w:fill="auto"/>
            <w:noWrap/>
          </w:tcPr>
          <w:p w14:paraId="670FD07E"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2</w:t>
            </w:r>
          </w:p>
        </w:tc>
        <w:tc>
          <w:tcPr>
            <w:tcW w:w="4214" w:type="dxa"/>
            <w:shd w:val="clear" w:color="auto" w:fill="FFFFFF"/>
          </w:tcPr>
          <w:p w14:paraId="64BE5E3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763077A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C6A690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94C100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560FB84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41C7C0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0" w:type="dxa"/>
            <w:noWrap/>
            <w:vAlign w:val="center"/>
          </w:tcPr>
          <w:p w14:paraId="43CF711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832309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087EAAE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vAlign w:val="center"/>
          </w:tcPr>
          <w:p w14:paraId="7E704E6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B8FAEA3" w14:textId="77777777" w:rsidTr="001F4995">
        <w:trPr>
          <w:trHeight w:val="20"/>
        </w:trPr>
        <w:tc>
          <w:tcPr>
            <w:tcW w:w="469" w:type="dxa"/>
            <w:shd w:val="clear" w:color="auto" w:fill="auto"/>
            <w:noWrap/>
          </w:tcPr>
          <w:p w14:paraId="7A0A44AB"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3</w:t>
            </w:r>
          </w:p>
        </w:tc>
        <w:tc>
          <w:tcPr>
            <w:tcW w:w="4214" w:type="dxa"/>
            <w:shd w:val="clear" w:color="auto" w:fill="FFFFFF"/>
          </w:tcPr>
          <w:p w14:paraId="76F958B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56CE5E5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606306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67BE8D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0AA0388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FA5645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0" w:type="dxa"/>
            <w:noWrap/>
            <w:vAlign w:val="center"/>
          </w:tcPr>
          <w:p w14:paraId="47073A8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B5CBCC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2FC334E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vAlign w:val="center"/>
          </w:tcPr>
          <w:p w14:paraId="6ED1394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338E6AD" w14:textId="77777777" w:rsidTr="001F4995">
        <w:trPr>
          <w:trHeight w:val="20"/>
        </w:trPr>
        <w:tc>
          <w:tcPr>
            <w:tcW w:w="469" w:type="dxa"/>
            <w:shd w:val="clear" w:color="auto" w:fill="auto"/>
            <w:noWrap/>
          </w:tcPr>
          <w:p w14:paraId="022B8CA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4</w:t>
            </w:r>
          </w:p>
        </w:tc>
        <w:tc>
          <w:tcPr>
            <w:tcW w:w="4214" w:type="dxa"/>
            <w:shd w:val="clear" w:color="auto" w:fill="FFFFFF"/>
          </w:tcPr>
          <w:p w14:paraId="5BBF38E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51F7FBF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18B47F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753CE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7521334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70" w:type="dxa"/>
            <w:vAlign w:val="center"/>
          </w:tcPr>
          <w:p w14:paraId="15BA2FE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60" w:type="dxa"/>
            <w:noWrap/>
            <w:vAlign w:val="center"/>
          </w:tcPr>
          <w:p w14:paraId="22CC481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1F5B94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1AD0968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vAlign w:val="center"/>
          </w:tcPr>
          <w:p w14:paraId="4F2AACE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8730F89" w14:textId="77777777" w:rsidTr="001F4995">
        <w:trPr>
          <w:trHeight w:val="20"/>
        </w:trPr>
        <w:tc>
          <w:tcPr>
            <w:tcW w:w="469" w:type="dxa"/>
            <w:shd w:val="clear" w:color="auto" w:fill="auto"/>
            <w:noWrap/>
          </w:tcPr>
          <w:p w14:paraId="28F647E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5</w:t>
            </w:r>
          </w:p>
        </w:tc>
        <w:tc>
          <w:tcPr>
            <w:tcW w:w="4214" w:type="dxa"/>
            <w:shd w:val="clear" w:color="auto" w:fill="FFFFFF"/>
          </w:tcPr>
          <w:p w14:paraId="0B302BB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520A3FC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E3CD05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E12664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12EAEAF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943F30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0" w:type="dxa"/>
            <w:noWrap/>
            <w:vAlign w:val="center"/>
          </w:tcPr>
          <w:p w14:paraId="1ECEEDF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38D07B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546C995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vAlign w:val="center"/>
          </w:tcPr>
          <w:p w14:paraId="6542A2F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D5818F0" w14:textId="77777777" w:rsidTr="001F4995">
        <w:trPr>
          <w:trHeight w:val="20"/>
        </w:trPr>
        <w:tc>
          <w:tcPr>
            <w:tcW w:w="469" w:type="dxa"/>
            <w:shd w:val="clear" w:color="auto" w:fill="auto"/>
            <w:noWrap/>
          </w:tcPr>
          <w:p w14:paraId="0127D5E3"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6</w:t>
            </w:r>
          </w:p>
        </w:tc>
        <w:tc>
          <w:tcPr>
            <w:tcW w:w="4214" w:type="dxa"/>
            <w:shd w:val="clear" w:color="auto" w:fill="FFFFFF"/>
          </w:tcPr>
          <w:p w14:paraId="70451424"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2522AF8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EB3A1A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C4C9F6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728C7DF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2CA8D5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0" w:type="dxa"/>
            <w:noWrap/>
            <w:vAlign w:val="center"/>
          </w:tcPr>
          <w:p w14:paraId="7F9CCCB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D669CB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2495F0D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vAlign w:val="center"/>
          </w:tcPr>
          <w:p w14:paraId="274641D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E67FDE0" w14:textId="77777777" w:rsidTr="001F4995">
        <w:trPr>
          <w:trHeight w:val="20"/>
        </w:trPr>
        <w:tc>
          <w:tcPr>
            <w:tcW w:w="469" w:type="dxa"/>
            <w:shd w:val="clear" w:color="auto" w:fill="auto"/>
            <w:noWrap/>
          </w:tcPr>
          <w:p w14:paraId="47C18E7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7</w:t>
            </w:r>
          </w:p>
        </w:tc>
        <w:tc>
          <w:tcPr>
            <w:tcW w:w="4214" w:type="dxa"/>
            <w:shd w:val="clear" w:color="auto" w:fill="FFFFFF"/>
          </w:tcPr>
          <w:p w14:paraId="678479C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Schottertragschicht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6040806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64" w:type="dxa"/>
            <w:noWrap/>
            <w:vAlign w:val="center"/>
          </w:tcPr>
          <w:p w14:paraId="258A3F8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1185" w:type="dxa"/>
            <w:noWrap/>
            <w:vAlign w:val="center"/>
          </w:tcPr>
          <w:p w14:paraId="43B4685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47" w:type="dxa"/>
            <w:noWrap/>
            <w:vAlign w:val="center"/>
          </w:tcPr>
          <w:p w14:paraId="7B1408A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70" w:type="dxa"/>
            <w:vAlign w:val="center"/>
          </w:tcPr>
          <w:p w14:paraId="4A9CE53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60" w:type="dxa"/>
            <w:noWrap/>
            <w:vAlign w:val="center"/>
          </w:tcPr>
          <w:p w14:paraId="0011E38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70" w:type="dxa"/>
            <w:vAlign w:val="center"/>
          </w:tcPr>
          <w:p w14:paraId="495220C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582" w:type="dxa"/>
            <w:shd w:val="clear" w:color="auto" w:fill="FFFFFF"/>
            <w:noWrap/>
            <w:vAlign w:val="center"/>
          </w:tcPr>
          <w:p w14:paraId="6EC1879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703" w:type="dxa"/>
            <w:shd w:val="clear" w:color="auto" w:fill="FFFFFF"/>
            <w:vAlign w:val="center"/>
          </w:tcPr>
          <w:p w14:paraId="117B333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r>
      <w:tr w:rsidR="001F4995" w:rsidRPr="001F4995" w14:paraId="24C9D27F" w14:textId="77777777" w:rsidTr="001F4995">
        <w:trPr>
          <w:trHeight w:val="20"/>
        </w:trPr>
        <w:tc>
          <w:tcPr>
            <w:tcW w:w="469" w:type="dxa"/>
            <w:shd w:val="clear" w:color="auto" w:fill="auto"/>
            <w:noWrap/>
          </w:tcPr>
          <w:p w14:paraId="368345C1"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8</w:t>
            </w:r>
          </w:p>
        </w:tc>
        <w:tc>
          <w:tcPr>
            <w:tcW w:w="4214" w:type="dxa"/>
            <w:shd w:val="clear" w:color="auto" w:fill="FFFFFF"/>
          </w:tcPr>
          <w:p w14:paraId="6517CC9C"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Frostschutzschicht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5D11722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155618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1185" w:type="dxa"/>
            <w:noWrap/>
            <w:vAlign w:val="center"/>
          </w:tcPr>
          <w:p w14:paraId="438BD26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47" w:type="dxa"/>
            <w:noWrap/>
            <w:vAlign w:val="center"/>
          </w:tcPr>
          <w:p w14:paraId="6612DEF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D011F4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60" w:type="dxa"/>
            <w:noWrap/>
            <w:vAlign w:val="center"/>
          </w:tcPr>
          <w:p w14:paraId="2F197CF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7FDC2D4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582" w:type="dxa"/>
            <w:shd w:val="clear" w:color="auto" w:fill="FFFFFF"/>
            <w:noWrap/>
            <w:vAlign w:val="center"/>
          </w:tcPr>
          <w:p w14:paraId="3CC2E2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703" w:type="dxa"/>
            <w:shd w:val="clear" w:color="auto" w:fill="FFFFFF"/>
            <w:vAlign w:val="center"/>
          </w:tcPr>
          <w:p w14:paraId="1B83A7D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r>
      <w:tr w:rsidR="001F4995" w:rsidRPr="001F4995" w14:paraId="26A31E94" w14:textId="77777777" w:rsidTr="001F4995">
        <w:trPr>
          <w:trHeight w:val="20"/>
        </w:trPr>
        <w:tc>
          <w:tcPr>
            <w:tcW w:w="469" w:type="dxa"/>
            <w:shd w:val="clear" w:color="auto" w:fill="auto"/>
            <w:noWrap/>
          </w:tcPr>
          <w:p w14:paraId="6D9D163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9</w:t>
            </w:r>
          </w:p>
        </w:tc>
        <w:tc>
          <w:tcPr>
            <w:tcW w:w="4214" w:type="dxa"/>
            <w:shd w:val="clear" w:color="auto" w:fill="FFFFFF"/>
          </w:tcPr>
          <w:p w14:paraId="3E6B4CF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Dämme oder Wälle gemäß Bauweisen A-D nach MTSE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3575B1D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64" w:type="dxa"/>
            <w:noWrap/>
            <w:vAlign w:val="center"/>
          </w:tcPr>
          <w:p w14:paraId="7F358CA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1185" w:type="dxa"/>
            <w:noWrap/>
            <w:vAlign w:val="center"/>
          </w:tcPr>
          <w:p w14:paraId="4462D2C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47" w:type="dxa"/>
            <w:noWrap/>
            <w:vAlign w:val="center"/>
          </w:tcPr>
          <w:p w14:paraId="1E3D78A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70" w:type="dxa"/>
            <w:vAlign w:val="center"/>
          </w:tcPr>
          <w:p w14:paraId="374AA6B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60" w:type="dxa"/>
            <w:noWrap/>
            <w:vAlign w:val="center"/>
          </w:tcPr>
          <w:p w14:paraId="45EB751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70" w:type="dxa"/>
            <w:shd w:val="clear" w:color="auto" w:fill="FFFFFF"/>
            <w:vAlign w:val="center"/>
          </w:tcPr>
          <w:p w14:paraId="74F85B7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582" w:type="dxa"/>
            <w:shd w:val="clear" w:color="auto" w:fill="FFFFFF"/>
            <w:noWrap/>
            <w:vAlign w:val="center"/>
          </w:tcPr>
          <w:p w14:paraId="76DA733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703" w:type="dxa"/>
            <w:shd w:val="clear" w:color="auto" w:fill="FFFFFF"/>
            <w:vAlign w:val="center"/>
          </w:tcPr>
          <w:p w14:paraId="3584119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r>
      <w:tr w:rsidR="001F4995" w:rsidRPr="001F4995" w14:paraId="29D1D9D0" w14:textId="77777777" w:rsidTr="001F4995">
        <w:trPr>
          <w:trHeight w:val="20"/>
        </w:trPr>
        <w:tc>
          <w:tcPr>
            <w:tcW w:w="469" w:type="dxa"/>
            <w:shd w:val="clear" w:color="auto" w:fill="auto"/>
            <w:noWrap/>
          </w:tcPr>
          <w:p w14:paraId="5AD8D600"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10</w:t>
            </w:r>
          </w:p>
        </w:tc>
        <w:tc>
          <w:tcPr>
            <w:tcW w:w="4214" w:type="dxa"/>
            <w:shd w:val="clear" w:color="auto" w:fill="FFFFFF"/>
          </w:tcPr>
          <w:p w14:paraId="4B96ADB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6E933F0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64" w:type="dxa"/>
            <w:noWrap/>
            <w:vAlign w:val="center"/>
          </w:tcPr>
          <w:p w14:paraId="21E547C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1185" w:type="dxa"/>
            <w:noWrap/>
            <w:vAlign w:val="center"/>
          </w:tcPr>
          <w:p w14:paraId="73FEA61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47" w:type="dxa"/>
            <w:noWrap/>
            <w:vAlign w:val="center"/>
          </w:tcPr>
          <w:p w14:paraId="0B364DD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70" w:type="dxa"/>
            <w:vAlign w:val="center"/>
          </w:tcPr>
          <w:p w14:paraId="3D55259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60" w:type="dxa"/>
            <w:noWrap/>
            <w:vAlign w:val="center"/>
          </w:tcPr>
          <w:p w14:paraId="0691098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70" w:type="dxa"/>
            <w:vAlign w:val="center"/>
          </w:tcPr>
          <w:p w14:paraId="05280FF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582" w:type="dxa"/>
            <w:shd w:val="clear" w:color="auto" w:fill="FFFFFF"/>
            <w:noWrap/>
            <w:vAlign w:val="center"/>
          </w:tcPr>
          <w:p w14:paraId="6CF90A8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703" w:type="dxa"/>
            <w:shd w:val="clear" w:color="auto" w:fill="FFFFFF"/>
            <w:vAlign w:val="center"/>
          </w:tcPr>
          <w:p w14:paraId="29151BA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r>
      <w:tr w:rsidR="001F4995" w:rsidRPr="001F4995" w14:paraId="387AB199" w14:textId="77777777" w:rsidTr="001F4995">
        <w:trPr>
          <w:trHeight w:val="20"/>
        </w:trPr>
        <w:tc>
          <w:tcPr>
            <w:tcW w:w="469" w:type="dxa"/>
            <w:shd w:val="clear" w:color="auto" w:fill="auto"/>
            <w:noWrap/>
          </w:tcPr>
          <w:p w14:paraId="729DD0B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11</w:t>
            </w:r>
          </w:p>
        </w:tc>
        <w:tc>
          <w:tcPr>
            <w:tcW w:w="4214" w:type="dxa"/>
            <w:shd w:val="clear" w:color="auto" w:fill="FFFFFF"/>
          </w:tcPr>
          <w:p w14:paraId="2B5DA3C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4260B6E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64" w:type="dxa"/>
            <w:noWrap/>
            <w:vAlign w:val="center"/>
          </w:tcPr>
          <w:p w14:paraId="13566D5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1185" w:type="dxa"/>
            <w:noWrap/>
            <w:vAlign w:val="center"/>
          </w:tcPr>
          <w:p w14:paraId="75ACF11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47" w:type="dxa"/>
            <w:noWrap/>
            <w:vAlign w:val="center"/>
          </w:tcPr>
          <w:p w14:paraId="06A963A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70" w:type="dxa"/>
            <w:vAlign w:val="center"/>
          </w:tcPr>
          <w:p w14:paraId="2B600FE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60" w:type="dxa"/>
            <w:noWrap/>
            <w:vAlign w:val="center"/>
          </w:tcPr>
          <w:p w14:paraId="1F4EC06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 xml:space="preserve">2) </w:t>
            </w:r>
          </w:p>
        </w:tc>
        <w:tc>
          <w:tcPr>
            <w:tcW w:w="670" w:type="dxa"/>
            <w:vAlign w:val="center"/>
          </w:tcPr>
          <w:p w14:paraId="2B38CF3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582" w:type="dxa"/>
            <w:noWrap/>
            <w:vAlign w:val="center"/>
          </w:tcPr>
          <w:p w14:paraId="3D7264F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703" w:type="dxa"/>
            <w:vAlign w:val="center"/>
          </w:tcPr>
          <w:p w14:paraId="68985ED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r>
      <w:tr w:rsidR="001F4995" w:rsidRPr="001F4995" w14:paraId="32FBB218" w14:textId="77777777" w:rsidTr="001F4995">
        <w:trPr>
          <w:trHeight w:val="20"/>
        </w:trPr>
        <w:tc>
          <w:tcPr>
            <w:tcW w:w="469" w:type="dxa"/>
            <w:shd w:val="clear" w:color="auto" w:fill="auto"/>
            <w:noWrap/>
          </w:tcPr>
          <w:p w14:paraId="55FC1877"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12</w:t>
            </w:r>
          </w:p>
        </w:tc>
        <w:tc>
          <w:tcPr>
            <w:tcW w:w="4214" w:type="dxa"/>
            <w:shd w:val="clear" w:color="auto" w:fill="FFFFFF"/>
          </w:tcPr>
          <w:p w14:paraId="43437DEC"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Deckschicht ohne Bindemittel</w:t>
            </w:r>
          </w:p>
        </w:tc>
        <w:tc>
          <w:tcPr>
            <w:tcW w:w="851" w:type="dxa"/>
            <w:noWrap/>
            <w:vAlign w:val="center"/>
          </w:tcPr>
          <w:p w14:paraId="0F42A7C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B2AECA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1185" w:type="dxa"/>
            <w:noWrap/>
            <w:vAlign w:val="center"/>
          </w:tcPr>
          <w:p w14:paraId="08C5DC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47" w:type="dxa"/>
            <w:noWrap/>
            <w:vAlign w:val="center"/>
          </w:tcPr>
          <w:p w14:paraId="29B449F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70" w:type="dxa"/>
            <w:vAlign w:val="center"/>
          </w:tcPr>
          <w:p w14:paraId="04854F2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60" w:type="dxa"/>
            <w:noWrap/>
            <w:vAlign w:val="center"/>
          </w:tcPr>
          <w:p w14:paraId="0939A81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70" w:type="dxa"/>
            <w:vAlign w:val="center"/>
          </w:tcPr>
          <w:p w14:paraId="03F3356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582" w:type="dxa"/>
            <w:noWrap/>
            <w:vAlign w:val="center"/>
          </w:tcPr>
          <w:p w14:paraId="24558F1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703" w:type="dxa"/>
            <w:vAlign w:val="center"/>
          </w:tcPr>
          <w:p w14:paraId="015EF57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r>
      <w:tr w:rsidR="001F4995" w:rsidRPr="001F4995" w14:paraId="307515B8" w14:textId="77777777" w:rsidTr="001F4995">
        <w:trPr>
          <w:trHeight w:val="20"/>
        </w:trPr>
        <w:tc>
          <w:tcPr>
            <w:tcW w:w="469" w:type="dxa"/>
            <w:shd w:val="clear" w:color="auto" w:fill="auto"/>
            <w:noWrap/>
          </w:tcPr>
          <w:p w14:paraId="7CEC10B8"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13</w:t>
            </w:r>
          </w:p>
        </w:tc>
        <w:tc>
          <w:tcPr>
            <w:tcW w:w="4214" w:type="dxa"/>
            <w:shd w:val="clear" w:color="auto" w:fill="FFFFFF"/>
          </w:tcPr>
          <w:p w14:paraId="074A4B8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48416D9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116F08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815883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2D17696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633F3A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0" w:type="dxa"/>
            <w:noWrap/>
            <w:vAlign w:val="center"/>
          </w:tcPr>
          <w:p w14:paraId="4216457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6B731E3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FFFFFF"/>
            <w:noWrap/>
            <w:vAlign w:val="center"/>
          </w:tcPr>
          <w:p w14:paraId="3A5B5B8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FFFFFF"/>
            <w:vAlign w:val="center"/>
          </w:tcPr>
          <w:p w14:paraId="5DD4315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8F56FDD" w14:textId="77777777" w:rsidTr="001F4995">
        <w:trPr>
          <w:trHeight w:val="20"/>
        </w:trPr>
        <w:tc>
          <w:tcPr>
            <w:tcW w:w="469" w:type="dxa"/>
            <w:shd w:val="clear" w:color="auto" w:fill="auto"/>
            <w:noWrap/>
          </w:tcPr>
          <w:p w14:paraId="16CF022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14</w:t>
            </w:r>
          </w:p>
        </w:tc>
        <w:tc>
          <w:tcPr>
            <w:tcW w:w="4214" w:type="dxa"/>
            <w:shd w:val="clear" w:color="auto" w:fill="FFFFFF"/>
          </w:tcPr>
          <w:p w14:paraId="1E92182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Plattenbelägen</w:t>
            </w:r>
          </w:p>
        </w:tc>
        <w:tc>
          <w:tcPr>
            <w:tcW w:w="851" w:type="dxa"/>
            <w:noWrap/>
            <w:vAlign w:val="center"/>
          </w:tcPr>
          <w:p w14:paraId="65B5CB1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A3DF8C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67E54B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3785E46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698F68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0" w:type="dxa"/>
            <w:noWrap/>
            <w:vAlign w:val="center"/>
          </w:tcPr>
          <w:p w14:paraId="5537479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44C2CA9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FFFFFF"/>
            <w:noWrap/>
            <w:vAlign w:val="center"/>
          </w:tcPr>
          <w:p w14:paraId="7FE3E9E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FFFFFF"/>
            <w:vAlign w:val="center"/>
          </w:tcPr>
          <w:p w14:paraId="659179A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F364099" w14:textId="77777777" w:rsidTr="001F4995">
        <w:trPr>
          <w:trHeight w:val="20"/>
        </w:trPr>
        <w:tc>
          <w:tcPr>
            <w:tcW w:w="469" w:type="dxa"/>
            <w:shd w:val="clear" w:color="auto" w:fill="auto"/>
            <w:noWrap/>
          </w:tcPr>
          <w:p w14:paraId="1AD1237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15</w:t>
            </w:r>
          </w:p>
        </w:tc>
        <w:tc>
          <w:tcPr>
            <w:tcW w:w="4214" w:type="dxa"/>
            <w:shd w:val="clear" w:color="auto" w:fill="FFFFFF"/>
          </w:tcPr>
          <w:p w14:paraId="644B40B5"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35FE58D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9A2F7F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C0F799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647" w:type="dxa"/>
            <w:noWrap/>
            <w:vAlign w:val="center"/>
          </w:tcPr>
          <w:p w14:paraId="78B9C04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9120C7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0" w:type="dxa"/>
            <w:noWrap/>
            <w:vAlign w:val="center"/>
          </w:tcPr>
          <w:p w14:paraId="1475967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7E1912A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FFFFFF"/>
            <w:noWrap/>
            <w:vAlign w:val="center"/>
          </w:tcPr>
          <w:p w14:paraId="22EDE4A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FFFFFF"/>
            <w:vAlign w:val="center"/>
          </w:tcPr>
          <w:p w14:paraId="1B693C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r>
      <w:tr w:rsidR="001F4995" w:rsidRPr="001F4995" w14:paraId="4881EDA8" w14:textId="77777777" w:rsidTr="001F4995">
        <w:trPr>
          <w:trHeight w:val="20"/>
        </w:trPr>
        <w:tc>
          <w:tcPr>
            <w:tcW w:w="469" w:type="dxa"/>
            <w:shd w:val="clear" w:color="auto" w:fill="auto"/>
            <w:noWrap/>
          </w:tcPr>
          <w:p w14:paraId="4F58F48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16</w:t>
            </w:r>
          </w:p>
        </w:tc>
        <w:tc>
          <w:tcPr>
            <w:tcW w:w="4214" w:type="dxa"/>
            <w:shd w:val="clear" w:color="auto" w:fill="FFFFFF"/>
          </w:tcPr>
          <w:p w14:paraId="22AA2C80"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7579E03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F9BCD9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4)</w:t>
            </w:r>
          </w:p>
        </w:tc>
        <w:tc>
          <w:tcPr>
            <w:tcW w:w="1185" w:type="dxa"/>
            <w:noWrap/>
            <w:vAlign w:val="center"/>
          </w:tcPr>
          <w:p w14:paraId="772BD0E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4)</w:t>
            </w:r>
          </w:p>
        </w:tc>
        <w:tc>
          <w:tcPr>
            <w:tcW w:w="647" w:type="dxa"/>
            <w:noWrap/>
            <w:vAlign w:val="center"/>
          </w:tcPr>
          <w:p w14:paraId="66F9479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43B5B0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4)</w:t>
            </w:r>
          </w:p>
        </w:tc>
        <w:tc>
          <w:tcPr>
            <w:tcW w:w="660" w:type="dxa"/>
            <w:noWrap/>
            <w:vAlign w:val="center"/>
          </w:tcPr>
          <w:p w14:paraId="741FA46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7CF22E1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4)</w:t>
            </w:r>
          </w:p>
        </w:tc>
        <w:tc>
          <w:tcPr>
            <w:tcW w:w="582" w:type="dxa"/>
            <w:shd w:val="clear" w:color="auto" w:fill="FFFFFF"/>
            <w:noWrap/>
            <w:vAlign w:val="center"/>
          </w:tcPr>
          <w:p w14:paraId="71DE6D1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4)</w:t>
            </w:r>
          </w:p>
        </w:tc>
        <w:tc>
          <w:tcPr>
            <w:tcW w:w="703" w:type="dxa"/>
            <w:shd w:val="clear" w:color="auto" w:fill="FFFFFF"/>
            <w:vAlign w:val="center"/>
          </w:tcPr>
          <w:p w14:paraId="7D0BCB44"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4)</w:t>
            </w:r>
          </w:p>
        </w:tc>
      </w:tr>
      <w:tr w:rsidR="001F4995" w:rsidRPr="001F4995" w14:paraId="77F4B071" w14:textId="77777777" w:rsidTr="001F4995">
        <w:trPr>
          <w:trHeight w:val="208"/>
        </w:trPr>
        <w:tc>
          <w:tcPr>
            <w:tcW w:w="469" w:type="dxa"/>
            <w:shd w:val="clear" w:color="auto" w:fill="auto"/>
            <w:noWrap/>
          </w:tcPr>
          <w:p w14:paraId="3B872CE9"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17</w:t>
            </w:r>
          </w:p>
        </w:tc>
        <w:tc>
          <w:tcPr>
            <w:tcW w:w="4214" w:type="dxa"/>
            <w:shd w:val="clear" w:color="auto" w:fill="FFFFFF"/>
          </w:tcPr>
          <w:p w14:paraId="4BD2A92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6BB12EF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762963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C2A6F1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5)</w:t>
            </w:r>
          </w:p>
        </w:tc>
        <w:tc>
          <w:tcPr>
            <w:tcW w:w="647" w:type="dxa"/>
            <w:noWrap/>
            <w:vAlign w:val="center"/>
          </w:tcPr>
          <w:p w14:paraId="32F573E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D6CC3D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0" w:type="dxa"/>
            <w:noWrap/>
            <w:vAlign w:val="center"/>
          </w:tcPr>
          <w:p w14:paraId="20A1847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6F63AB0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FFFFFF"/>
            <w:noWrap/>
            <w:vAlign w:val="center"/>
          </w:tcPr>
          <w:p w14:paraId="5DA46D80"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vertAlign w:val="superscript"/>
                <w:lang w:eastAsia="de-DE"/>
              </w:rPr>
              <w:t>-</w:t>
            </w:r>
          </w:p>
        </w:tc>
        <w:tc>
          <w:tcPr>
            <w:tcW w:w="703" w:type="dxa"/>
            <w:shd w:val="clear" w:color="auto" w:fill="FFFFFF"/>
            <w:vAlign w:val="center"/>
          </w:tcPr>
          <w:p w14:paraId="0809B86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5)</w:t>
            </w:r>
          </w:p>
        </w:tc>
      </w:tr>
    </w:tbl>
    <w:p w14:paraId="0121DB83"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1) Die Verfüllung von Leitungsgräben ist nicht zulässig.</w:t>
      </w:r>
    </w:p>
    <w:p w14:paraId="0AEED8D4"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2) Zulässig, wenn Glyphosat, </w:t>
      </w:r>
      <w:proofErr w:type="spellStart"/>
      <w:r w:rsidRPr="001F4995">
        <w:rPr>
          <w:rFonts w:ascii="Times New Roman" w:eastAsia="Times New Roman" w:hAnsi="Times New Roman" w:cs="Times New Roman"/>
          <w:sz w:val="16"/>
          <w:szCs w:val="16"/>
          <w:lang w:eastAsia="de-DE"/>
        </w:rPr>
        <w:t>Simazin</w:t>
      </w:r>
      <w:proofErr w:type="spellEnd"/>
      <w:r w:rsidRPr="001F4995">
        <w:rPr>
          <w:rFonts w:ascii="Times New Roman" w:eastAsia="Times New Roman" w:hAnsi="Times New Roman" w:cs="Times New Roman"/>
          <w:sz w:val="16"/>
          <w:szCs w:val="16"/>
          <w:lang w:eastAsia="de-DE"/>
        </w:rPr>
        <w:t xml:space="preserve">, sonstige Herbizide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4,0 µg/l und PAK</w:t>
      </w:r>
      <w:r w:rsidRPr="001F4995">
        <w:rPr>
          <w:rFonts w:ascii="Times New Roman" w:eastAsia="Times New Roman" w:hAnsi="Times New Roman" w:cs="Times New Roman"/>
          <w:sz w:val="16"/>
          <w:szCs w:val="16"/>
          <w:vertAlign w:val="subscript"/>
          <w:lang w:eastAsia="de-DE"/>
        </w:rPr>
        <w:t>15</w:t>
      </w:r>
      <w:r w:rsidRPr="001F4995">
        <w:rPr>
          <w:rFonts w:ascii="Times New Roman" w:eastAsia="Times New Roman" w:hAnsi="Times New Roman" w:cs="Times New Roman"/>
          <w:sz w:val="16"/>
          <w:szCs w:val="16"/>
          <w:lang w:eastAsia="de-DE"/>
        </w:rPr>
        <w:t xml:space="preserv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4,5 µg/l. </w:t>
      </w:r>
    </w:p>
    <w:p w14:paraId="08010540"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3) Zulässig, wenn Atrazin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2,2 µg/l, </w:t>
      </w:r>
      <w:proofErr w:type="spellStart"/>
      <w:r w:rsidRPr="001F4995">
        <w:rPr>
          <w:rFonts w:ascii="Times New Roman" w:eastAsia="Times New Roman" w:hAnsi="Times New Roman" w:cs="Times New Roman"/>
          <w:sz w:val="16"/>
          <w:szCs w:val="16"/>
          <w:lang w:eastAsia="de-DE"/>
        </w:rPr>
        <w:t>Bromacil</w:t>
      </w:r>
      <w:proofErr w:type="spellEnd"/>
      <w:r w:rsidRPr="001F4995">
        <w:rPr>
          <w:rFonts w:ascii="Times New Roman" w:eastAsia="Times New Roman" w:hAnsi="Times New Roman" w:cs="Times New Roman"/>
          <w:sz w:val="16"/>
          <w:szCs w:val="16"/>
          <w:lang w:eastAsia="de-DE"/>
        </w:rPr>
        <w:t xml:space="preserv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0,6 µg/l, </w:t>
      </w:r>
      <w:proofErr w:type="spellStart"/>
      <w:r w:rsidRPr="001F4995">
        <w:rPr>
          <w:rFonts w:ascii="Times New Roman" w:eastAsia="Times New Roman" w:hAnsi="Times New Roman" w:cs="Times New Roman"/>
          <w:sz w:val="16"/>
          <w:szCs w:val="16"/>
          <w:lang w:eastAsia="de-DE"/>
        </w:rPr>
        <w:t>Diuron</w:t>
      </w:r>
      <w:proofErr w:type="spellEnd"/>
      <w:r w:rsidRPr="001F4995">
        <w:rPr>
          <w:rFonts w:ascii="Times New Roman" w:eastAsia="Times New Roman" w:hAnsi="Times New Roman" w:cs="Times New Roman"/>
          <w:sz w:val="16"/>
          <w:szCs w:val="16"/>
          <w:lang w:eastAsia="de-DE"/>
        </w:rPr>
        <w:t xml:space="preserv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0,4 µg/l, AMPA,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5,2 µg/l, Glyphosat, </w:t>
      </w:r>
      <w:proofErr w:type="spellStart"/>
      <w:r w:rsidRPr="001F4995">
        <w:rPr>
          <w:rFonts w:ascii="Times New Roman" w:eastAsia="Times New Roman" w:hAnsi="Times New Roman" w:cs="Times New Roman"/>
          <w:sz w:val="16"/>
          <w:szCs w:val="16"/>
          <w:lang w:eastAsia="de-DE"/>
        </w:rPr>
        <w:t>Simazin</w:t>
      </w:r>
      <w:proofErr w:type="spellEnd"/>
      <w:r w:rsidRPr="001F4995">
        <w:rPr>
          <w:rFonts w:ascii="Times New Roman" w:eastAsia="Times New Roman" w:hAnsi="Times New Roman" w:cs="Times New Roman"/>
          <w:sz w:val="16"/>
          <w:szCs w:val="16"/>
          <w:lang w:eastAsia="de-DE"/>
        </w:rPr>
        <w:t xml:space="preserve">, sonstige Herbizide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4,0 µg/l und PAK</w:t>
      </w:r>
      <w:r w:rsidRPr="001F4995">
        <w:rPr>
          <w:rFonts w:ascii="Times New Roman" w:eastAsia="Times New Roman" w:hAnsi="Times New Roman" w:cs="Times New Roman"/>
          <w:sz w:val="16"/>
          <w:szCs w:val="16"/>
          <w:vertAlign w:val="subscript"/>
          <w:lang w:eastAsia="de-DE"/>
        </w:rPr>
        <w:t>15</w:t>
      </w:r>
      <w:r w:rsidRPr="001F4995">
        <w:rPr>
          <w:rFonts w:ascii="Times New Roman" w:eastAsia="Times New Roman" w:hAnsi="Times New Roman" w:cs="Times New Roman"/>
          <w:sz w:val="16"/>
          <w:szCs w:val="16"/>
          <w:lang w:eastAsia="de-DE"/>
        </w:rPr>
        <w:t xml:space="preserv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4,5 µg/l.</w:t>
      </w:r>
    </w:p>
    <w:p w14:paraId="2A332B20"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4) </w:t>
      </w:r>
      <w:proofErr w:type="gramStart"/>
      <w:r w:rsidRPr="001F4995">
        <w:rPr>
          <w:rFonts w:ascii="Times New Roman" w:eastAsia="Times New Roman" w:hAnsi="Times New Roman" w:cs="Times New Roman"/>
          <w:sz w:val="16"/>
          <w:szCs w:val="16"/>
          <w:lang w:eastAsia="de-DE"/>
        </w:rPr>
        <w:t>Zulässig</w:t>
      </w:r>
      <w:proofErr w:type="gramEnd"/>
      <w:r w:rsidRPr="001F4995">
        <w:rPr>
          <w:rFonts w:ascii="Times New Roman" w:eastAsia="Times New Roman" w:hAnsi="Times New Roman" w:cs="Times New Roman"/>
          <w:sz w:val="16"/>
          <w:szCs w:val="16"/>
          <w:lang w:eastAsia="de-DE"/>
        </w:rPr>
        <w:t xml:space="preserve"> wenn „K“, Glyphosat, </w:t>
      </w:r>
      <w:proofErr w:type="spellStart"/>
      <w:r w:rsidRPr="001F4995">
        <w:rPr>
          <w:rFonts w:ascii="Times New Roman" w:eastAsia="Times New Roman" w:hAnsi="Times New Roman" w:cs="Times New Roman"/>
          <w:sz w:val="16"/>
          <w:szCs w:val="16"/>
          <w:lang w:eastAsia="de-DE"/>
        </w:rPr>
        <w:t>Simazin</w:t>
      </w:r>
      <w:proofErr w:type="spellEnd"/>
      <w:r w:rsidRPr="001F4995">
        <w:rPr>
          <w:rFonts w:ascii="Times New Roman" w:eastAsia="Times New Roman" w:hAnsi="Times New Roman" w:cs="Times New Roman"/>
          <w:sz w:val="16"/>
          <w:szCs w:val="16"/>
          <w:lang w:eastAsia="de-DE"/>
        </w:rPr>
        <w:t xml:space="preserve">, sonstige Herbizide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4,0 µg/l und PAK</w:t>
      </w:r>
      <w:r w:rsidRPr="001F4995">
        <w:rPr>
          <w:rFonts w:ascii="Times New Roman" w:eastAsia="Times New Roman" w:hAnsi="Times New Roman" w:cs="Times New Roman"/>
          <w:sz w:val="16"/>
          <w:szCs w:val="16"/>
          <w:vertAlign w:val="subscript"/>
          <w:lang w:eastAsia="de-DE"/>
        </w:rPr>
        <w:t>15</w:t>
      </w:r>
      <w:r w:rsidRPr="001F4995">
        <w:rPr>
          <w:rFonts w:ascii="Times New Roman" w:eastAsia="Times New Roman" w:hAnsi="Times New Roman" w:cs="Times New Roman"/>
          <w:sz w:val="16"/>
          <w:szCs w:val="16"/>
          <w:lang w:eastAsia="de-DE"/>
        </w:rPr>
        <w:t xml:space="preserv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4,5 µg/l.</w:t>
      </w:r>
    </w:p>
    <w:p w14:paraId="080A35AB"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5) </w:t>
      </w:r>
      <w:proofErr w:type="gramStart"/>
      <w:r w:rsidRPr="001F4995">
        <w:rPr>
          <w:rFonts w:ascii="Times New Roman" w:eastAsia="Times New Roman" w:hAnsi="Times New Roman" w:cs="Times New Roman"/>
          <w:sz w:val="16"/>
          <w:szCs w:val="16"/>
          <w:lang w:eastAsia="de-DE"/>
        </w:rPr>
        <w:t>Zulässig</w:t>
      </w:r>
      <w:proofErr w:type="gramEnd"/>
      <w:r w:rsidRPr="001F4995">
        <w:rPr>
          <w:rFonts w:ascii="Times New Roman" w:eastAsia="Times New Roman" w:hAnsi="Times New Roman" w:cs="Times New Roman"/>
          <w:sz w:val="16"/>
          <w:szCs w:val="16"/>
          <w:lang w:eastAsia="de-DE"/>
        </w:rPr>
        <w:t xml:space="preserve"> wenn „M“, Atrazin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2,2 µg/l, </w:t>
      </w:r>
      <w:proofErr w:type="spellStart"/>
      <w:r w:rsidRPr="001F4995">
        <w:rPr>
          <w:rFonts w:ascii="Times New Roman" w:eastAsia="Times New Roman" w:hAnsi="Times New Roman" w:cs="Times New Roman"/>
          <w:sz w:val="16"/>
          <w:szCs w:val="16"/>
          <w:lang w:eastAsia="de-DE"/>
        </w:rPr>
        <w:t>Bromacil</w:t>
      </w:r>
      <w:proofErr w:type="spellEnd"/>
      <w:r w:rsidRPr="001F4995">
        <w:rPr>
          <w:rFonts w:ascii="Times New Roman" w:eastAsia="Times New Roman" w:hAnsi="Times New Roman" w:cs="Times New Roman"/>
          <w:sz w:val="16"/>
          <w:szCs w:val="16"/>
          <w:lang w:eastAsia="de-DE"/>
        </w:rPr>
        <w:t xml:space="preserv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0,7 µg/l, </w:t>
      </w:r>
      <w:proofErr w:type="spellStart"/>
      <w:r w:rsidRPr="001F4995">
        <w:rPr>
          <w:rFonts w:ascii="Times New Roman" w:eastAsia="Times New Roman" w:hAnsi="Times New Roman" w:cs="Times New Roman"/>
          <w:sz w:val="16"/>
          <w:szCs w:val="16"/>
          <w:lang w:eastAsia="de-DE"/>
        </w:rPr>
        <w:t>Diuron</w:t>
      </w:r>
      <w:proofErr w:type="spellEnd"/>
      <w:r w:rsidRPr="001F4995">
        <w:rPr>
          <w:rFonts w:ascii="Times New Roman" w:eastAsia="Times New Roman" w:hAnsi="Times New Roman" w:cs="Times New Roman"/>
          <w:sz w:val="16"/>
          <w:szCs w:val="16"/>
          <w:lang w:eastAsia="de-DE"/>
        </w:rPr>
        <w:t xml:space="preserv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0,5 µg/l, AMPA,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6,8 µg/l, Glyphosat, </w:t>
      </w:r>
      <w:proofErr w:type="spellStart"/>
      <w:r w:rsidRPr="001F4995">
        <w:rPr>
          <w:rFonts w:ascii="Times New Roman" w:eastAsia="Times New Roman" w:hAnsi="Times New Roman" w:cs="Times New Roman"/>
          <w:sz w:val="16"/>
          <w:szCs w:val="16"/>
          <w:lang w:eastAsia="de-DE"/>
        </w:rPr>
        <w:t>Simazin</w:t>
      </w:r>
      <w:proofErr w:type="spellEnd"/>
      <w:r w:rsidRPr="001F4995">
        <w:rPr>
          <w:rFonts w:ascii="Times New Roman" w:eastAsia="Times New Roman" w:hAnsi="Times New Roman" w:cs="Times New Roman"/>
          <w:sz w:val="16"/>
          <w:szCs w:val="16"/>
          <w:lang w:eastAsia="de-DE"/>
        </w:rPr>
        <w:t xml:space="preserve">, sonstige Herbizide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4,0 µg/l und PAK</w:t>
      </w:r>
      <w:r w:rsidRPr="001F4995">
        <w:rPr>
          <w:rFonts w:ascii="Times New Roman" w:eastAsia="Times New Roman" w:hAnsi="Times New Roman" w:cs="Times New Roman"/>
          <w:sz w:val="16"/>
          <w:szCs w:val="16"/>
          <w:vertAlign w:val="subscript"/>
          <w:lang w:eastAsia="de-DE"/>
        </w:rPr>
        <w:t>15</w:t>
      </w:r>
      <w:r w:rsidRPr="001F4995">
        <w:rPr>
          <w:rFonts w:ascii="Times New Roman" w:eastAsia="Times New Roman" w:hAnsi="Times New Roman" w:cs="Times New Roman"/>
          <w:sz w:val="16"/>
          <w:szCs w:val="16"/>
          <w:lang w:eastAsia="de-DE"/>
        </w:rPr>
        <w:t xml:space="preserv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4,5 µg/l.</w:t>
      </w:r>
    </w:p>
    <w:p w14:paraId="0EE677E8" w14:textId="18F07750" w:rsidR="001F4995" w:rsidRDefault="001F4995" w:rsidP="001F4995">
      <w:pPr>
        <w:pStyle w:val="berschrift1"/>
      </w:pPr>
      <w:r>
        <w:br w:type="page"/>
      </w:r>
      <w:r w:rsidRPr="008D0377">
        <w:lastRenderedPageBreak/>
        <w:t>Tabelle 12: Gleisschotter der Klasse 3 (GS-3)</w:t>
      </w:r>
    </w:p>
    <w:p w14:paraId="3A92A9E1" w14:textId="77777777" w:rsidR="001F4995" w:rsidRPr="001F4995" w:rsidRDefault="001F4995" w:rsidP="001F4995">
      <w:pPr>
        <w:keepNext/>
        <w:spacing w:before="0" w:after="200"/>
        <w:jc w:val="left"/>
        <w:rPr>
          <w:rFonts w:ascii="Times New Roman" w:eastAsia="Calibri" w:hAnsi="Times New Roman" w:cs="Times New Roman"/>
          <w:b/>
          <w:sz w:val="18"/>
          <w:szCs w:val="18"/>
        </w:rPr>
      </w:pPr>
    </w:p>
    <w:tbl>
      <w:tblPr>
        <w:tblW w:w="11032" w:type="dxa"/>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567"/>
        <w:gridCol w:w="715"/>
        <w:gridCol w:w="500"/>
        <w:gridCol w:w="715"/>
        <w:gridCol w:w="542"/>
        <w:gridCol w:w="715"/>
      </w:tblGrid>
      <w:tr w:rsidR="001F4995" w:rsidRPr="001F4995" w14:paraId="3E221D1D" w14:textId="77777777" w:rsidTr="001F4995">
        <w:trPr>
          <w:trHeight w:val="330"/>
        </w:trPr>
        <w:tc>
          <w:tcPr>
            <w:tcW w:w="11032" w:type="dxa"/>
            <w:gridSpan w:val="11"/>
            <w:noWrap/>
            <w:vAlign w:val="bottom"/>
          </w:tcPr>
          <w:p w14:paraId="278BED7A" w14:textId="77777777" w:rsidR="001F4995" w:rsidRPr="001F4995" w:rsidRDefault="001F4995" w:rsidP="001F4995">
            <w:pPr>
              <w:spacing w:before="0" w:after="0"/>
              <w:jc w:val="center"/>
              <w:rPr>
                <w:rFonts w:ascii="Times New Roman" w:eastAsia="Times New Roman" w:hAnsi="Times New Roman" w:cs="Times New Roman"/>
                <w:b/>
                <w:bCs/>
                <w:sz w:val="24"/>
                <w:szCs w:val="24"/>
                <w:lang w:eastAsia="de-DE"/>
              </w:rPr>
            </w:pP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t>Gleisschotter der Klasse 3 (GS-3)</w:t>
            </w:r>
          </w:p>
        </w:tc>
      </w:tr>
      <w:tr w:rsidR="001F4995" w:rsidRPr="001F4995" w14:paraId="4F51CA17" w14:textId="77777777" w:rsidTr="001F4995">
        <w:trPr>
          <w:trHeight w:val="20"/>
        </w:trPr>
        <w:tc>
          <w:tcPr>
            <w:tcW w:w="4683" w:type="dxa"/>
            <w:gridSpan w:val="2"/>
            <w:vMerge w:val="restart"/>
            <w:shd w:val="clear" w:color="auto" w:fill="auto"/>
            <w:noWrap/>
          </w:tcPr>
          <w:p w14:paraId="3DC3B96D"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Einbauweise</w:t>
            </w:r>
          </w:p>
        </w:tc>
        <w:tc>
          <w:tcPr>
            <w:tcW w:w="6349" w:type="dxa"/>
            <w:gridSpan w:val="9"/>
            <w:shd w:val="clear" w:color="auto" w:fill="auto"/>
            <w:noWrap/>
            <w:vAlign w:val="center"/>
          </w:tcPr>
          <w:p w14:paraId="18AD66E9"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Eigenschaft der Grundwasserdeckschicht</w:t>
            </w:r>
          </w:p>
        </w:tc>
      </w:tr>
      <w:tr w:rsidR="001F4995" w:rsidRPr="001F4995" w14:paraId="372D450E" w14:textId="77777777" w:rsidTr="001F4995">
        <w:trPr>
          <w:trHeight w:val="20"/>
        </w:trPr>
        <w:tc>
          <w:tcPr>
            <w:tcW w:w="4683" w:type="dxa"/>
            <w:gridSpan w:val="2"/>
            <w:vMerge/>
            <w:shd w:val="clear" w:color="auto" w:fill="auto"/>
            <w:noWrap/>
            <w:vAlign w:val="center"/>
          </w:tcPr>
          <w:p w14:paraId="0FC2BF35" w14:textId="77777777" w:rsidR="001F4995" w:rsidRPr="001F4995" w:rsidRDefault="001F4995" w:rsidP="001F4995">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3D2E087B"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außerhalb von</w:t>
            </w:r>
          </w:p>
          <w:p w14:paraId="2A082150"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c>
          <w:tcPr>
            <w:tcW w:w="3649" w:type="dxa"/>
            <w:gridSpan w:val="6"/>
            <w:shd w:val="clear" w:color="auto" w:fill="auto"/>
            <w:noWrap/>
            <w:vAlign w:val="center"/>
          </w:tcPr>
          <w:p w14:paraId="14F2D09C"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innerhalb von</w:t>
            </w:r>
          </w:p>
          <w:p w14:paraId="42399C48"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r>
      <w:tr w:rsidR="001F4995" w:rsidRPr="001F4995" w14:paraId="0D0E1FBE" w14:textId="77777777" w:rsidTr="001F4995">
        <w:trPr>
          <w:trHeight w:val="20"/>
        </w:trPr>
        <w:tc>
          <w:tcPr>
            <w:tcW w:w="4683" w:type="dxa"/>
            <w:gridSpan w:val="2"/>
            <w:vMerge/>
            <w:shd w:val="clear" w:color="auto" w:fill="auto"/>
            <w:noWrap/>
            <w:vAlign w:val="center"/>
          </w:tcPr>
          <w:p w14:paraId="5EBF0E3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62903B0D"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proofErr w:type="spellStart"/>
            <w:r w:rsidRPr="001F4995">
              <w:rPr>
                <w:rFonts w:ascii="Times New Roman" w:eastAsia="Times New Roman" w:hAnsi="Times New Roman" w:cs="Times New Roman"/>
                <w:sz w:val="20"/>
                <w:szCs w:val="20"/>
                <w:lang w:eastAsia="de-DE"/>
              </w:rPr>
              <w:t>un</w:t>
            </w:r>
            <w:proofErr w:type="spellEnd"/>
            <w:r w:rsidRPr="001F4995">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523645FA"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c>
          <w:tcPr>
            <w:tcW w:w="3649" w:type="dxa"/>
            <w:gridSpan w:val="6"/>
            <w:shd w:val="clear" w:color="auto" w:fill="auto"/>
            <w:noWrap/>
            <w:vAlign w:val="center"/>
          </w:tcPr>
          <w:p w14:paraId="07276303"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r>
      <w:tr w:rsidR="001F4995" w:rsidRPr="001F4995" w14:paraId="59867D55" w14:textId="77777777" w:rsidTr="001F4995">
        <w:trPr>
          <w:trHeight w:val="20"/>
        </w:trPr>
        <w:tc>
          <w:tcPr>
            <w:tcW w:w="4683" w:type="dxa"/>
            <w:gridSpan w:val="2"/>
            <w:vMerge/>
            <w:shd w:val="clear" w:color="auto" w:fill="auto"/>
            <w:noWrap/>
            <w:vAlign w:val="center"/>
          </w:tcPr>
          <w:p w14:paraId="71E4719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63E6CF8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28B52D7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499DEE85" w14:textId="7616A10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4AD43850" w14:textId="5D2C8300"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4A81204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1237" w:type="dxa"/>
            <w:gridSpan w:val="2"/>
            <w:shd w:val="clear" w:color="auto" w:fill="auto"/>
            <w:noWrap/>
            <w:vAlign w:val="center"/>
          </w:tcPr>
          <w:p w14:paraId="56C09EC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3699429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B</w:t>
            </w:r>
          </w:p>
        </w:tc>
        <w:tc>
          <w:tcPr>
            <w:tcW w:w="1242" w:type="dxa"/>
            <w:gridSpan w:val="2"/>
            <w:shd w:val="clear" w:color="auto" w:fill="auto"/>
            <w:noWrap/>
            <w:vAlign w:val="center"/>
          </w:tcPr>
          <w:p w14:paraId="309B869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Wasservor-</w:t>
            </w:r>
          </w:p>
        </w:tc>
      </w:tr>
      <w:tr w:rsidR="001F4995" w:rsidRPr="001F4995" w14:paraId="5613DCE2" w14:textId="77777777" w:rsidTr="001F4995">
        <w:trPr>
          <w:trHeight w:val="80"/>
        </w:trPr>
        <w:tc>
          <w:tcPr>
            <w:tcW w:w="4683" w:type="dxa"/>
            <w:gridSpan w:val="2"/>
            <w:vMerge/>
            <w:shd w:val="clear" w:color="auto" w:fill="auto"/>
            <w:noWrap/>
            <w:vAlign w:val="center"/>
          </w:tcPr>
          <w:p w14:paraId="17830E1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19C0EEB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1991975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0168212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237" w:type="dxa"/>
            <w:gridSpan w:val="2"/>
            <w:shd w:val="clear" w:color="auto" w:fill="auto"/>
            <w:noWrap/>
            <w:vAlign w:val="center"/>
          </w:tcPr>
          <w:p w14:paraId="12CBA2C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2930006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IV</w:t>
            </w:r>
          </w:p>
        </w:tc>
        <w:tc>
          <w:tcPr>
            <w:tcW w:w="1242" w:type="dxa"/>
            <w:gridSpan w:val="2"/>
            <w:shd w:val="clear" w:color="auto" w:fill="auto"/>
            <w:noWrap/>
            <w:vAlign w:val="center"/>
          </w:tcPr>
          <w:p w14:paraId="318BAA5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ranggebiete</w:t>
            </w:r>
          </w:p>
        </w:tc>
      </w:tr>
      <w:tr w:rsidR="001F4995" w:rsidRPr="001F4995" w14:paraId="3C7C9C32" w14:textId="77777777" w:rsidTr="001F4995">
        <w:trPr>
          <w:trHeight w:val="80"/>
        </w:trPr>
        <w:tc>
          <w:tcPr>
            <w:tcW w:w="4683" w:type="dxa"/>
            <w:gridSpan w:val="2"/>
            <w:vMerge/>
            <w:shd w:val="clear" w:color="auto" w:fill="auto"/>
            <w:noWrap/>
            <w:vAlign w:val="center"/>
          </w:tcPr>
          <w:p w14:paraId="530DAE8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4EEDE3F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174F299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52FA40F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567" w:type="dxa"/>
            <w:shd w:val="clear" w:color="auto" w:fill="auto"/>
            <w:noWrap/>
            <w:vAlign w:val="center"/>
          </w:tcPr>
          <w:p w14:paraId="659A504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6C061E10" w14:textId="0FAA81C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41BC3217" w14:textId="1B415C8D"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6BDA73F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369EF1B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0AABDB6A" w14:textId="35885BF9"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7E0D347E" w14:textId="4B3D35A0"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5BA3AE7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3168422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700" w:type="dxa"/>
            <w:shd w:val="clear" w:color="auto" w:fill="auto"/>
            <w:vAlign w:val="center"/>
          </w:tcPr>
          <w:p w14:paraId="07BF8E5E" w14:textId="063F109F"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5AC573B4" w14:textId="3C6D60E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63F4AC2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r>
      <w:tr w:rsidR="001F4995" w:rsidRPr="001F4995" w14:paraId="221D911C" w14:textId="77777777" w:rsidTr="001F4995">
        <w:trPr>
          <w:trHeight w:val="111"/>
        </w:trPr>
        <w:tc>
          <w:tcPr>
            <w:tcW w:w="4683" w:type="dxa"/>
            <w:gridSpan w:val="2"/>
            <w:vMerge/>
            <w:shd w:val="clear" w:color="auto" w:fill="auto"/>
            <w:noWrap/>
            <w:vAlign w:val="center"/>
          </w:tcPr>
          <w:p w14:paraId="1381101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5952373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w:t>
            </w:r>
          </w:p>
        </w:tc>
        <w:tc>
          <w:tcPr>
            <w:tcW w:w="664" w:type="dxa"/>
            <w:shd w:val="clear" w:color="auto" w:fill="auto"/>
            <w:noWrap/>
            <w:vAlign w:val="center"/>
          </w:tcPr>
          <w:p w14:paraId="421D070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2</w:t>
            </w:r>
          </w:p>
        </w:tc>
        <w:tc>
          <w:tcPr>
            <w:tcW w:w="1185" w:type="dxa"/>
            <w:shd w:val="clear" w:color="auto" w:fill="auto"/>
            <w:noWrap/>
            <w:vAlign w:val="center"/>
          </w:tcPr>
          <w:p w14:paraId="6EA4884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3</w:t>
            </w:r>
          </w:p>
        </w:tc>
        <w:tc>
          <w:tcPr>
            <w:tcW w:w="1237" w:type="dxa"/>
            <w:gridSpan w:val="2"/>
            <w:shd w:val="clear" w:color="auto" w:fill="auto"/>
            <w:noWrap/>
            <w:vAlign w:val="center"/>
          </w:tcPr>
          <w:p w14:paraId="390C6CE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2CBB79D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5</w:t>
            </w:r>
          </w:p>
        </w:tc>
        <w:tc>
          <w:tcPr>
            <w:tcW w:w="1242" w:type="dxa"/>
            <w:gridSpan w:val="2"/>
            <w:shd w:val="clear" w:color="auto" w:fill="auto"/>
            <w:noWrap/>
            <w:vAlign w:val="center"/>
          </w:tcPr>
          <w:p w14:paraId="2F3F153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6</w:t>
            </w:r>
          </w:p>
        </w:tc>
      </w:tr>
      <w:tr w:rsidR="001F4995" w:rsidRPr="001F4995" w14:paraId="187FB4A0" w14:textId="77777777" w:rsidTr="001F4995">
        <w:trPr>
          <w:trHeight w:val="20"/>
        </w:trPr>
        <w:tc>
          <w:tcPr>
            <w:tcW w:w="469" w:type="dxa"/>
            <w:shd w:val="clear" w:color="auto" w:fill="auto"/>
            <w:noWrap/>
          </w:tcPr>
          <w:p w14:paraId="6354A68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w:t>
            </w:r>
          </w:p>
        </w:tc>
        <w:tc>
          <w:tcPr>
            <w:tcW w:w="4214" w:type="dxa"/>
            <w:shd w:val="clear" w:color="auto" w:fill="FFFFFF"/>
          </w:tcPr>
          <w:p w14:paraId="418479B5"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123DDC3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A36CE9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39FC30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shd w:val="clear" w:color="auto" w:fill="auto"/>
            <w:noWrap/>
            <w:vAlign w:val="center"/>
          </w:tcPr>
          <w:p w14:paraId="3308E2E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6F5236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355B6FA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FD6EF5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43A8099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vAlign w:val="center"/>
          </w:tcPr>
          <w:p w14:paraId="20848F7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599FDE5" w14:textId="77777777" w:rsidTr="001F4995">
        <w:trPr>
          <w:trHeight w:val="20"/>
        </w:trPr>
        <w:tc>
          <w:tcPr>
            <w:tcW w:w="469" w:type="dxa"/>
            <w:shd w:val="clear" w:color="auto" w:fill="auto"/>
            <w:noWrap/>
          </w:tcPr>
          <w:p w14:paraId="7641180B"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2</w:t>
            </w:r>
          </w:p>
        </w:tc>
        <w:tc>
          <w:tcPr>
            <w:tcW w:w="4214" w:type="dxa"/>
            <w:shd w:val="clear" w:color="auto" w:fill="FFFFFF"/>
          </w:tcPr>
          <w:p w14:paraId="3A44477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6877A36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0C3D50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3D0FD2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038CD28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C756D9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FF93C6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78FF8E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594C0DC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vAlign w:val="center"/>
          </w:tcPr>
          <w:p w14:paraId="55B8978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2114047" w14:textId="77777777" w:rsidTr="001F4995">
        <w:trPr>
          <w:trHeight w:val="20"/>
        </w:trPr>
        <w:tc>
          <w:tcPr>
            <w:tcW w:w="469" w:type="dxa"/>
            <w:shd w:val="clear" w:color="auto" w:fill="auto"/>
            <w:noWrap/>
          </w:tcPr>
          <w:p w14:paraId="1FAE0A97"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3</w:t>
            </w:r>
          </w:p>
        </w:tc>
        <w:tc>
          <w:tcPr>
            <w:tcW w:w="4214" w:type="dxa"/>
            <w:shd w:val="clear" w:color="auto" w:fill="FFFFFF"/>
          </w:tcPr>
          <w:p w14:paraId="72D918D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0D9C10E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742664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95AC09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799BDC1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B5739C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C50052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4E145E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143D8B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vAlign w:val="center"/>
          </w:tcPr>
          <w:p w14:paraId="22DD624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603E933" w14:textId="77777777" w:rsidTr="001F4995">
        <w:trPr>
          <w:trHeight w:val="20"/>
        </w:trPr>
        <w:tc>
          <w:tcPr>
            <w:tcW w:w="469" w:type="dxa"/>
            <w:shd w:val="clear" w:color="auto" w:fill="auto"/>
            <w:noWrap/>
          </w:tcPr>
          <w:p w14:paraId="0ADB9F07"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4</w:t>
            </w:r>
          </w:p>
        </w:tc>
        <w:tc>
          <w:tcPr>
            <w:tcW w:w="4214" w:type="dxa"/>
            <w:shd w:val="clear" w:color="auto" w:fill="FFFFFF"/>
          </w:tcPr>
          <w:p w14:paraId="2670865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45DF12B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9DE84F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89EA3B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48FA48C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4C6590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852228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2029B3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4909331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vAlign w:val="center"/>
          </w:tcPr>
          <w:p w14:paraId="00FAF13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BC3D607" w14:textId="77777777" w:rsidTr="001F4995">
        <w:trPr>
          <w:trHeight w:val="20"/>
        </w:trPr>
        <w:tc>
          <w:tcPr>
            <w:tcW w:w="469" w:type="dxa"/>
            <w:shd w:val="clear" w:color="auto" w:fill="auto"/>
            <w:noWrap/>
          </w:tcPr>
          <w:p w14:paraId="4F1621CB"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5</w:t>
            </w:r>
          </w:p>
        </w:tc>
        <w:tc>
          <w:tcPr>
            <w:tcW w:w="4214" w:type="dxa"/>
            <w:shd w:val="clear" w:color="auto" w:fill="FFFFFF"/>
          </w:tcPr>
          <w:p w14:paraId="1F1B4D0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7565D42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E8A117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1CC44B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4474F57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5F9160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FCE7E1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FC8A5C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F8D9B1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vAlign w:val="center"/>
          </w:tcPr>
          <w:p w14:paraId="46829CB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5738FE2" w14:textId="77777777" w:rsidTr="001F4995">
        <w:trPr>
          <w:trHeight w:val="20"/>
        </w:trPr>
        <w:tc>
          <w:tcPr>
            <w:tcW w:w="469" w:type="dxa"/>
            <w:shd w:val="clear" w:color="auto" w:fill="auto"/>
            <w:noWrap/>
          </w:tcPr>
          <w:p w14:paraId="42F69C71"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6</w:t>
            </w:r>
          </w:p>
        </w:tc>
        <w:tc>
          <w:tcPr>
            <w:tcW w:w="4214" w:type="dxa"/>
            <w:shd w:val="clear" w:color="auto" w:fill="FFFFFF"/>
          </w:tcPr>
          <w:p w14:paraId="09DC62FC"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66CE1F6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C97CC0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67AC39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1EAE67A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3CB257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3684D9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375AF7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24DA1E2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vAlign w:val="center"/>
          </w:tcPr>
          <w:p w14:paraId="5EC2E2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9E7A346" w14:textId="77777777" w:rsidTr="001F4995">
        <w:trPr>
          <w:trHeight w:val="20"/>
        </w:trPr>
        <w:tc>
          <w:tcPr>
            <w:tcW w:w="469" w:type="dxa"/>
            <w:shd w:val="clear" w:color="auto" w:fill="auto"/>
            <w:noWrap/>
          </w:tcPr>
          <w:p w14:paraId="6D63B979"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7</w:t>
            </w:r>
          </w:p>
        </w:tc>
        <w:tc>
          <w:tcPr>
            <w:tcW w:w="4214" w:type="dxa"/>
            <w:shd w:val="clear" w:color="auto" w:fill="FFFFFF"/>
          </w:tcPr>
          <w:p w14:paraId="25CF583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Schottertragschicht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1E77CFD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56CEB6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E8FC42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1C640D9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56B21F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A02EA1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CDAE9F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154D92E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vAlign w:val="center"/>
          </w:tcPr>
          <w:p w14:paraId="5C086A6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8C614EF" w14:textId="77777777" w:rsidTr="001F4995">
        <w:trPr>
          <w:trHeight w:val="20"/>
        </w:trPr>
        <w:tc>
          <w:tcPr>
            <w:tcW w:w="469" w:type="dxa"/>
            <w:shd w:val="clear" w:color="auto" w:fill="auto"/>
            <w:noWrap/>
          </w:tcPr>
          <w:p w14:paraId="566F9FC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8</w:t>
            </w:r>
          </w:p>
        </w:tc>
        <w:tc>
          <w:tcPr>
            <w:tcW w:w="4214" w:type="dxa"/>
            <w:shd w:val="clear" w:color="auto" w:fill="FFFFFF"/>
          </w:tcPr>
          <w:p w14:paraId="1352607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Frostschutzschicht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w:t>
            </w:r>
            <w:r w:rsidRPr="001F4995" w:rsidDel="006C46D7">
              <w:rPr>
                <w:rFonts w:ascii="Times New Roman" w:eastAsia="Times New Roman" w:hAnsi="Times New Roman" w:cs="Times New Roman"/>
                <w:sz w:val="18"/>
                <w:szCs w:val="18"/>
                <w:lang w:eastAsia="de-DE"/>
              </w:rPr>
              <w:t xml:space="preserve"> </w:t>
            </w:r>
            <w:r w:rsidRPr="001F4995">
              <w:rPr>
                <w:rFonts w:ascii="Times New Roman" w:eastAsia="Times New Roman" w:hAnsi="Times New Roman" w:cs="Times New Roman"/>
                <w:sz w:val="18"/>
                <w:szCs w:val="18"/>
                <w:lang w:eastAsia="de-DE"/>
              </w:rPr>
              <w:t xml:space="preserve">und Unterbau bis 1 m ab Planum jeweils unter gebundener Deckschicht </w:t>
            </w:r>
          </w:p>
        </w:tc>
        <w:tc>
          <w:tcPr>
            <w:tcW w:w="851" w:type="dxa"/>
            <w:noWrap/>
            <w:vAlign w:val="center"/>
          </w:tcPr>
          <w:p w14:paraId="5A4BFC7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0213A6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5CA14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567" w:type="dxa"/>
            <w:noWrap/>
            <w:vAlign w:val="center"/>
          </w:tcPr>
          <w:p w14:paraId="347C7EF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720A12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9D2341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0024828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13AFAB9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vAlign w:val="center"/>
          </w:tcPr>
          <w:p w14:paraId="55577F9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r>
      <w:tr w:rsidR="001F4995" w:rsidRPr="001F4995" w14:paraId="52C70151" w14:textId="77777777" w:rsidTr="001F4995">
        <w:trPr>
          <w:trHeight w:val="20"/>
        </w:trPr>
        <w:tc>
          <w:tcPr>
            <w:tcW w:w="469" w:type="dxa"/>
            <w:shd w:val="clear" w:color="auto" w:fill="auto"/>
            <w:noWrap/>
          </w:tcPr>
          <w:p w14:paraId="021DDB6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9</w:t>
            </w:r>
          </w:p>
        </w:tc>
        <w:tc>
          <w:tcPr>
            <w:tcW w:w="4214" w:type="dxa"/>
            <w:shd w:val="clear" w:color="auto" w:fill="FFFFFF"/>
          </w:tcPr>
          <w:p w14:paraId="4E7702A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Dämme oder Wälle gemäß Bauweisen A-D nach MTSE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46AE247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1B947D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C04CFF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3FAA91D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DAABD6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A30E46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70B6D79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3178F6E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vAlign w:val="center"/>
          </w:tcPr>
          <w:p w14:paraId="08A5916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A8BCDE4" w14:textId="77777777" w:rsidTr="001F4995">
        <w:trPr>
          <w:trHeight w:val="20"/>
        </w:trPr>
        <w:tc>
          <w:tcPr>
            <w:tcW w:w="469" w:type="dxa"/>
            <w:shd w:val="clear" w:color="auto" w:fill="auto"/>
            <w:noWrap/>
          </w:tcPr>
          <w:p w14:paraId="378A5A6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10</w:t>
            </w:r>
          </w:p>
        </w:tc>
        <w:tc>
          <w:tcPr>
            <w:tcW w:w="4214" w:type="dxa"/>
            <w:shd w:val="clear" w:color="auto" w:fill="FFFFFF"/>
          </w:tcPr>
          <w:p w14:paraId="51BB741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1F62740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F0ABF5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A5B0AF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11BFFBC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D2A993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643EAD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6694B4C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71E860D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vAlign w:val="center"/>
          </w:tcPr>
          <w:p w14:paraId="7AD78EB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A17286C" w14:textId="77777777" w:rsidTr="001F4995">
        <w:trPr>
          <w:trHeight w:val="20"/>
        </w:trPr>
        <w:tc>
          <w:tcPr>
            <w:tcW w:w="469" w:type="dxa"/>
            <w:shd w:val="clear" w:color="auto" w:fill="auto"/>
            <w:noWrap/>
          </w:tcPr>
          <w:p w14:paraId="20666697"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11</w:t>
            </w:r>
          </w:p>
        </w:tc>
        <w:tc>
          <w:tcPr>
            <w:tcW w:w="4214" w:type="dxa"/>
            <w:shd w:val="clear" w:color="auto" w:fill="FFFFFF"/>
          </w:tcPr>
          <w:p w14:paraId="137A82A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5DF210C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A7BC97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9ED96A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5AB9612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4D00E6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CC4351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5E369B3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6FEE36B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vAlign w:val="center"/>
          </w:tcPr>
          <w:p w14:paraId="20B7111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101C59C" w14:textId="77777777" w:rsidTr="001F4995">
        <w:trPr>
          <w:trHeight w:val="20"/>
        </w:trPr>
        <w:tc>
          <w:tcPr>
            <w:tcW w:w="469" w:type="dxa"/>
            <w:shd w:val="clear" w:color="auto" w:fill="auto"/>
            <w:noWrap/>
          </w:tcPr>
          <w:p w14:paraId="5576904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12</w:t>
            </w:r>
          </w:p>
        </w:tc>
        <w:tc>
          <w:tcPr>
            <w:tcW w:w="4214" w:type="dxa"/>
            <w:shd w:val="clear" w:color="auto" w:fill="FFFFFF"/>
          </w:tcPr>
          <w:p w14:paraId="4088B8F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Deckschicht ohne Bindemittel</w:t>
            </w:r>
          </w:p>
        </w:tc>
        <w:tc>
          <w:tcPr>
            <w:tcW w:w="851" w:type="dxa"/>
            <w:noWrap/>
            <w:vAlign w:val="center"/>
          </w:tcPr>
          <w:p w14:paraId="582DEEF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53676B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576232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602F579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341616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E4282C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68A1299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09C5A9B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vAlign w:val="center"/>
          </w:tcPr>
          <w:p w14:paraId="7F0D018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0FA882B" w14:textId="77777777" w:rsidTr="001F4995">
        <w:trPr>
          <w:trHeight w:val="20"/>
        </w:trPr>
        <w:tc>
          <w:tcPr>
            <w:tcW w:w="469" w:type="dxa"/>
            <w:shd w:val="clear" w:color="auto" w:fill="auto"/>
            <w:noWrap/>
          </w:tcPr>
          <w:p w14:paraId="2C06B27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13</w:t>
            </w:r>
          </w:p>
        </w:tc>
        <w:tc>
          <w:tcPr>
            <w:tcW w:w="4214" w:type="dxa"/>
            <w:shd w:val="clear" w:color="auto" w:fill="FFFFFF"/>
          </w:tcPr>
          <w:p w14:paraId="17FA1D7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7148E63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4B5E97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1C92C8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3DBF064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460783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3F1503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3BA0281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0A2E3AA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vAlign w:val="center"/>
          </w:tcPr>
          <w:p w14:paraId="2A8D7CD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9F3493A" w14:textId="77777777" w:rsidTr="001F4995">
        <w:trPr>
          <w:trHeight w:val="20"/>
        </w:trPr>
        <w:tc>
          <w:tcPr>
            <w:tcW w:w="469" w:type="dxa"/>
            <w:shd w:val="clear" w:color="auto" w:fill="auto"/>
            <w:noWrap/>
          </w:tcPr>
          <w:p w14:paraId="7646811B"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14</w:t>
            </w:r>
          </w:p>
        </w:tc>
        <w:tc>
          <w:tcPr>
            <w:tcW w:w="4214" w:type="dxa"/>
            <w:shd w:val="clear" w:color="auto" w:fill="FFFFFF"/>
          </w:tcPr>
          <w:p w14:paraId="09D3DE73"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Plattenbelägen</w:t>
            </w:r>
          </w:p>
        </w:tc>
        <w:tc>
          <w:tcPr>
            <w:tcW w:w="851" w:type="dxa"/>
            <w:noWrap/>
            <w:vAlign w:val="center"/>
          </w:tcPr>
          <w:p w14:paraId="20099C2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BB8246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258C7D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32F7C08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5A1B5B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7C4E99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284179C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72EA9FA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vAlign w:val="center"/>
          </w:tcPr>
          <w:p w14:paraId="2DFC0FB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1324B03" w14:textId="77777777" w:rsidTr="001F4995">
        <w:trPr>
          <w:trHeight w:val="20"/>
        </w:trPr>
        <w:tc>
          <w:tcPr>
            <w:tcW w:w="469" w:type="dxa"/>
            <w:shd w:val="clear" w:color="auto" w:fill="auto"/>
            <w:noWrap/>
          </w:tcPr>
          <w:p w14:paraId="454D11E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15</w:t>
            </w:r>
          </w:p>
        </w:tc>
        <w:tc>
          <w:tcPr>
            <w:tcW w:w="4214" w:type="dxa"/>
            <w:shd w:val="clear" w:color="auto" w:fill="FFFFFF"/>
          </w:tcPr>
          <w:p w14:paraId="38B5CBD3"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31593AD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73408A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23BC1E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3989DA3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8842A2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1529F7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59BB9A9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0D25E22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vAlign w:val="center"/>
          </w:tcPr>
          <w:p w14:paraId="0161D4E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84ED3BB" w14:textId="77777777" w:rsidTr="001F4995">
        <w:trPr>
          <w:trHeight w:val="20"/>
        </w:trPr>
        <w:tc>
          <w:tcPr>
            <w:tcW w:w="469" w:type="dxa"/>
            <w:shd w:val="clear" w:color="auto" w:fill="auto"/>
            <w:noWrap/>
          </w:tcPr>
          <w:p w14:paraId="21746D7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16</w:t>
            </w:r>
          </w:p>
        </w:tc>
        <w:tc>
          <w:tcPr>
            <w:tcW w:w="4214" w:type="dxa"/>
            <w:shd w:val="clear" w:color="auto" w:fill="FFFFFF"/>
          </w:tcPr>
          <w:p w14:paraId="0A971B4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61FE036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8D4E2F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A12FDF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567" w:type="dxa"/>
            <w:noWrap/>
            <w:vAlign w:val="center"/>
          </w:tcPr>
          <w:p w14:paraId="55A67C7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F02E6B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D598E0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b/>
                <w:sz w:val="24"/>
                <w:szCs w:val="24"/>
                <w:vertAlign w:val="superscript"/>
                <w:lang w:eastAsia="de-DE"/>
              </w:rPr>
              <w:t>-</w:t>
            </w:r>
          </w:p>
        </w:tc>
        <w:tc>
          <w:tcPr>
            <w:tcW w:w="670" w:type="dxa"/>
            <w:shd w:val="clear" w:color="auto" w:fill="FFFFFF"/>
            <w:vAlign w:val="center"/>
          </w:tcPr>
          <w:p w14:paraId="4FAAD8D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684DADA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vAlign w:val="center"/>
          </w:tcPr>
          <w:p w14:paraId="070CFCE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r>
      <w:tr w:rsidR="001F4995" w:rsidRPr="001F4995" w14:paraId="764E2CED" w14:textId="77777777" w:rsidTr="001F4995">
        <w:trPr>
          <w:trHeight w:val="208"/>
        </w:trPr>
        <w:tc>
          <w:tcPr>
            <w:tcW w:w="469" w:type="dxa"/>
            <w:shd w:val="clear" w:color="auto" w:fill="auto"/>
            <w:noWrap/>
          </w:tcPr>
          <w:p w14:paraId="231D6E0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17</w:t>
            </w:r>
          </w:p>
        </w:tc>
        <w:tc>
          <w:tcPr>
            <w:tcW w:w="4214" w:type="dxa"/>
            <w:shd w:val="clear" w:color="auto" w:fill="FFFFFF"/>
          </w:tcPr>
          <w:p w14:paraId="3B13964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79790C6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3DE2A8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D1360B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1B72A2E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7E1328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55CCD2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4437E02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2EA044B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vAlign w:val="center"/>
          </w:tcPr>
          <w:p w14:paraId="5577F71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bl>
    <w:p w14:paraId="301E7390"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1) Zulässig, wenn AMPA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34 µg/l, Atrazin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12 µg/l, </w:t>
      </w:r>
      <w:proofErr w:type="spellStart"/>
      <w:r w:rsidRPr="001F4995">
        <w:rPr>
          <w:rFonts w:ascii="Times New Roman" w:eastAsia="Times New Roman" w:hAnsi="Times New Roman" w:cs="Times New Roman"/>
          <w:sz w:val="16"/>
          <w:szCs w:val="16"/>
          <w:lang w:eastAsia="de-DE"/>
        </w:rPr>
        <w:t>Bromacil</w:t>
      </w:r>
      <w:proofErr w:type="spellEnd"/>
      <w:r w:rsidRPr="001F4995">
        <w:rPr>
          <w:rFonts w:ascii="Times New Roman" w:eastAsia="Times New Roman" w:hAnsi="Times New Roman" w:cs="Times New Roman"/>
          <w:sz w:val="16"/>
          <w:szCs w:val="16"/>
          <w:lang w:eastAsia="de-DE"/>
        </w:rPr>
        <w:t xml:space="preserv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3,7 µg/l und </w:t>
      </w:r>
      <w:proofErr w:type="spellStart"/>
      <w:r w:rsidRPr="001F4995">
        <w:rPr>
          <w:rFonts w:ascii="Times New Roman" w:eastAsia="Times New Roman" w:hAnsi="Times New Roman" w:cs="Times New Roman"/>
          <w:sz w:val="16"/>
          <w:szCs w:val="16"/>
          <w:lang w:eastAsia="de-DE"/>
        </w:rPr>
        <w:t>Diuron</w:t>
      </w:r>
      <w:proofErr w:type="spellEnd"/>
      <w:r w:rsidRPr="001F4995">
        <w:rPr>
          <w:rFonts w:ascii="Times New Roman" w:eastAsia="Times New Roman" w:hAnsi="Times New Roman" w:cs="Times New Roman"/>
          <w:sz w:val="16"/>
          <w:szCs w:val="16"/>
          <w:lang w:eastAsia="de-DE"/>
        </w:rPr>
        <w:t xml:space="preserv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2,6 µg/l.</w:t>
      </w:r>
    </w:p>
    <w:p w14:paraId="1B4431B5" w14:textId="77777777" w:rsid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2) </w:t>
      </w:r>
      <w:proofErr w:type="gramStart"/>
      <w:r w:rsidRPr="001F4995">
        <w:rPr>
          <w:rFonts w:ascii="Times New Roman" w:eastAsia="Times New Roman" w:hAnsi="Times New Roman" w:cs="Times New Roman"/>
          <w:sz w:val="16"/>
          <w:szCs w:val="16"/>
          <w:lang w:eastAsia="de-DE"/>
        </w:rPr>
        <w:t>Zulässig</w:t>
      </w:r>
      <w:proofErr w:type="gramEnd"/>
      <w:r w:rsidRPr="001F4995">
        <w:rPr>
          <w:rFonts w:ascii="Times New Roman" w:eastAsia="Times New Roman" w:hAnsi="Times New Roman" w:cs="Times New Roman"/>
          <w:sz w:val="16"/>
          <w:szCs w:val="16"/>
          <w:lang w:eastAsia="de-DE"/>
        </w:rPr>
        <w:t xml:space="preserve"> wenn „K“, AMPA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31 µg/l, </w:t>
      </w:r>
      <w:proofErr w:type="spellStart"/>
      <w:r w:rsidRPr="001F4995">
        <w:rPr>
          <w:rFonts w:ascii="Times New Roman" w:eastAsia="Times New Roman" w:hAnsi="Times New Roman" w:cs="Times New Roman"/>
          <w:sz w:val="16"/>
          <w:szCs w:val="16"/>
          <w:lang w:eastAsia="de-DE"/>
        </w:rPr>
        <w:t>Bromacil</w:t>
      </w:r>
      <w:proofErr w:type="spellEnd"/>
      <w:r w:rsidRPr="001F4995">
        <w:rPr>
          <w:rFonts w:ascii="Times New Roman" w:eastAsia="Times New Roman" w:hAnsi="Times New Roman" w:cs="Times New Roman"/>
          <w:sz w:val="16"/>
          <w:szCs w:val="16"/>
          <w:lang w:eastAsia="de-DE"/>
        </w:rPr>
        <w:t xml:space="preserv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3,9 µg/l und </w:t>
      </w:r>
      <w:proofErr w:type="spellStart"/>
      <w:r w:rsidRPr="001F4995">
        <w:rPr>
          <w:rFonts w:ascii="Times New Roman" w:eastAsia="Times New Roman" w:hAnsi="Times New Roman" w:cs="Times New Roman"/>
          <w:sz w:val="16"/>
          <w:szCs w:val="16"/>
          <w:lang w:eastAsia="de-DE"/>
        </w:rPr>
        <w:t>Diuron</w:t>
      </w:r>
      <w:proofErr w:type="spellEnd"/>
      <w:r w:rsidRPr="001F4995">
        <w:rPr>
          <w:rFonts w:ascii="Times New Roman" w:eastAsia="Times New Roman" w:hAnsi="Times New Roman" w:cs="Times New Roman"/>
          <w:sz w:val="16"/>
          <w:szCs w:val="16"/>
          <w:lang w:eastAsia="de-DE"/>
        </w:rPr>
        <w:t xml:space="preserve">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3,2 µg/l.</w:t>
      </w:r>
    </w:p>
    <w:p w14:paraId="34120C87" w14:textId="5C1DF56D" w:rsidR="001F4995" w:rsidRPr="001F4995" w:rsidRDefault="001F4995" w:rsidP="001F4995">
      <w:pPr>
        <w:pStyle w:val="berschrift1"/>
      </w:pPr>
      <w:r>
        <w:rPr>
          <w:lang w:eastAsia="de-DE"/>
        </w:rPr>
        <w:br w:type="page"/>
      </w:r>
      <w:bookmarkStart w:id="44" w:name="_Toc30749702"/>
      <w:r w:rsidRPr="008D0377">
        <w:lastRenderedPageBreak/>
        <w:t>Tabelle 13: Hochofenstückschlacke der Klasse 1 (HOS-1)</w:t>
      </w:r>
    </w:p>
    <w:bookmarkEnd w:id="44"/>
    <w:p w14:paraId="33775409" w14:textId="77777777" w:rsidR="001F4995" w:rsidRPr="001F4995" w:rsidRDefault="001F4995" w:rsidP="001F4995">
      <w:pPr>
        <w:keepNext/>
        <w:spacing w:before="0" w:after="200"/>
        <w:jc w:val="left"/>
        <w:rPr>
          <w:rFonts w:ascii="Times New Roman" w:eastAsia="Calibri" w:hAnsi="Times New Roman" w:cs="Times New Roman"/>
          <w:b/>
          <w:sz w:val="18"/>
          <w:szCs w:val="18"/>
        </w:rPr>
      </w:pPr>
    </w:p>
    <w:tbl>
      <w:tblPr>
        <w:tblW w:w="11042" w:type="dxa"/>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607"/>
        <w:gridCol w:w="715"/>
        <w:gridCol w:w="500"/>
        <w:gridCol w:w="715"/>
        <w:gridCol w:w="542"/>
        <w:gridCol w:w="715"/>
      </w:tblGrid>
      <w:tr w:rsidR="001F4995" w:rsidRPr="001F4995" w14:paraId="37ABC86A" w14:textId="77777777" w:rsidTr="001F4995">
        <w:trPr>
          <w:trHeight w:val="330"/>
        </w:trPr>
        <w:tc>
          <w:tcPr>
            <w:tcW w:w="11042" w:type="dxa"/>
            <w:gridSpan w:val="11"/>
            <w:noWrap/>
            <w:vAlign w:val="bottom"/>
          </w:tcPr>
          <w:p w14:paraId="03DFB191" w14:textId="77777777" w:rsidR="001F4995" w:rsidRPr="001F4995" w:rsidRDefault="001F4995" w:rsidP="001F4995">
            <w:pPr>
              <w:spacing w:before="0" w:after="0"/>
              <w:jc w:val="center"/>
              <w:rPr>
                <w:rFonts w:ascii="Times New Roman" w:eastAsia="Times New Roman" w:hAnsi="Times New Roman" w:cs="Times New Roman"/>
                <w:b/>
                <w:bCs/>
                <w:sz w:val="24"/>
                <w:szCs w:val="24"/>
                <w:lang w:eastAsia="de-DE"/>
              </w:rPr>
            </w:pP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t>Hochofenstückschlacke der Klasse 1 (HOS-1)</w:t>
            </w:r>
          </w:p>
        </w:tc>
      </w:tr>
      <w:tr w:rsidR="001F4995" w:rsidRPr="001F4995" w14:paraId="73A6CF40" w14:textId="77777777" w:rsidTr="001F4995">
        <w:trPr>
          <w:trHeight w:val="20"/>
        </w:trPr>
        <w:tc>
          <w:tcPr>
            <w:tcW w:w="4683" w:type="dxa"/>
            <w:gridSpan w:val="2"/>
            <w:vMerge w:val="restart"/>
            <w:shd w:val="clear" w:color="auto" w:fill="auto"/>
            <w:noWrap/>
          </w:tcPr>
          <w:p w14:paraId="543461F3"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Einbauweise</w:t>
            </w:r>
          </w:p>
        </w:tc>
        <w:tc>
          <w:tcPr>
            <w:tcW w:w="6359" w:type="dxa"/>
            <w:gridSpan w:val="9"/>
            <w:shd w:val="clear" w:color="auto" w:fill="auto"/>
            <w:noWrap/>
            <w:vAlign w:val="center"/>
          </w:tcPr>
          <w:p w14:paraId="789E8024"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Eigenschaft der Grundwasserdeckschicht</w:t>
            </w:r>
          </w:p>
        </w:tc>
      </w:tr>
      <w:tr w:rsidR="001F4995" w:rsidRPr="001F4995" w14:paraId="05073904" w14:textId="77777777" w:rsidTr="001F4995">
        <w:trPr>
          <w:trHeight w:val="20"/>
        </w:trPr>
        <w:tc>
          <w:tcPr>
            <w:tcW w:w="4683" w:type="dxa"/>
            <w:gridSpan w:val="2"/>
            <w:vMerge/>
            <w:shd w:val="clear" w:color="auto" w:fill="auto"/>
            <w:noWrap/>
            <w:vAlign w:val="center"/>
          </w:tcPr>
          <w:p w14:paraId="6169B2EC" w14:textId="77777777" w:rsidR="001F4995" w:rsidRPr="001F4995" w:rsidRDefault="001F4995" w:rsidP="001F4995">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2F01FE7F"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außerhalb von</w:t>
            </w:r>
          </w:p>
          <w:p w14:paraId="7A8D2427"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c>
          <w:tcPr>
            <w:tcW w:w="3659" w:type="dxa"/>
            <w:gridSpan w:val="6"/>
            <w:shd w:val="clear" w:color="auto" w:fill="auto"/>
            <w:noWrap/>
            <w:vAlign w:val="center"/>
          </w:tcPr>
          <w:p w14:paraId="13B0DA17"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innerhalb von</w:t>
            </w:r>
          </w:p>
          <w:p w14:paraId="02AB69D1"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r>
      <w:tr w:rsidR="001F4995" w:rsidRPr="001F4995" w14:paraId="0CDB9D8A" w14:textId="77777777" w:rsidTr="001F4995">
        <w:trPr>
          <w:trHeight w:val="20"/>
        </w:trPr>
        <w:tc>
          <w:tcPr>
            <w:tcW w:w="4683" w:type="dxa"/>
            <w:gridSpan w:val="2"/>
            <w:vMerge/>
            <w:shd w:val="clear" w:color="auto" w:fill="auto"/>
            <w:noWrap/>
            <w:vAlign w:val="center"/>
          </w:tcPr>
          <w:p w14:paraId="012309E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383EA26B"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proofErr w:type="spellStart"/>
            <w:r w:rsidRPr="001F4995">
              <w:rPr>
                <w:rFonts w:ascii="Times New Roman" w:eastAsia="Times New Roman" w:hAnsi="Times New Roman" w:cs="Times New Roman"/>
                <w:sz w:val="20"/>
                <w:szCs w:val="20"/>
                <w:lang w:eastAsia="de-DE"/>
              </w:rPr>
              <w:t>un</w:t>
            </w:r>
            <w:proofErr w:type="spellEnd"/>
            <w:r w:rsidRPr="001F4995">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55E9BB77"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c>
          <w:tcPr>
            <w:tcW w:w="3659" w:type="dxa"/>
            <w:gridSpan w:val="6"/>
            <w:shd w:val="clear" w:color="auto" w:fill="auto"/>
            <w:noWrap/>
            <w:vAlign w:val="center"/>
          </w:tcPr>
          <w:p w14:paraId="02C9A56B"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r>
      <w:tr w:rsidR="001F4995" w:rsidRPr="001F4995" w14:paraId="1A464826" w14:textId="77777777" w:rsidTr="001F4995">
        <w:trPr>
          <w:trHeight w:val="20"/>
        </w:trPr>
        <w:tc>
          <w:tcPr>
            <w:tcW w:w="4683" w:type="dxa"/>
            <w:gridSpan w:val="2"/>
            <w:vMerge/>
            <w:shd w:val="clear" w:color="auto" w:fill="auto"/>
            <w:noWrap/>
            <w:vAlign w:val="center"/>
          </w:tcPr>
          <w:p w14:paraId="60377C4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4BA82CD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0DCC27D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6C213BBE" w14:textId="4B2B6026"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51FDE3A8" w14:textId="5A1470AA"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141372C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1277" w:type="dxa"/>
            <w:gridSpan w:val="2"/>
            <w:shd w:val="clear" w:color="auto" w:fill="auto"/>
            <w:noWrap/>
            <w:vAlign w:val="center"/>
          </w:tcPr>
          <w:p w14:paraId="492738D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00BBCC2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B</w:t>
            </w:r>
          </w:p>
        </w:tc>
        <w:tc>
          <w:tcPr>
            <w:tcW w:w="1212" w:type="dxa"/>
            <w:gridSpan w:val="2"/>
            <w:shd w:val="clear" w:color="auto" w:fill="auto"/>
            <w:noWrap/>
            <w:vAlign w:val="center"/>
          </w:tcPr>
          <w:p w14:paraId="3F938AF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Wasservor-</w:t>
            </w:r>
          </w:p>
        </w:tc>
      </w:tr>
      <w:tr w:rsidR="001F4995" w:rsidRPr="001F4995" w14:paraId="481F9765" w14:textId="77777777" w:rsidTr="001F4995">
        <w:trPr>
          <w:trHeight w:val="80"/>
        </w:trPr>
        <w:tc>
          <w:tcPr>
            <w:tcW w:w="4683" w:type="dxa"/>
            <w:gridSpan w:val="2"/>
            <w:vMerge/>
            <w:shd w:val="clear" w:color="auto" w:fill="auto"/>
            <w:noWrap/>
            <w:vAlign w:val="center"/>
          </w:tcPr>
          <w:p w14:paraId="154A9DC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6A93386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2CE6A25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26EF2A9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277" w:type="dxa"/>
            <w:gridSpan w:val="2"/>
            <w:shd w:val="clear" w:color="auto" w:fill="auto"/>
            <w:noWrap/>
            <w:vAlign w:val="center"/>
          </w:tcPr>
          <w:p w14:paraId="4042B3A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59F3201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IV</w:t>
            </w:r>
          </w:p>
        </w:tc>
        <w:tc>
          <w:tcPr>
            <w:tcW w:w="1212" w:type="dxa"/>
            <w:gridSpan w:val="2"/>
            <w:shd w:val="clear" w:color="auto" w:fill="auto"/>
            <w:noWrap/>
            <w:vAlign w:val="center"/>
          </w:tcPr>
          <w:p w14:paraId="5F22764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ranggebiete</w:t>
            </w:r>
          </w:p>
        </w:tc>
      </w:tr>
      <w:tr w:rsidR="001F4995" w:rsidRPr="001F4995" w14:paraId="1EA0994A" w14:textId="77777777" w:rsidTr="001F4995">
        <w:trPr>
          <w:trHeight w:val="80"/>
        </w:trPr>
        <w:tc>
          <w:tcPr>
            <w:tcW w:w="4683" w:type="dxa"/>
            <w:gridSpan w:val="2"/>
            <w:vMerge/>
            <w:shd w:val="clear" w:color="auto" w:fill="auto"/>
            <w:noWrap/>
            <w:vAlign w:val="center"/>
          </w:tcPr>
          <w:p w14:paraId="7EFFDA3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3863C96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673312D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2D67B84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07" w:type="dxa"/>
            <w:shd w:val="clear" w:color="auto" w:fill="auto"/>
            <w:noWrap/>
            <w:vAlign w:val="center"/>
          </w:tcPr>
          <w:p w14:paraId="7F1619C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0DE866F4" w14:textId="5D3301F2"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27C248D4" w14:textId="08DE991A"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6370AA9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744DE1F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6AE36D0A" w14:textId="5EA43B68"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31DB1970" w14:textId="5D87F120"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3D6B9A7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641139E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03E6D34C" w14:textId="433A4B7D"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4944BA90" w14:textId="2E6EE5B5"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6CB609B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r>
      <w:tr w:rsidR="001F4995" w:rsidRPr="001F4995" w14:paraId="2506266B" w14:textId="77777777" w:rsidTr="001F4995">
        <w:trPr>
          <w:trHeight w:val="111"/>
        </w:trPr>
        <w:tc>
          <w:tcPr>
            <w:tcW w:w="4683" w:type="dxa"/>
            <w:gridSpan w:val="2"/>
            <w:vMerge/>
            <w:shd w:val="clear" w:color="auto" w:fill="auto"/>
            <w:noWrap/>
            <w:vAlign w:val="center"/>
          </w:tcPr>
          <w:p w14:paraId="122568A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402C8E0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w:t>
            </w:r>
          </w:p>
        </w:tc>
        <w:tc>
          <w:tcPr>
            <w:tcW w:w="664" w:type="dxa"/>
            <w:shd w:val="clear" w:color="auto" w:fill="auto"/>
            <w:noWrap/>
            <w:vAlign w:val="center"/>
          </w:tcPr>
          <w:p w14:paraId="0852A28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2</w:t>
            </w:r>
          </w:p>
        </w:tc>
        <w:tc>
          <w:tcPr>
            <w:tcW w:w="1185" w:type="dxa"/>
            <w:shd w:val="clear" w:color="auto" w:fill="auto"/>
            <w:noWrap/>
            <w:vAlign w:val="center"/>
          </w:tcPr>
          <w:p w14:paraId="6532D18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3</w:t>
            </w:r>
          </w:p>
        </w:tc>
        <w:tc>
          <w:tcPr>
            <w:tcW w:w="1277" w:type="dxa"/>
            <w:gridSpan w:val="2"/>
            <w:shd w:val="clear" w:color="auto" w:fill="auto"/>
            <w:noWrap/>
            <w:vAlign w:val="center"/>
          </w:tcPr>
          <w:p w14:paraId="699D7E8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5A0D359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5</w:t>
            </w:r>
          </w:p>
        </w:tc>
        <w:tc>
          <w:tcPr>
            <w:tcW w:w="1212" w:type="dxa"/>
            <w:gridSpan w:val="2"/>
            <w:shd w:val="clear" w:color="auto" w:fill="auto"/>
            <w:noWrap/>
            <w:vAlign w:val="center"/>
          </w:tcPr>
          <w:p w14:paraId="47CD2B6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6</w:t>
            </w:r>
          </w:p>
        </w:tc>
      </w:tr>
      <w:tr w:rsidR="001F4995" w:rsidRPr="001F4995" w14:paraId="6FABBC97" w14:textId="77777777" w:rsidTr="001F4995">
        <w:trPr>
          <w:trHeight w:val="20"/>
        </w:trPr>
        <w:tc>
          <w:tcPr>
            <w:tcW w:w="469" w:type="dxa"/>
            <w:shd w:val="clear" w:color="auto" w:fill="auto"/>
            <w:noWrap/>
          </w:tcPr>
          <w:p w14:paraId="77FCAC3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w:t>
            </w:r>
          </w:p>
        </w:tc>
        <w:tc>
          <w:tcPr>
            <w:tcW w:w="4214" w:type="dxa"/>
            <w:shd w:val="clear" w:color="auto" w:fill="FFFFFF"/>
          </w:tcPr>
          <w:p w14:paraId="33678F8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26FAD87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04FD2B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15426E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shd w:val="clear" w:color="auto" w:fill="auto"/>
            <w:noWrap/>
            <w:vAlign w:val="center"/>
          </w:tcPr>
          <w:p w14:paraId="6466278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E06DDD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287A03F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BF7A3D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1654C83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D91DBD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9F52C93" w14:textId="77777777" w:rsidTr="001F4995">
        <w:trPr>
          <w:trHeight w:val="20"/>
        </w:trPr>
        <w:tc>
          <w:tcPr>
            <w:tcW w:w="469" w:type="dxa"/>
            <w:shd w:val="clear" w:color="auto" w:fill="auto"/>
            <w:noWrap/>
          </w:tcPr>
          <w:p w14:paraId="2A6EE5DE"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2</w:t>
            </w:r>
          </w:p>
        </w:tc>
        <w:tc>
          <w:tcPr>
            <w:tcW w:w="4214" w:type="dxa"/>
            <w:shd w:val="clear" w:color="auto" w:fill="FFFFFF"/>
          </w:tcPr>
          <w:p w14:paraId="7B75369C"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5ABCEB0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C90EB7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EA62D7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482B040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546334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129B6C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855F2E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45405A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66A601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477A137" w14:textId="77777777" w:rsidTr="001F4995">
        <w:trPr>
          <w:trHeight w:val="20"/>
        </w:trPr>
        <w:tc>
          <w:tcPr>
            <w:tcW w:w="469" w:type="dxa"/>
            <w:shd w:val="clear" w:color="auto" w:fill="auto"/>
            <w:noWrap/>
          </w:tcPr>
          <w:p w14:paraId="1DBBAB31"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3</w:t>
            </w:r>
          </w:p>
        </w:tc>
        <w:tc>
          <w:tcPr>
            <w:tcW w:w="4214" w:type="dxa"/>
            <w:shd w:val="clear" w:color="auto" w:fill="FFFFFF"/>
          </w:tcPr>
          <w:p w14:paraId="43A33B9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6831B99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6A9B65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7C5E5D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0E0EB9E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5FE9C1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3B83CD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E03977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AD69E7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689831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9EB79BE" w14:textId="77777777" w:rsidTr="001F4995">
        <w:trPr>
          <w:trHeight w:val="20"/>
        </w:trPr>
        <w:tc>
          <w:tcPr>
            <w:tcW w:w="469" w:type="dxa"/>
            <w:shd w:val="clear" w:color="auto" w:fill="auto"/>
            <w:noWrap/>
          </w:tcPr>
          <w:p w14:paraId="1C707EDE"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4</w:t>
            </w:r>
          </w:p>
        </w:tc>
        <w:tc>
          <w:tcPr>
            <w:tcW w:w="4214" w:type="dxa"/>
            <w:shd w:val="clear" w:color="auto" w:fill="FFFFFF"/>
          </w:tcPr>
          <w:p w14:paraId="22BFD3D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342F3DC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362684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147CD0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7A915FD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616438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F28462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71889B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2368A7E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0FECC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4EE45FF" w14:textId="77777777" w:rsidTr="001F4995">
        <w:trPr>
          <w:trHeight w:val="20"/>
        </w:trPr>
        <w:tc>
          <w:tcPr>
            <w:tcW w:w="469" w:type="dxa"/>
            <w:shd w:val="clear" w:color="auto" w:fill="auto"/>
            <w:noWrap/>
          </w:tcPr>
          <w:p w14:paraId="69AA4BF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5</w:t>
            </w:r>
          </w:p>
        </w:tc>
        <w:tc>
          <w:tcPr>
            <w:tcW w:w="4214" w:type="dxa"/>
            <w:shd w:val="clear" w:color="auto" w:fill="FFFFFF"/>
          </w:tcPr>
          <w:p w14:paraId="4531DF4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2550AE9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346CF5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E8D197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3615DFE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03BE22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46003A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279FA5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5C84979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5B7BD8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940A155" w14:textId="77777777" w:rsidTr="001F4995">
        <w:trPr>
          <w:trHeight w:val="20"/>
        </w:trPr>
        <w:tc>
          <w:tcPr>
            <w:tcW w:w="469" w:type="dxa"/>
            <w:shd w:val="clear" w:color="auto" w:fill="auto"/>
            <w:noWrap/>
          </w:tcPr>
          <w:p w14:paraId="540027B2"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6</w:t>
            </w:r>
          </w:p>
        </w:tc>
        <w:tc>
          <w:tcPr>
            <w:tcW w:w="4214" w:type="dxa"/>
            <w:shd w:val="clear" w:color="auto" w:fill="FFFFFF"/>
          </w:tcPr>
          <w:p w14:paraId="24FFAC43"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7F803C9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5A133C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44D8D0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6E271C2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D6F03B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6EF5D4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7DA2AC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47A736A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4E7BCB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1883575" w14:textId="77777777" w:rsidTr="001F4995">
        <w:trPr>
          <w:trHeight w:val="20"/>
        </w:trPr>
        <w:tc>
          <w:tcPr>
            <w:tcW w:w="469" w:type="dxa"/>
            <w:shd w:val="clear" w:color="auto" w:fill="auto"/>
            <w:noWrap/>
          </w:tcPr>
          <w:p w14:paraId="3F7A31B1"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7</w:t>
            </w:r>
          </w:p>
        </w:tc>
        <w:tc>
          <w:tcPr>
            <w:tcW w:w="4214" w:type="dxa"/>
            <w:shd w:val="clear" w:color="auto" w:fill="FFFFFF"/>
          </w:tcPr>
          <w:p w14:paraId="4DD117DC"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Schottertragschicht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698D347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923193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28A43B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0D54B84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62EF5E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29C9BE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D15438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13CBC8B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BDEE87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F5F073B" w14:textId="77777777" w:rsidTr="001F4995">
        <w:trPr>
          <w:trHeight w:val="20"/>
        </w:trPr>
        <w:tc>
          <w:tcPr>
            <w:tcW w:w="469" w:type="dxa"/>
            <w:shd w:val="clear" w:color="auto" w:fill="auto"/>
            <w:noWrap/>
          </w:tcPr>
          <w:p w14:paraId="61778D63"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8</w:t>
            </w:r>
          </w:p>
        </w:tc>
        <w:tc>
          <w:tcPr>
            <w:tcW w:w="4214" w:type="dxa"/>
            <w:shd w:val="clear" w:color="auto" w:fill="FFFFFF"/>
          </w:tcPr>
          <w:p w14:paraId="4277FE8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Frostschutzschicht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106C9E7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2082D1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EB7DBB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6E7428E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952463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tcPr>
          <w:p w14:paraId="645B8DA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756475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3FC92C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B96B30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BE5F2DF" w14:textId="77777777" w:rsidTr="001F4995">
        <w:trPr>
          <w:trHeight w:val="20"/>
        </w:trPr>
        <w:tc>
          <w:tcPr>
            <w:tcW w:w="469" w:type="dxa"/>
            <w:shd w:val="clear" w:color="auto" w:fill="auto"/>
            <w:noWrap/>
          </w:tcPr>
          <w:p w14:paraId="5BA54DA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9</w:t>
            </w:r>
          </w:p>
        </w:tc>
        <w:tc>
          <w:tcPr>
            <w:tcW w:w="4214" w:type="dxa"/>
            <w:shd w:val="clear" w:color="auto" w:fill="FFFFFF"/>
          </w:tcPr>
          <w:p w14:paraId="6FA0FD1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Dämme oder Wälle gemäß Bauweisen A-D nach MTSE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0E1A847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A58C81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B00BB5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561F35F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6673F1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1ED46A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6BD407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55E614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0C7CBE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42526CB" w14:textId="77777777" w:rsidTr="001F4995">
        <w:trPr>
          <w:trHeight w:val="20"/>
        </w:trPr>
        <w:tc>
          <w:tcPr>
            <w:tcW w:w="469" w:type="dxa"/>
            <w:shd w:val="clear" w:color="auto" w:fill="auto"/>
            <w:noWrap/>
          </w:tcPr>
          <w:p w14:paraId="7FA33764"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10</w:t>
            </w:r>
          </w:p>
        </w:tc>
        <w:tc>
          <w:tcPr>
            <w:tcW w:w="4214" w:type="dxa"/>
            <w:shd w:val="clear" w:color="auto" w:fill="FFFFFF"/>
          </w:tcPr>
          <w:p w14:paraId="3390E420"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588C6F9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EA12CF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8472CB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4D8C382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7534D2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1C34C8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C5B807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D5CB36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85AF2E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605A1CC" w14:textId="77777777" w:rsidTr="001F4995">
        <w:trPr>
          <w:trHeight w:val="20"/>
        </w:trPr>
        <w:tc>
          <w:tcPr>
            <w:tcW w:w="469" w:type="dxa"/>
            <w:shd w:val="clear" w:color="auto" w:fill="auto"/>
            <w:noWrap/>
          </w:tcPr>
          <w:p w14:paraId="704DE6E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11</w:t>
            </w:r>
          </w:p>
        </w:tc>
        <w:tc>
          <w:tcPr>
            <w:tcW w:w="4214" w:type="dxa"/>
            <w:shd w:val="clear" w:color="auto" w:fill="FFFFFF"/>
          </w:tcPr>
          <w:p w14:paraId="77A1003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769324F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5FDD48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5CDF1F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78C864C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ACFDED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3A3E9B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24AF47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209250C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831B55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6B5B7EB" w14:textId="77777777" w:rsidTr="001F4995">
        <w:trPr>
          <w:trHeight w:val="20"/>
        </w:trPr>
        <w:tc>
          <w:tcPr>
            <w:tcW w:w="469" w:type="dxa"/>
            <w:shd w:val="clear" w:color="auto" w:fill="auto"/>
            <w:noWrap/>
          </w:tcPr>
          <w:p w14:paraId="711CB984"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12</w:t>
            </w:r>
          </w:p>
        </w:tc>
        <w:tc>
          <w:tcPr>
            <w:tcW w:w="4214" w:type="dxa"/>
            <w:shd w:val="clear" w:color="auto" w:fill="FFFFFF"/>
          </w:tcPr>
          <w:p w14:paraId="7605F5C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Deckschicht ohne Bindemittel</w:t>
            </w:r>
          </w:p>
        </w:tc>
        <w:tc>
          <w:tcPr>
            <w:tcW w:w="851" w:type="dxa"/>
            <w:noWrap/>
            <w:vAlign w:val="center"/>
          </w:tcPr>
          <w:p w14:paraId="5DB405F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E552FF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51D034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45135C4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2C83DC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6F6CC4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5081A4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2E52F7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D5AFD5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FD3E0DD" w14:textId="77777777" w:rsidTr="001F4995">
        <w:trPr>
          <w:trHeight w:val="20"/>
        </w:trPr>
        <w:tc>
          <w:tcPr>
            <w:tcW w:w="469" w:type="dxa"/>
            <w:shd w:val="clear" w:color="auto" w:fill="auto"/>
            <w:noWrap/>
          </w:tcPr>
          <w:p w14:paraId="545D7D8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13</w:t>
            </w:r>
          </w:p>
        </w:tc>
        <w:tc>
          <w:tcPr>
            <w:tcW w:w="4214" w:type="dxa"/>
            <w:shd w:val="clear" w:color="auto" w:fill="FFFFFF"/>
          </w:tcPr>
          <w:p w14:paraId="21A55EA4"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602C6EB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39FC0E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1185" w:type="dxa"/>
            <w:noWrap/>
            <w:vAlign w:val="center"/>
          </w:tcPr>
          <w:p w14:paraId="42B89C7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07" w:type="dxa"/>
            <w:noWrap/>
            <w:vAlign w:val="center"/>
          </w:tcPr>
          <w:p w14:paraId="3F57315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F0C7B4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500" w:type="dxa"/>
            <w:noWrap/>
            <w:vAlign w:val="center"/>
          </w:tcPr>
          <w:p w14:paraId="6CE0F2E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0CD3920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542" w:type="dxa"/>
            <w:shd w:val="clear" w:color="auto" w:fill="FFFFFF"/>
            <w:noWrap/>
            <w:vAlign w:val="center"/>
          </w:tcPr>
          <w:p w14:paraId="2B954DF0"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70" w:type="dxa"/>
            <w:shd w:val="clear" w:color="auto" w:fill="FFFFFF"/>
            <w:vAlign w:val="center"/>
          </w:tcPr>
          <w:p w14:paraId="19DBC9A8"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r>
      <w:tr w:rsidR="001F4995" w:rsidRPr="001F4995" w14:paraId="48ED842C" w14:textId="77777777" w:rsidTr="001F4995">
        <w:trPr>
          <w:trHeight w:val="20"/>
        </w:trPr>
        <w:tc>
          <w:tcPr>
            <w:tcW w:w="469" w:type="dxa"/>
            <w:shd w:val="clear" w:color="auto" w:fill="auto"/>
            <w:noWrap/>
          </w:tcPr>
          <w:p w14:paraId="1E6645EB"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14</w:t>
            </w:r>
          </w:p>
        </w:tc>
        <w:tc>
          <w:tcPr>
            <w:tcW w:w="4214" w:type="dxa"/>
            <w:shd w:val="clear" w:color="auto" w:fill="FFFFFF"/>
          </w:tcPr>
          <w:p w14:paraId="549514B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Plattenbelägen</w:t>
            </w:r>
          </w:p>
        </w:tc>
        <w:tc>
          <w:tcPr>
            <w:tcW w:w="851" w:type="dxa"/>
            <w:noWrap/>
            <w:vAlign w:val="center"/>
          </w:tcPr>
          <w:p w14:paraId="7648DA9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3F5D2F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1185" w:type="dxa"/>
            <w:noWrap/>
            <w:vAlign w:val="center"/>
          </w:tcPr>
          <w:p w14:paraId="68AAB23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07" w:type="dxa"/>
            <w:noWrap/>
            <w:vAlign w:val="center"/>
          </w:tcPr>
          <w:p w14:paraId="7784683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D9FA7B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500" w:type="dxa"/>
            <w:noWrap/>
            <w:vAlign w:val="center"/>
          </w:tcPr>
          <w:p w14:paraId="60F273F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5058C6E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542" w:type="dxa"/>
            <w:shd w:val="clear" w:color="auto" w:fill="FFFFFF"/>
            <w:noWrap/>
            <w:vAlign w:val="center"/>
          </w:tcPr>
          <w:p w14:paraId="78D3F192"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70" w:type="dxa"/>
            <w:shd w:val="clear" w:color="auto" w:fill="FFFFFF"/>
            <w:vAlign w:val="center"/>
          </w:tcPr>
          <w:p w14:paraId="75E763D3"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r>
      <w:tr w:rsidR="001F4995" w:rsidRPr="001F4995" w14:paraId="070133E6" w14:textId="77777777" w:rsidTr="001F4995">
        <w:trPr>
          <w:trHeight w:val="20"/>
        </w:trPr>
        <w:tc>
          <w:tcPr>
            <w:tcW w:w="469" w:type="dxa"/>
            <w:shd w:val="clear" w:color="auto" w:fill="auto"/>
            <w:noWrap/>
          </w:tcPr>
          <w:p w14:paraId="5AF462D3"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15</w:t>
            </w:r>
          </w:p>
        </w:tc>
        <w:tc>
          <w:tcPr>
            <w:tcW w:w="4214" w:type="dxa"/>
            <w:shd w:val="clear" w:color="auto" w:fill="FFFFFF"/>
          </w:tcPr>
          <w:p w14:paraId="6C80267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0B51BAE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97C88A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1185" w:type="dxa"/>
            <w:noWrap/>
            <w:vAlign w:val="center"/>
          </w:tcPr>
          <w:p w14:paraId="19948E1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607" w:type="dxa"/>
            <w:noWrap/>
            <w:vAlign w:val="center"/>
          </w:tcPr>
          <w:p w14:paraId="731B22F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319B3D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500" w:type="dxa"/>
            <w:noWrap/>
            <w:vAlign w:val="center"/>
          </w:tcPr>
          <w:p w14:paraId="3C16774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44EBF0E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542" w:type="dxa"/>
            <w:shd w:val="clear" w:color="auto" w:fill="FFFFFF"/>
            <w:noWrap/>
            <w:vAlign w:val="center"/>
          </w:tcPr>
          <w:p w14:paraId="2A86D57F"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670" w:type="dxa"/>
            <w:shd w:val="clear" w:color="auto" w:fill="FFFFFF"/>
            <w:vAlign w:val="center"/>
          </w:tcPr>
          <w:p w14:paraId="11B9265B"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r>
      <w:tr w:rsidR="001F4995" w:rsidRPr="001F4995" w14:paraId="362C0ADA" w14:textId="77777777" w:rsidTr="001F4995">
        <w:trPr>
          <w:trHeight w:val="20"/>
        </w:trPr>
        <w:tc>
          <w:tcPr>
            <w:tcW w:w="469" w:type="dxa"/>
            <w:shd w:val="clear" w:color="auto" w:fill="auto"/>
            <w:noWrap/>
          </w:tcPr>
          <w:p w14:paraId="5430B2EE"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16</w:t>
            </w:r>
          </w:p>
        </w:tc>
        <w:tc>
          <w:tcPr>
            <w:tcW w:w="4214" w:type="dxa"/>
            <w:shd w:val="clear" w:color="auto" w:fill="FFFFFF"/>
          </w:tcPr>
          <w:p w14:paraId="6B4D2D0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0AC533D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4)</w:t>
            </w:r>
          </w:p>
        </w:tc>
        <w:tc>
          <w:tcPr>
            <w:tcW w:w="664" w:type="dxa"/>
            <w:noWrap/>
            <w:vAlign w:val="center"/>
          </w:tcPr>
          <w:p w14:paraId="4A62B84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4)</w:t>
            </w:r>
          </w:p>
        </w:tc>
        <w:tc>
          <w:tcPr>
            <w:tcW w:w="1185" w:type="dxa"/>
            <w:noWrap/>
            <w:vAlign w:val="center"/>
          </w:tcPr>
          <w:p w14:paraId="4843D78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4)</w:t>
            </w:r>
          </w:p>
        </w:tc>
        <w:tc>
          <w:tcPr>
            <w:tcW w:w="607" w:type="dxa"/>
            <w:noWrap/>
            <w:vAlign w:val="center"/>
          </w:tcPr>
          <w:p w14:paraId="6DB033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BA83D1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4)</w:t>
            </w:r>
          </w:p>
        </w:tc>
        <w:tc>
          <w:tcPr>
            <w:tcW w:w="500" w:type="dxa"/>
            <w:noWrap/>
            <w:vAlign w:val="center"/>
          </w:tcPr>
          <w:p w14:paraId="203C32A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407043A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4)</w:t>
            </w:r>
          </w:p>
        </w:tc>
        <w:tc>
          <w:tcPr>
            <w:tcW w:w="542" w:type="dxa"/>
            <w:shd w:val="clear" w:color="auto" w:fill="FFFFFF"/>
            <w:noWrap/>
            <w:vAlign w:val="center"/>
          </w:tcPr>
          <w:p w14:paraId="2DE12C39"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4)</w:t>
            </w:r>
          </w:p>
        </w:tc>
        <w:tc>
          <w:tcPr>
            <w:tcW w:w="670" w:type="dxa"/>
            <w:shd w:val="clear" w:color="auto" w:fill="FFFFFF"/>
            <w:vAlign w:val="center"/>
          </w:tcPr>
          <w:p w14:paraId="326A6185"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4)</w:t>
            </w:r>
          </w:p>
        </w:tc>
      </w:tr>
      <w:tr w:rsidR="001F4995" w:rsidRPr="001F4995" w14:paraId="2CAB71D8" w14:textId="77777777" w:rsidTr="001F4995">
        <w:trPr>
          <w:trHeight w:val="208"/>
        </w:trPr>
        <w:tc>
          <w:tcPr>
            <w:tcW w:w="469" w:type="dxa"/>
            <w:shd w:val="clear" w:color="auto" w:fill="auto"/>
            <w:noWrap/>
          </w:tcPr>
          <w:p w14:paraId="52A9176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17</w:t>
            </w:r>
          </w:p>
        </w:tc>
        <w:tc>
          <w:tcPr>
            <w:tcW w:w="4214" w:type="dxa"/>
            <w:shd w:val="clear" w:color="auto" w:fill="FFFFFF"/>
          </w:tcPr>
          <w:p w14:paraId="3BF290F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63B064C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1178C6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F71F7E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524114E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5CB537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44D87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D476A6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27C95C2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2E0947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bl>
    <w:p w14:paraId="483B2756"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1) Für Baugrundverbesserung, Bodenverfestigung, Unterbau bis 1 m ab Planum und zur Verfüllung von Leitungsgräben gilt einschränkend: nur zulässig, wenn Sulfat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1.230 mg/l; zur Verfüllung von Baugruben gilt einschränkend: nur zulässig, wenn Sulfat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800 mg/l.</w:t>
      </w:r>
    </w:p>
    <w:p w14:paraId="2060ED1B"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2) Für Baugrundverbesserung, Bodenverfestigung, Unterbau bis 1 m ab Planum und zur Verfüllung von Leitungsgräben gilt einschränkend: nur zulässig, wenn Sulfat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980 mg/l; zur Verfüllung von Baugruben gilt einschränkend: nur zulässig, wenn Sulfat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w:t>
      </w:r>
      <w:proofErr w:type="gramStart"/>
      <w:r w:rsidRPr="001F4995">
        <w:rPr>
          <w:rFonts w:ascii="Times New Roman" w:eastAsia="Times New Roman" w:hAnsi="Times New Roman" w:cs="Times New Roman"/>
          <w:sz w:val="16"/>
          <w:szCs w:val="16"/>
          <w:lang w:eastAsia="de-DE"/>
        </w:rPr>
        <w:t>740  mg</w:t>
      </w:r>
      <w:proofErr w:type="gramEnd"/>
      <w:r w:rsidRPr="001F4995">
        <w:rPr>
          <w:rFonts w:ascii="Times New Roman" w:eastAsia="Times New Roman" w:hAnsi="Times New Roman" w:cs="Times New Roman"/>
          <w:sz w:val="16"/>
          <w:szCs w:val="16"/>
          <w:lang w:eastAsia="de-DE"/>
        </w:rPr>
        <w:t>/l.</w:t>
      </w:r>
    </w:p>
    <w:p w14:paraId="4174D6A3"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3) Für </w:t>
      </w:r>
      <w:proofErr w:type="spellStart"/>
      <w:r w:rsidRPr="001F4995">
        <w:rPr>
          <w:rFonts w:ascii="Times New Roman" w:eastAsia="Times New Roman" w:hAnsi="Times New Roman" w:cs="Times New Roman"/>
          <w:sz w:val="16"/>
          <w:szCs w:val="16"/>
          <w:lang w:eastAsia="de-DE"/>
        </w:rPr>
        <w:t>ToB</w:t>
      </w:r>
      <w:proofErr w:type="spellEnd"/>
      <w:r w:rsidRPr="001F4995">
        <w:rPr>
          <w:rFonts w:ascii="Times New Roman" w:eastAsia="Times New Roman" w:hAnsi="Times New Roman" w:cs="Times New Roman"/>
          <w:sz w:val="16"/>
          <w:szCs w:val="16"/>
          <w:lang w:eastAsia="de-DE"/>
        </w:rPr>
        <w:t xml:space="preserve"> gilt einschränkend: Nur zulässig, wenn Sulfat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1.100 mg/l; für Baugrundverbesserung, Bodenverfestigung, Unterbau bis 1 m ab Planum und zur Verfüllung von Leitungsgräben gilt einschränkend: nur zulässig, wenn Sulfat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840 mg/l; Zur Verfüllung von Baugruben gilt einschränkend: nur zulässig, wenn Sulfat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700 mg/l.</w:t>
      </w:r>
    </w:p>
    <w:p w14:paraId="3A5AFD0A" w14:textId="77777777" w:rsid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4) </w:t>
      </w:r>
      <w:proofErr w:type="gramStart"/>
      <w:r w:rsidRPr="001F4995">
        <w:rPr>
          <w:rFonts w:ascii="Times New Roman" w:eastAsia="Times New Roman" w:hAnsi="Times New Roman" w:cs="Times New Roman"/>
          <w:sz w:val="16"/>
          <w:szCs w:val="16"/>
          <w:lang w:eastAsia="de-DE"/>
        </w:rPr>
        <w:t>Zulässig</w:t>
      </w:r>
      <w:proofErr w:type="gramEnd"/>
      <w:r w:rsidRPr="001F4995">
        <w:rPr>
          <w:rFonts w:ascii="Times New Roman" w:eastAsia="Times New Roman" w:hAnsi="Times New Roman" w:cs="Times New Roman"/>
          <w:sz w:val="16"/>
          <w:szCs w:val="16"/>
          <w:lang w:eastAsia="de-DE"/>
        </w:rPr>
        <w:t xml:space="preserve"> wenn „K“ oder wenn Sulfat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860 mg/l. </w:t>
      </w:r>
    </w:p>
    <w:p w14:paraId="4E0A9891" w14:textId="045D4DBD" w:rsidR="001F4995" w:rsidRPr="008D0377" w:rsidRDefault="001F4995" w:rsidP="001F4995">
      <w:pPr>
        <w:pStyle w:val="berschrift1"/>
      </w:pPr>
      <w:r>
        <w:rPr>
          <w:lang w:eastAsia="de-DE"/>
        </w:rPr>
        <w:br w:type="page"/>
      </w:r>
      <w:r w:rsidRPr="008D0377">
        <w:lastRenderedPageBreak/>
        <w:t>Tabelle 14: Hochofenstückschlacke der Klasse 2 (HOS-2)</w:t>
      </w:r>
    </w:p>
    <w:p w14:paraId="078BBF2E" w14:textId="77777777" w:rsidR="001F4995" w:rsidRPr="001F4995" w:rsidRDefault="001F4995" w:rsidP="001F4995">
      <w:pPr>
        <w:pStyle w:val="Text"/>
      </w:pPr>
    </w:p>
    <w:tbl>
      <w:tblPr>
        <w:tblW w:w="11122" w:type="dxa"/>
        <w:tblInd w:w="-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647"/>
        <w:gridCol w:w="715"/>
        <w:gridCol w:w="500"/>
        <w:gridCol w:w="715"/>
        <w:gridCol w:w="582"/>
        <w:gridCol w:w="715"/>
      </w:tblGrid>
      <w:tr w:rsidR="001F4995" w:rsidRPr="001F4995" w14:paraId="761BF3F9" w14:textId="77777777" w:rsidTr="001F4995">
        <w:trPr>
          <w:trHeight w:val="330"/>
        </w:trPr>
        <w:tc>
          <w:tcPr>
            <w:tcW w:w="11122" w:type="dxa"/>
            <w:gridSpan w:val="11"/>
            <w:noWrap/>
            <w:vAlign w:val="bottom"/>
          </w:tcPr>
          <w:p w14:paraId="17320CA6" w14:textId="77777777" w:rsidR="001F4995" w:rsidRPr="001F4995" w:rsidRDefault="001F4995" w:rsidP="001F4995">
            <w:pPr>
              <w:spacing w:before="0" w:after="0"/>
              <w:jc w:val="center"/>
              <w:rPr>
                <w:rFonts w:ascii="Times New Roman" w:eastAsia="Times New Roman" w:hAnsi="Times New Roman" w:cs="Times New Roman"/>
                <w:b/>
                <w:bCs/>
                <w:sz w:val="24"/>
                <w:szCs w:val="24"/>
                <w:lang w:eastAsia="de-DE"/>
              </w:rPr>
            </w:pP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t>Hochofenstückschlacke der Klasse 2 (HOS-2)</w:t>
            </w:r>
          </w:p>
        </w:tc>
      </w:tr>
      <w:tr w:rsidR="001F4995" w:rsidRPr="001F4995" w14:paraId="329C759B" w14:textId="77777777" w:rsidTr="001F4995">
        <w:trPr>
          <w:trHeight w:val="20"/>
        </w:trPr>
        <w:tc>
          <w:tcPr>
            <w:tcW w:w="4683" w:type="dxa"/>
            <w:gridSpan w:val="2"/>
            <w:vMerge w:val="restart"/>
            <w:shd w:val="clear" w:color="auto" w:fill="auto"/>
            <w:noWrap/>
          </w:tcPr>
          <w:p w14:paraId="296B9616"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Einbauweise</w:t>
            </w:r>
          </w:p>
        </w:tc>
        <w:tc>
          <w:tcPr>
            <w:tcW w:w="6439" w:type="dxa"/>
            <w:gridSpan w:val="9"/>
            <w:shd w:val="clear" w:color="auto" w:fill="auto"/>
            <w:noWrap/>
            <w:vAlign w:val="center"/>
          </w:tcPr>
          <w:p w14:paraId="1F69A2EF"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Eigenschaft der Grundwasserdeckschicht</w:t>
            </w:r>
          </w:p>
        </w:tc>
      </w:tr>
      <w:tr w:rsidR="001F4995" w:rsidRPr="001F4995" w14:paraId="09ED3DCE" w14:textId="77777777" w:rsidTr="001F4995">
        <w:trPr>
          <w:trHeight w:val="20"/>
        </w:trPr>
        <w:tc>
          <w:tcPr>
            <w:tcW w:w="4683" w:type="dxa"/>
            <w:gridSpan w:val="2"/>
            <w:vMerge/>
            <w:shd w:val="clear" w:color="auto" w:fill="auto"/>
            <w:noWrap/>
            <w:vAlign w:val="center"/>
          </w:tcPr>
          <w:p w14:paraId="3758796D" w14:textId="77777777" w:rsidR="001F4995" w:rsidRPr="001F4995" w:rsidRDefault="001F4995" w:rsidP="001F4995">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58371453"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außerhalb von</w:t>
            </w:r>
          </w:p>
          <w:p w14:paraId="5413AA2A"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c>
          <w:tcPr>
            <w:tcW w:w="3739" w:type="dxa"/>
            <w:gridSpan w:val="6"/>
            <w:shd w:val="clear" w:color="auto" w:fill="auto"/>
            <w:noWrap/>
            <w:vAlign w:val="center"/>
          </w:tcPr>
          <w:p w14:paraId="1173EA52"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innerhalb von</w:t>
            </w:r>
          </w:p>
          <w:p w14:paraId="26F11632"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r>
      <w:tr w:rsidR="001F4995" w:rsidRPr="001F4995" w14:paraId="1271B8EF" w14:textId="77777777" w:rsidTr="001F4995">
        <w:trPr>
          <w:trHeight w:val="20"/>
        </w:trPr>
        <w:tc>
          <w:tcPr>
            <w:tcW w:w="4683" w:type="dxa"/>
            <w:gridSpan w:val="2"/>
            <w:vMerge/>
            <w:shd w:val="clear" w:color="auto" w:fill="auto"/>
            <w:noWrap/>
            <w:vAlign w:val="center"/>
          </w:tcPr>
          <w:p w14:paraId="6D68BFC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669335F9"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proofErr w:type="spellStart"/>
            <w:r w:rsidRPr="001F4995">
              <w:rPr>
                <w:rFonts w:ascii="Times New Roman" w:eastAsia="Times New Roman" w:hAnsi="Times New Roman" w:cs="Times New Roman"/>
                <w:sz w:val="20"/>
                <w:szCs w:val="20"/>
                <w:lang w:eastAsia="de-DE"/>
              </w:rPr>
              <w:t>un</w:t>
            </w:r>
            <w:proofErr w:type="spellEnd"/>
            <w:r w:rsidRPr="001F4995">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388A8047"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c>
          <w:tcPr>
            <w:tcW w:w="3739" w:type="dxa"/>
            <w:gridSpan w:val="6"/>
            <w:shd w:val="clear" w:color="auto" w:fill="auto"/>
            <w:noWrap/>
            <w:vAlign w:val="center"/>
          </w:tcPr>
          <w:p w14:paraId="3467F012"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r>
      <w:tr w:rsidR="001F4995" w:rsidRPr="001F4995" w14:paraId="6504771E" w14:textId="77777777" w:rsidTr="001F4995">
        <w:trPr>
          <w:trHeight w:val="20"/>
        </w:trPr>
        <w:tc>
          <w:tcPr>
            <w:tcW w:w="4683" w:type="dxa"/>
            <w:gridSpan w:val="2"/>
            <w:vMerge/>
            <w:shd w:val="clear" w:color="auto" w:fill="auto"/>
            <w:noWrap/>
            <w:vAlign w:val="center"/>
          </w:tcPr>
          <w:p w14:paraId="2FD06CD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69ED0B1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45CE482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15B36DEB" w14:textId="6F6F2EC9"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1F8C911D" w14:textId="1762D3A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6EA7B69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1317" w:type="dxa"/>
            <w:gridSpan w:val="2"/>
            <w:shd w:val="clear" w:color="auto" w:fill="auto"/>
            <w:noWrap/>
            <w:vAlign w:val="center"/>
          </w:tcPr>
          <w:p w14:paraId="33157DE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5A8BCAE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B</w:t>
            </w:r>
          </w:p>
        </w:tc>
        <w:tc>
          <w:tcPr>
            <w:tcW w:w="1252" w:type="dxa"/>
            <w:gridSpan w:val="2"/>
            <w:shd w:val="clear" w:color="auto" w:fill="auto"/>
            <w:noWrap/>
            <w:vAlign w:val="center"/>
          </w:tcPr>
          <w:p w14:paraId="3FF2E9E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Wasservor-</w:t>
            </w:r>
          </w:p>
        </w:tc>
      </w:tr>
      <w:tr w:rsidR="001F4995" w:rsidRPr="001F4995" w14:paraId="000034E5" w14:textId="77777777" w:rsidTr="001F4995">
        <w:trPr>
          <w:trHeight w:val="80"/>
        </w:trPr>
        <w:tc>
          <w:tcPr>
            <w:tcW w:w="4683" w:type="dxa"/>
            <w:gridSpan w:val="2"/>
            <w:vMerge/>
            <w:shd w:val="clear" w:color="auto" w:fill="auto"/>
            <w:noWrap/>
            <w:vAlign w:val="center"/>
          </w:tcPr>
          <w:p w14:paraId="775AB42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6DBF335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5B21300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233B4E0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317" w:type="dxa"/>
            <w:gridSpan w:val="2"/>
            <w:shd w:val="clear" w:color="auto" w:fill="auto"/>
            <w:noWrap/>
            <w:vAlign w:val="center"/>
          </w:tcPr>
          <w:p w14:paraId="352D878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2EB56B9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IV</w:t>
            </w:r>
          </w:p>
        </w:tc>
        <w:tc>
          <w:tcPr>
            <w:tcW w:w="1252" w:type="dxa"/>
            <w:gridSpan w:val="2"/>
            <w:shd w:val="clear" w:color="auto" w:fill="auto"/>
            <w:noWrap/>
            <w:vAlign w:val="center"/>
          </w:tcPr>
          <w:p w14:paraId="00EC302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ranggebiete</w:t>
            </w:r>
          </w:p>
        </w:tc>
      </w:tr>
      <w:tr w:rsidR="001F4995" w:rsidRPr="001F4995" w14:paraId="31851FFF" w14:textId="77777777" w:rsidTr="001F4995">
        <w:trPr>
          <w:trHeight w:val="80"/>
        </w:trPr>
        <w:tc>
          <w:tcPr>
            <w:tcW w:w="4683" w:type="dxa"/>
            <w:gridSpan w:val="2"/>
            <w:vMerge/>
            <w:shd w:val="clear" w:color="auto" w:fill="auto"/>
            <w:noWrap/>
            <w:vAlign w:val="center"/>
          </w:tcPr>
          <w:p w14:paraId="22F9D7D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65D9026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513D902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41D0934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47" w:type="dxa"/>
            <w:shd w:val="clear" w:color="auto" w:fill="auto"/>
            <w:noWrap/>
            <w:vAlign w:val="center"/>
          </w:tcPr>
          <w:p w14:paraId="79AF7DA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5C73A470" w14:textId="455E603F"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5B784ECD" w14:textId="509F1BAA"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317400D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4A500C7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7BFA45EE" w14:textId="02F52D3E"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4B59B778" w14:textId="12D546E5"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4BE041B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82" w:type="dxa"/>
            <w:shd w:val="clear" w:color="auto" w:fill="auto"/>
            <w:noWrap/>
            <w:vAlign w:val="center"/>
          </w:tcPr>
          <w:p w14:paraId="75471D5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443D9475" w14:textId="1B0D687B"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09751E1B" w14:textId="6C6E0462"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6D109DD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r>
      <w:tr w:rsidR="001F4995" w:rsidRPr="001F4995" w14:paraId="7E9B6511" w14:textId="77777777" w:rsidTr="001F4995">
        <w:trPr>
          <w:trHeight w:val="111"/>
        </w:trPr>
        <w:tc>
          <w:tcPr>
            <w:tcW w:w="4683" w:type="dxa"/>
            <w:gridSpan w:val="2"/>
            <w:vMerge/>
            <w:shd w:val="clear" w:color="auto" w:fill="auto"/>
            <w:noWrap/>
            <w:vAlign w:val="center"/>
          </w:tcPr>
          <w:p w14:paraId="5B29451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594C59D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w:t>
            </w:r>
          </w:p>
        </w:tc>
        <w:tc>
          <w:tcPr>
            <w:tcW w:w="664" w:type="dxa"/>
            <w:shd w:val="clear" w:color="auto" w:fill="auto"/>
            <w:noWrap/>
            <w:vAlign w:val="center"/>
          </w:tcPr>
          <w:p w14:paraId="611EBEA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2</w:t>
            </w:r>
          </w:p>
        </w:tc>
        <w:tc>
          <w:tcPr>
            <w:tcW w:w="1185" w:type="dxa"/>
            <w:shd w:val="clear" w:color="auto" w:fill="auto"/>
            <w:noWrap/>
            <w:vAlign w:val="center"/>
          </w:tcPr>
          <w:p w14:paraId="7385060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3</w:t>
            </w:r>
          </w:p>
        </w:tc>
        <w:tc>
          <w:tcPr>
            <w:tcW w:w="1317" w:type="dxa"/>
            <w:gridSpan w:val="2"/>
            <w:shd w:val="clear" w:color="auto" w:fill="auto"/>
            <w:noWrap/>
            <w:vAlign w:val="center"/>
          </w:tcPr>
          <w:p w14:paraId="5146047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0625A6F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5</w:t>
            </w:r>
          </w:p>
        </w:tc>
        <w:tc>
          <w:tcPr>
            <w:tcW w:w="1252" w:type="dxa"/>
            <w:gridSpan w:val="2"/>
            <w:shd w:val="clear" w:color="auto" w:fill="auto"/>
            <w:noWrap/>
            <w:vAlign w:val="center"/>
          </w:tcPr>
          <w:p w14:paraId="6D84115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6</w:t>
            </w:r>
          </w:p>
        </w:tc>
      </w:tr>
      <w:tr w:rsidR="001F4995" w:rsidRPr="001F4995" w14:paraId="4AA589B1" w14:textId="77777777" w:rsidTr="001F4995">
        <w:trPr>
          <w:trHeight w:val="20"/>
        </w:trPr>
        <w:tc>
          <w:tcPr>
            <w:tcW w:w="469" w:type="dxa"/>
            <w:shd w:val="clear" w:color="auto" w:fill="auto"/>
            <w:noWrap/>
          </w:tcPr>
          <w:p w14:paraId="2A812B3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w:t>
            </w:r>
          </w:p>
        </w:tc>
        <w:tc>
          <w:tcPr>
            <w:tcW w:w="4214" w:type="dxa"/>
            <w:shd w:val="clear" w:color="auto" w:fill="FFFFFF"/>
          </w:tcPr>
          <w:p w14:paraId="3864E34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1170215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5BCCF5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76A2AC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shd w:val="clear" w:color="auto" w:fill="auto"/>
            <w:noWrap/>
            <w:vAlign w:val="center"/>
          </w:tcPr>
          <w:p w14:paraId="0EF89BD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27E743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783E6E2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E13A85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232E5FB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51B7D5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C944DAB" w14:textId="77777777" w:rsidTr="001F4995">
        <w:trPr>
          <w:trHeight w:val="20"/>
        </w:trPr>
        <w:tc>
          <w:tcPr>
            <w:tcW w:w="469" w:type="dxa"/>
            <w:shd w:val="clear" w:color="auto" w:fill="auto"/>
            <w:noWrap/>
          </w:tcPr>
          <w:p w14:paraId="4BA01F8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2</w:t>
            </w:r>
          </w:p>
        </w:tc>
        <w:tc>
          <w:tcPr>
            <w:tcW w:w="4214" w:type="dxa"/>
            <w:shd w:val="clear" w:color="auto" w:fill="FFFFFF"/>
          </w:tcPr>
          <w:p w14:paraId="58E61173"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0D38445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2A2961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265046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28672D5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9439D4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1F48BF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DAB971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2AD13F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889768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41DB48C" w14:textId="77777777" w:rsidTr="001F4995">
        <w:trPr>
          <w:trHeight w:val="20"/>
        </w:trPr>
        <w:tc>
          <w:tcPr>
            <w:tcW w:w="469" w:type="dxa"/>
            <w:shd w:val="clear" w:color="auto" w:fill="auto"/>
            <w:noWrap/>
          </w:tcPr>
          <w:p w14:paraId="307456F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3</w:t>
            </w:r>
          </w:p>
        </w:tc>
        <w:tc>
          <w:tcPr>
            <w:tcW w:w="4214" w:type="dxa"/>
            <w:shd w:val="clear" w:color="auto" w:fill="FFFFFF"/>
          </w:tcPr>
          <w:p w14:paraId="7A38096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52CDBAE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9887EA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46F5F6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7FABB5A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963B8B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1B1BBB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A7B2BB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02496D0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5E8194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61240DC" w14:textId="77777777" w:rsidTr="001F4995">
        <w:trPr>
          <w:trHeight w:val="20"/>
        </w:trPr>
        <w:tc>
          <w:tcPr>
            <w:tcW w:w="469" w:type="dxa"/>
            <w:shd w:val="clear" w:color="auto" w:fill="auto"/>
            <w:noWrap/>
          </w:tcPr>
          <w:p w14:paraId="42A438D9"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4</w:t>
            </w:r>
          </w:p>
        </w:tc>
        <w:tc>
          <w:tcPr>
            <w:tcW w:w="4214" w:type="dxa"/>
            <w:shd w:val="clear" w:color="auto" w:fill="FFFFFF"/>
          </w:tcPr>
          <w:p w14:paraId="3125BC7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0FBB0C3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5CFCF8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0584C9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367E6C8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B16820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9876AF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B1E409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52A0E50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17F274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921F33D" w14:textId="77777777" w:rsidTr="001F4995">
        <w:trPr>
          <w:trHeight w:val="20"/>
        </w:trPr>
        <w:tc>
          <w:tcPr>
            <w:tcW w:w="469" w:type="dxa"/>
            <w:shd w:val="clear" w:color="auto" w:fill="auto"/>
            <w:noWrap/>
          </w:tcPr>
          <w:p w14:paraId="054EF3A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5</w:t>
            </w:r>
          </w:p>
        </w:tc>
        <w:tc>
          <w:tcPr>
            <w:tcW w:w="4214" w:type="dxa"/>
            <w:shd w:val="clear" w:color="auto" w:fill="FFFFFF"/>
          </w:tcPr>
          <w:p w14:paraId="40E5B6F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47AA3C1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8D0127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16291A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0D7B067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3B2F52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3743D7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D67366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5B9EF96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CD2415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1F45411" w14:textId="77777777" w:rsidTr="001F4995">
        <w:trPr>
          <w:trHeight w:val="20"/>
        </w:trPr>
        <w:tc>
          <w:tcPr>
            <w:tcW w:w="469" w:type="dxa"/>
            <w:shd w:val="clear" w:color="auto" w:fill="auto"/>
            <w:noWrap/>
          </w:tcPr>
          <w:p w14:paraId="167D2109"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6</w:t>
            </w:r>
          </w:p>
        </w:tc>
        <w:tc>
          <w:tcPr>
            <w:tcW w:w="4214" w:type="dxa"/>
            <w:shd w:val="clear" w:color="auto" w:fill="FFFFFF"/>
          </w:tcPr>
          <w:p w14:paraId="596920B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311A2E5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471334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5C8D29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544362E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8367B1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D1D9B5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3DC4A7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0521A17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63CB4E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42FCFBB" w14:textId="77777777" w:rsidTr="001F4995">
        <w:trPr>
          <w:trHeight w:val="20"/>
        </w:trPr>
        <w:tc>
          <w:tcPr>
            <w:tcW w:w="469" w:type="dxa"/>
            <w:shd w:val="clear" w:color="auto" w:fill="auto"/>
            <w:noWrap/>
          </w:tcPr>
          <w:p w14:paraId="6549BD5B"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7</w:t>
            </w:r>
          </w:p>
        </w:tc>
        <w:tc>
          <w:tcPr>
            <w:tcW w:w="4214" w:type="dxa"/>
            <w:shd w:val="clear" w:color="auto" w:fill="FFFFFF"/>
          </w:tcPr>
          <w:p w14:paraId="58F23A34"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Schottertragschicht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5FAFB7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31334D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2DE900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6F48C68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5F5A67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tcPr>
          <w:p w14:paraId="4BFF6F9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16961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62C9986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AE9BE2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7389F3E" w14:textId="77777777" w:rsidTr="001F4995">
        <w:trPr>
          <w:trHeight w:val="20"/>
        </w:trPr>
        <w:tc>
          <w:tcPr>
            <w:tcW w:w="469" w:type="dxa"/>
            <w:shd w:val="clear" w:color="auto" w:fill="auto"/>
            <w:noWrap/>
          </w:tcPr>
          <w:p w14:paraId="59410762"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8</w:t>
            </w:r>
          </w:p>
        </w:tc>
        <w:tc>
          <w:tcPr>
            <w:tcW w:w="4214" w:type="dxa"/>
            <w:shd w:val="clear" w:color="auto" w:fill="FFFFFF"/>
          </w:tcPr>
          <w:p w14:paraId="2EC51B43"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Frostschutzschicht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5AB398F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6FFAAA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9426C4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5440048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6FAA61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8C3255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17C31A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148AA71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639171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ECFCCE7" w14:textId="77777777" w:rsidTr="001F4995">
        <w:trPr>
          <w:trHeight w:val="20"/>
        </w:trPr>
        <w:tc>
          <w:tcPr>
            <w:tcW w:w="469" w:type="dxa"/>
            <w:shd w:val="clear" w:color="auto" w:fill="auto"/>
            <w:noWrap/>
          </w:tcPr>
          <w:p w14:paraId="5241FEB4"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9</w:t>
            </w:r>
          </w:p>
        </w:tc>
        <w:tc>
          <w:tcPr>
            <w:tcW w:w="4214" w:type="dxa"/>
            <w:shd w:val="clear" w:color="auto" w:fill="FFFFFF"/>
          </w:tcPr>
          <w:p w14:paraId="48D5144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Dämme oder Wälle gemäß Bauweisen A-D nach MTSE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317806A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4A39E6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401245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6ADD1E8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FE864E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172C4C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AF3291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1D7BE5F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5321EA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4FBDE62" w14:textId="77777777" w:rsidTr="001F4995">
        <w:trPr>
          <w:trHeight w:val="20"/>
        </w:trPr>
        <w:tc>
          <w:tcPr>
            <w:tcW w:w="469" w:type="dxa"/>
            <w:shd w:val="clear" w:color="auto" w:fill="auto"/>
            <w:noWrap/>
          </w:tcPr>
          <w:p w14:paraId="64F4B5F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10</w:t>
            </w:r>
          </w:p>
        </w:tc>
        <w:tc>
          <w:tcPr>
            <w:tcW w:w="4214" w:type="dxa"/>
            <w:shd w:val="clear" w:color="auto" w:fill="FFFFFF"/>
          </w:tcPr>
          <w:p w14:paraId="1AF6F00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0E63D23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684DB0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1D475B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5EB4A7D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3981CC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D94DC2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2CF9B0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117BAFA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10EEF3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F73DB5A" w14:textId="77777777" w:rsidTr="001F4995">
        <w:trPr>
          <w:trHeight w:val="20"/>
        </w:trPr>
        <w:tc>
          <w:tcPr>
            <w:tcW w:w="469" w:type="dxa"/>
            <w:shd w:val="clear" w:color="auto" w:fill="auto"/>
            <w:noWrap/>
          </w:tcPr>
          <w:p w14:paraId="0D8F216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11</w:t>
            </w:r>
          </w:p>
        </w:tc>
        <w:tc>
          <w:tcPr>
            <w:tcW w:w="4214" w:type="dxa"/>
            <w:shd w:val="clear" w:color="auto" w:fill="FFFFFF"/>
          </w:tcPr>
          <w:p w14:paraId="47024BE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3E26E00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46DDAE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5732EF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1EDCFD1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EE71D6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35FA00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68C164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674039F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5FBFF0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61DCC0F" w14:textId="77777777" w:rsidTr="001F4995">
        <w:trPr>
          <w:trHeight w:val="20"/>
        </w:trPr>
        <w:tc>
          <w:tcPr>
            <w:tcW w:w="469" w:type="dxa"/>
            <w:shd w:val="clear" w:color="auto" w:fill="auto"/>
            <w:noWrap/>
          </w:tcPr>
          <w:p w14:paraId="2AB2F8CB"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12</w:t>
            </w:r>
          </w:p>
        </w:tc>
        <w:tc>
          <w:tcPr>
            <w:tcW w:w="4214" w:type="dxa"/>
            <w:shd w:val="clear" w:color="auto" w:fill="FFFFFF"/>
          </w:tcPr>
          <w:p w14:paraId="2EFF4935"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Deckschicht ohne Bindemittel</w:t>
            </w:r>
          </w:p>
        </w:tc>
        <w:tc>
          <w:tcPr>
            <w:tcW w:w="851" w:type="dxa"/>
            <w:noWrap/>
            <w:vAlign w:val="center"/>
          </w:tcPr>
          <w:p w14:paraId="12A8385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A86436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BD4086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40523BC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DCCAA6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FB1C1C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162D38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475956F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969ACF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921EEA8" w14:textId="77777777" w:rsidTr="001F4995">
        <w:trPr>
          <w:trHeight w:val="20"/>
        </w:trPr>
        <w:tc>
          <w:tcPr>
            <w:tcW w:w="469" w:type="dxa"/>
            <w:shd w:val="clear" w:color="auto" w:fill="auto"/>
            <w:noWrap/>
          </w:tcPr>
          <w:p w14:paraId="702A4219"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13</w:t>
            </w:r>
          </w:p>
        </w:tc>
        <w:tc>
          <w:tcPr>
            <w:tcW w:w="4214" w:type="dxa"/>
            <w:shd w:val="clear" w:color="auto" w:fill="FFFFFF"/>
          </w:tcPr>
          <w:p w14:paraId="2036B39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6D94811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5295C5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EC97CA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22C0124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D89C7B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9BFB1D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A16505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4514B4C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6691A4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0603BBE" w14:textId="77777777" w:rsidTr="001F4995">
        <w:trPr>
          <w:trHeight w:val="20"/>
        </w:trPr>
        <w:tc>
          <w:tcPr>
            <w:tcW w:w="469" w:type="dxa"/>
            <w:shd w:val="clear" w:color="auto" w:fill="auto"/>
            <w:noWrap/>
          </w:tcPr>
          <w:p w14:paraId="35CD8D3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14</w:t>
            </w:r>
          </w:p>
        </w:tc>
        <w:tc>
          <w:tcPr>
            <w:tcW w:w="4214" w:type="dxa"/>
            <w:shd w:val="clear" w:color="auto" w:fill="FFFFFF"/>
          </w:tcPr>
          <w:p w14:paraId="29AEEC7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Plattenbelägen</w:t>
            </w:r>
          </w:p>
        </w:tc>
        <w:tc>
          <w:tcPr>
            <w:tcW w:w="851" w:type="dxa"/>
            <w:noWrap/>
            <w:vAlign w:val="center"/>
          </w:tcPr>
          <w:p w14:paraId="36B3672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B88302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2AC603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39F34D0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5E00BB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F2D7DF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F45249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2A99D53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A94FAA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809F73E" w14:textId="77777777" w:rsidTr="001F4995">
        <w:trPr>
          <w:trHeight w:val="20"/>
        </w:trPr>
        <w:tc>
          <w:tcPr>
            <w:tcW w:w="469" w:type="dxa"/>
            <w:shd w:val="clear" w:color="auto" w:fill="auto"/>
            <w:noWrap/>
          </w:tcPr>
          <w:p w14:paraId="36E0E3E1"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15</w:t>
            </w:r>
          </w:p>
        </w:tc>
        <w:tc>
          <w:tcPr>
            <w:tcW w:w="4214" w:type="dxa"/>
            <w:shd w:val="clear" w:color="auto" w:fill="FFFFFF"/>
          </w:tcPr>
          <w:p w14:paraId="6C93125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613296A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CC952D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27CC0D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06FF39A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8534F9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F219D8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7A61A4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4A4A992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AE2C0C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771BA08" w14:textId="77777777" w:rsidTr="001F4995">
        <w:trPr>
          <w:trHeight w:val="20"/>
        </w:trPr>
        <w:tc>
          <w:tcPr>
            <w:tcW w:w="469" w:type="dxa"/>
            <w:shd w:val="clear" w:color="auto" w:fill="auto"/>
            <w:noWrap/>
          </w:tcPr>
          <w:p w14:paraId="115EEFC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16</w:t>
            </w:r>
          </w:p>
        </w:tc>
        <w:tc>
          <w:tcPr>
            <w:tcW w:w="4214" w:type="dxa"/>
            <w:shd w:val="clear" w:color="auto" w:fill="FFFFFF"/>
          </w:tcPr>
          <w:p w14:paraId="02214824"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51D92BF3"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1)</w:t>
            </w:r>
          </w:p>
        </w:tc>
        <w:tc>
          <w:tcPr>
            <w:tcW w:w="664" w:type="dxa"/>
            <w:noWrap/>
            <w:vAlign w:val="center"/>
          </w:tcPr>
          <w:p w14:paraId="1377DCD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1)</w:t>
            </w:r>
          </w:p>
        </w:tc>
        <w:tc>
          <w:tcPr>
            <w:tcW w:w="1185" w:type="dxa"/>
            <w:noWrap/>
            <w:vAlign w:val="center"/>
          </w:tcPr>
          <w:p w14:paraId="785F696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1)</w:t>
            </w:r>
          </w:p>
        </w:tc>
        <w:tc>
          <w:tcPr>
            <w:tcW w:w="647" w:type="dxa"/>
            <w:noWrap/>
            <w:vAlign w:val="center"/>
          </w:tcPr>
          <w:p w14:paraId="7F5CBEE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414C69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1)</w:t>
            </w:r>
          </w:p>
        </w:tc>
        <w:tc>
          <w:tcPr>
            <w:tcW w:w="500" w:type="dxa"/>
            <w:noWrap/>
            <w:vAlign w:val="center"/>
          </w:tcPr>
          <w:p w14:paraId="4C134F8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BDE71C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1)</w:t>
            </w:r>
          </w:p>
        </w:tc>
        <w:tc>
          <w:tcPr>
            <w:tcW w:w="582" w:type="dxa"/>
            <w:shd w:val="clear" w:color="auto" w:fill="auto"/>
            <w:noWrap/>
            <w:vAlign w:val="center"/>
          </w:tcPr>
          <w:p w14:paraId="3FC02F5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1)</w:t>
            </w:r>
          </w:p>
        </w:tc>
        <w:tc>
          <w:tcPr>
            <w:tcW w:w="670" w:type="dxa"/>
            <w:shd w:val="clear" w:color="auto" w:fill="auto"/>
            <w:vAlign w:val="center"/>
          </w:tcPr>
          <w:p w14:paraId="4AE612F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1)</w:t>
            </w:r>
          </w:p>
        </w:tc>
      </w:tr>
      <w:tr w:rsidR="001F4995" w:rsidRPr="001F4995" w14:paraId="00AD1637" w14:textId="77777777" w:rsidTr="001F4995">
        <w:trPr>
          <w:trHeight w:val="208"/>
        </w:trPr>
        <w:tc>
          <w:tcPr>
            <w:tcW w:w="469" w:type="dxa"/>
            <w:shd w:val="clear" w:color="auto" w:fill="auto"/>
            <w:noWrap/>
          </w:tcPr>
          <w:p w14:paraId="60FAC93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17</w:t>
            </w:r>
          </w:p>
        </w:tc>
        <w:tc>
          <w:tcPr>
            <w:tcW w:w="4214" w:type="dxa"/>
            <w:shd w:val="clear" w:color="auto" w:fill="FFFFFF"/>
          </w:tcPr>
          <w:p w14:paraId="1006ADE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6B497B9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D17041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704645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47" w:type="dxa"/>
            <w:noWrap/>
            <w:vAlign w:val="center"/>
          </w:tcPr>
          <w:p w14:paraId="7E89EE7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C8E202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3733DD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717851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82" w:type="dxa"/>
            <w:shd w:val="clear" w:color="auto" w:fill="auto"/>
            <w:noWrap/>
            <w:vAlign w:val="center"/>
          </w:tcPr>
          <w:p w14:paraId="1C59C17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A5F9A3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bl>
    <w:p w14:paraId="0B39FFB8" w14:textId="53AB0B4D"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1) </w:t>
      </w:r>
      <w:proofErr w:type="gramStart"/>
      <w:r w:rsidRPr="001F4995">
        <w:rPr>
          <w:rFonts w:ascii="Times New Roman" w:eastAsia="Times New Roman" w:hAnsi="Times New Roman" w:cs="Times New Roman"/>
          <w:sz w:val="16"/>
          <w:szCs w:val="16"/>
          <w:lang w:eastAsia="de-DE"/>
        </w:rPr>
        <w:t>Zulässig</w:t>
      </w:r>
      <w:proofErr w:type="gramEnd"/>
      <w:r w:rsidRPr="001F4995">
        <w:rPr>
          <w:rFonts w:ascii="Times New Roman" w:eastAsia="Times New Roman" w:hAnsi="Times New Roman" w:cs="Times New Roman"/>
          <w:sz w:val="16"/>
          <w:szCs w:val="16"/>
          <w:lang w:eastAsia="de-DE"/>
        </w:rPr>
        <w:t xml:space="preserve"> wenn „K“.</w:t>
      </w:r>
    </w:p>
    <w:p w14:paraId="5715BE83" w14:textId="0A7BF7CC" w:rsidR="001F4995" w:rsidRPr="001F4995" w:rsidRDefault="001F4995" w:rsidP="001F4995">
      <w:pPr>
        <w:pStyle w:val="berschrift1"/>
      </w:pPr>
      <w:r>
        <w:rPr>
          <w:rFonts w:ascii="Calibri" w:eastAsia="Calibri" w:hAnsi="Calibri" w:cs="Times New Roman"/>
          <w:sz w:val="24"/>
          <w:szCs w:val="20"/>
          <w:lang w:eastAsia="de-DE"/>
        </w:rPr>
        <w:br w:type="page"/>
      </w:r>
      <w:r w:rsidRPr="008D0377">
        <w:lastRenderedPageBreak/>
        <w:t>Tabelle 15: Hüttensand (HS)</w:t>
      </w:r>
    </w:p>
    <w:p w14:paraId="783A88FE" w14:textId="77777777" w:rsidR="001F4995" w:rsidRPr="001F4995" w:rsidRDefault="001F4995" w:rsidP="001F4995">
      <w:pPr>
        <w:keepNext/>
        <w:spacing w:before="0" w:after="200"/>
        <w:jc w:val="left"/>
        <w:rPr>
          <w:rFonts w:ascii="Times New Roman" w:eastAsia="Calibri" w:hAnsi="Times New Roman" w:cs="Times New Roman"/>
          <w:b/>
          <w:sz w:val="18"/>
          <w:szCs w:val="18"/>
        </w:rPr>
      </w:pPr>
    </w:p>
    <w:tbl>
      <w:tblPr>
        <w:tblW w:w="11459" w:type="dxa"/>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821"/>
        <w:gridCol w:w="715"/>
        <w:gridCol w:w="703"/>
        <w:gridCol w:w="715"/>
        <w:gridCol w:w="542"/>
        <w:gridCol w:w="715"/>
      </w:tblGrid>
      <w:tr w:rsidR="001F4995" w:rsidRPr="001F4995" w14:paraId="262C2946" w14:textId="77777777" w:rsidTr="001F4995">
        <w:trPr>
          <w:trHeight w:val="330"/>
        </w:trPr>
        <w:tc>
          <w:tcPr>
            <w:tcW w:w="11459" w:type="dxa"/>
            <w:gridSpan w:val="11"/>
            <w:noWrap/>
            <w:vAlign w:val="bottom"/>
          </w:tcPr>
          <w:p w14:paraId="78A67D91" w14:textId="77777777" w:rsidR="001F4995" w:rsidRPr="001F4995" w:rsidRDefault="001F4995" w:rsidP="001F4995">
            <w:pPr>
              <w:spacing w:before="0" w:after="0"/>
              <w:jc w:val="center"/>
              <w:rPr>
                <w:rFonts w:ascii="Times New Roman" w:eastAsia="Times New Roman" w:hAnsi="Times New Roman" w:cs="Times New Roman"/>
                <w:b/>
                <w:bCs/>
                <w:sz w:val="24"/>
                <w:szCs w:val="24"/>
                <w:lang w:eastAsia="de-DE"/>
              </w:rPr>
            </w:pP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t>Hüttensand (HS)</w:t>
            </w:r>
          </w:p>
        </w:tc>
      </w:tr>
      <w:tr w:rsidR="001F4995" w:rsidRPr="001F4995" w14:paraId="0B41AF7D" w14:textId="77777777" w:rsidTr="001F4995">
        <w:trPr>
          <w:trHeight w:val="20"/>
        </w:trPr>
        <w:tc>
          <w:tcPr>
            <w:tcW w:w="4683" w:type="dxa"/>
            <w:gridSpan w:val="2"/>
            <w:vMerge w:val="restart"/>
            <w:shd w:val="clear" w:color="auto" w:fill="auto"/>
            <w:noWrap/>
          </w:tcPr>
          <w:p w14:paraId="0738372D"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Einbauweise</w:t>
            </w:r>
          </w:p>
        </w:tc>
        <w:tc>
          <w:tcPr>
            <w:tcW w:w="6776" w:type="dxa"/>
            <w:gridSpan w:val="9"/>
            <w:shd w:val="clear" w:color="auto" w:fill="auto"/>
            <w:noWrap/>
            <w:vAlign w:val="center"/>
          </w:tcPr>
          <w:p w14:paraId="12A97D89"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Eigenschaft der Grundwasserdeckschicht</w:t>
            </w:r>
          </w:p>
        </w:tc>
      </w:tr>
      <w:tr w:rsidR="001F4995" w:rsidRPr="001F4995" w14:paraId="44DF29C5" w14:textId="77777777" w:rsidTr="001F4995">
        <w:trPr>
          <w:trHeight w:val="20"/>
        </w:trPr>
        <w:tc>
          <w:tcPr>
            <w:tcW w:w="4683" w:type="dxa"/>
            <w:gridSpan w:val="2"/>
            <w:vMerge/>
            <w:shd w:val="clear" w:color="auto" w:fill="auto"/>
            <w:noWrap/>
            <w:vAlign w:val="center"/>
          </w:tcPr>
          <w:p w14:paraId="71F60328" w14:textId="77777777" w:rsidR="001F4995" w:rsidRPr="001F4995" w:rsidRDefault="001F4995" w:rsidP="001F4995">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05E410F1"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außerhalb von</w:t>
            </w:r>
          </w:p>
          <w:p w14:paraId="196AA753"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c>
          <w:tcPr>
            <w:tcW w:w="4076" w:type="dxa"/>
            <w:gridSpan w:val="6"/>
            <w:shd w:val="clear" w:color="auto" w:fill="auto"/>
            <w:noWrap/>
            <w:vAlign w:val="center"/>
          </w:tcPr>
          <w:p w14:paraId="2BA1D05A"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innerhalb von</w:t>
            </w:r>
          </w:p>
          <w:p w14:paraId="79C2E52F"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r>
      <w:tr w:rsidR="001F4995" w:rsidRPr="001F4995" w14:paraId="34E258D8" w14:textId="77777777" w:rsidTr="001F4995">
        <w:trPr>
          <w:trHeight w:val="20"/>
        </w:trPr>
        <w:tc>
          <w:tcPr>
            <w:tcW w:w="4683" w:type="dxa"/>
            <w:gridSpan w:val="2"/>
            <w:vMerge/>
            <w:shd w:val="clear" w:color="auto" w:fill="auto"/>
            <w:noWrap/>
            <w:vAlign w:val="center"/>
          </w:tcPr>
          <w:p w14:paraId="4052416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2EA420A1"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proofErr w:type="spellStart"/>
            <w:r w:rsidRPr="001F4995">
              <w:rPr>
                <w:rFonts w:ascii="Times New Roman" w:eastAsia="Times New Roman" w:hAnsi="Times New Roman" w:cs="Times New Roman"/>
                <w:sz w:val="20"/>
                <w:szCs w:val="20"/>
                <w:lang w:eastAsia="de-DE"/>
              </w:rPr>
              <w:t>un</w:t>
            </w:r>
            <w:proofErr w:type="spellEnd"/>
            <w:r w:rsidRPr="001F4995">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69847EE7"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c>
          <w:tcPr>
            <w:tcW w:w="4076" w:type="dxa"/>
            <w:gridSpan w:val="6"/>
            <w:shd w:val="clear" w:color="auto" w:fill="auto"/>
            <w:noWrap/>
            <w:vAlign w:val="center"/>
          </w:tcPr>
          <w:p w14:paraId="1B054986"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r>
      <w:tr w:rsidR="001F4995" w:rsidRPr="001F4995" w14:paraId="27BC2534" w14:textId="77777777" w:rsidTr="001F4995">
        <w:trPr>
          <w:trHeight w:val="20"/>
        </w:trPr>
        <w:tc>
          <w:tcPr>
            <w:tcW w:w="4683" w:type="dxa"/>
            <w:gridSpan w:val="2"/>
            <w:vMerge/>
            <w:shd w:val="clear" w:color="auto" w:fill="auto"/>
            <w:noWrap/>
            <w:vAlign w:val="center"/>
          </w:tcPr>
          <w:p w14:paraId="6A77350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7A3A303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2558DD0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5D23A1EA" w14:textId="63DD71CC"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3B078871" w14:textId="41637D5F"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2B0A294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1491" w:type="dxa"/>
            <w:gridSpan w:val="2"/>
            <w:shd w:val="clear" w:color="auto" w:fill="auto"/>
            <w:noWrap/>
            <w:vAlign w:val="center"/>
          </w:tcPr>
          <w:p w14:paraId="3FDD39B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A</w:t>
            </w:r>
          </w:p>
        </w:tc>
        <w:tc>
          <w:tcPr>
            <w:tcW w:w="1373" w:type="dxa"/>
            <w:gridSpan w:val="2"/>
            <w:shd w:val="clear" w:color="auto" w:fill="auto"/>
            <w:noWrap/>
            <w:vAlign w:val="center"/>
          </w:tcPr>
          <w:p w14:paraId="24FB130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B</w:t>
            </w:r>
          </w:p>
        </w:tc>
        <w:tc>
          <w:tcPr>
            <w:tcW w:w="1212" w:type="dxa"/>
            <w:gridSpan w:val="2"/>
            <w:shd w:val="clear" w:color="auto" w:fill="auto"/>
            <w:noWrap/>
            <w:vAlign w:val="center"/>
          </w:tcPr>
          <w:p w14:paraId="4F165B5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Wasservor-</w:t>
            </w:r>
          </w:p>
        </w:tc>
      </w:tr>
      <w:tr w:rsidR="001F4995" w:rsidRPr="001F4995" w14:paraId="1321F31A" w14:textId="77777777" w:rsidTr="001F4995">
        <w:trPr>
          <w:trHeight w:val="80"/>
        </w:trPr>
        <w:tc>
          <w:tcPr>
            <w:tcW w:w="4683" w:type="dxa"/>
            <w:gridSpan w:val="2"/>
            <w:vMerge/>
            <w:shd w:val="clear" w:color="auto" w:fill="auto"/>
            <w:noWrap/>
            <w:vAlign w:val="center"/>
          </w:tcPr>
          <w:p w14:paraId="77EBFF9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33BA7EC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149DA60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7EF7344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491" w:type="dxa"/>
            <w:gridSpan w:val="2"/>
            <w:shd w:val="clear" w:color="auto" w:fill="auto"/>
            <w:noWrap/>
            <w:vAlign w:val="center"/>
          </w:tcPr>
          <w:p w14:paraId="6C9E856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III</w:t>
            </w:r>
          </w:p>
        </w:tc>
        <w:tc>
          <w:tcPr>
            <w:tcW w:w="1373" w:type="dxa"/>
            <w:gridSpan w:val="2"/>
            <w:shd w:val="clear" w:color="auto" w:fill="auto"/>
            <w:noWrap/>
            <w:vAlign w:val="center"/>
          </w:tcPr>
          <w:p w14:paraId="18709E0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IV</w:t>
            </w:r>
          </w:p>
        </w:tc>
        <w:tc>
          <w:tcPr>
            <w:tcW w:w="1212" w:type="dxa"/>
            <w:gridSpan w:val="2"/>
            <w:shd w:val="clear" w:color="auto" w:fill="auto"/>
            <w:noWrap/>
            <w:vAlign w:val="center"/>
          </w:tcPr>
          <w:p w14:paraId="336A614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ranggebiete</w:t>
            </w:r>
          </w:p>
        </w:tc>
      </w:tr>
      <w:tr w:rsidR="001F4995" w:rsidRPr="001F4995" w14:paraId="7099C48A" w14:textId="77777777" w:rsidTr="001F4995">
        <w:trPr>
          <w:trHeight w:val="80"/>
        </w:trPr>
        <w:tc>
          <w:tcPr>
            <w:tcW w:w="4683" w:type="dxa"/>
            <w:gridSpan w:val="2"/>
            <w:vMerge/>
            <w:shd w:val="clear" w:color="auto" w:fill="auto"/>
            <w:noWrap/>
            <w:vAlign w:val="center"/>
          </w:tcPr>
          <w:p w14:paraId="1877E2E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4A492D3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745924C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1AE5835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21" w:type="dxa"/>
            <w:shd w:val="clear" w:color="auto" w:fill="auto"/>
            <w:noWrap/>
            <w:vAlign w:val="center"/>
          </w:tcPr>
          <w:p w14:paraId="71EBB92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7B2A06BE" w14:textId="20CD6C52"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1651ACA0" w14:textId="03C15238"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5658248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703" w:type="dxa"/>
            <w:shd w:val="clear" w:color="auto" w:fill="auto"/>
            <w:noWrap/>
            <w:vAlign w:val="center"/>
          </w:tcPr>
          <w:p w14:paraId="0E7D536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78F5C838" w14:textId="2A7BEC50"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080F0DD3" w14:textId="6F2574DA"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4492065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3109CAF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5FBB2DC8" w14:textId="0B00CD74"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2AD82E45" w14:textId="38D6912A"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4273D40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r>
      <w:tr w:rsidR="001F4995" w:rsidRPr="001F4995" w14:paraId="627F4C4E" w14:textId="77777777" w:rsidTr="001F4995">
        <w:trPr>
          <w:trHeight w:val="111"/>
        </w:trPr>
        <w:tc>
          <w:tcPr>
            <w:tcW w:w="4683" w:type="dxa"/>
            <w:gridSpan w:val="2"/>
            <w:vMerge/>
            <w:shd w:val="clear" w:color="auto" w:fill="auto"/>
            <w:noWrap/>
            <w:vAlign w:val="center"/>
          </w:tcPr>
          <w:p w14:paraId="5615E49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20EF0B1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w:t>
            </w:r>
          </w:p>
        </w:tc>
        <w:tc>
          <w:tcPr>
            <w:tcW w:w="664" w:type="dxa"/>
            <w:shd w:val="clear" w:color="auto" w:fill="auto"/>
            <w:noWrap/>
            <w:vAlign w:val="center"/>
          </w:tcPr>
          <w:p w14:paraId="0D8A08F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2</w:t>
            </w:r>
          </w:p>
        </w:tc>
        <w:tc>
          <w:tcPr>
            <w:tcW w:w="1185" w:type="dxa"/>
            <w:shd w:val="clear" w:color="auto" w:fill="auto"/>
            <w:noWrap/>
            <w:vAlign w:val="center"/>
          </w:tcPr>
          <w:p w14:paraId="0387A74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3</w:t>
            </w:r>
          </w:p>
        </w:tc>
        <w:tc>
          <w:tcPr>
            <w:tcW w:w="1491" w:type="dxa"/>
            <w:gridSpan w:val="2"/>
            <w:shd w:val="clear" w:color="auto" w:fill="auto"/>
            <w:noWrap/>
            <w:vAlign w:val="center"/>
          </w:tcPr>
          <w:p w14:paraId="06283E2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4</w:t>
            </w:r>
          </w:p>
        </w:tc>
        <w:tc>
          <w:tcPr>
            <w:tcW w:w="1373" w:type="dxa"/>
            <w:gridSpan w:val="2"/>
            <w:shd w:val="clear" w:color="auto" w:fill="auto"/>
            <w:noWrap/>
            <w:vAlign w:val="center"/>
          </w:tcPr>
          <w:p w14:paraId="50E6552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5</w:t>
            </w:r>
          </w:p>
        </w:tc>
        <w:tc>
          <w:tcPr>
            <w:tcW w:w="1212" w:type="dxa"/>
            <w:gridSpan w:val="2"/>
            <w:shd w:val="clear" w:color="auto" w:fill="auto"/>
            <w:noWrap/>
            <w:vAlign w:val="center"/>
          </w:tcPr>
          <w:p w14:paraId="2F5ECA2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6</w:t>
            </w:r>
          </w:p>
        </w:tc>
      </w:tr>
      <w:tr w:rsidR="001F4995" w:rsidRPr="001F4995" w14:paraId="51089963" w14:textId="77777777" w:rsidTr="001F4995">
        <w:trPr>
          <w:trHeight w:val="20"/>
        </w:trPr>
        <w:tc>
          <w:tcPr>
            <w:tcW w:w="469" w:type="dxa"/>
            <w:shd w:val="clear" w:color="auto" w:fill="auto"/>
            <w:noWrap/>
          </w:tcPr>
          <w:p w14:paraId="489F475E"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w:t>
            </w:r>
          </w:p>
        </w:tc>
        <w:tc>
          <w:tcPr>
            <w:tcW w:w="4214" w:type="dxa"/>
            <w:shd w:val="clear" w:color="auto" w:fill="FFFFFF"/>
          </w:tcPr>
          <w:p w14:paraId="2181C4B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0A64FCC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F41EC4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F1344E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shd w:val="clear" w:color="auto" w:fill="auto"/>
            <w:noWrap/>
            <w:vAlign w:val="center"/>
          </w:tcPr>
          <w:p w14:paraId="2147203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0ABD72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noWrap/>
            <w:vAlign w:val="center"/>
          </w:tcPr>
          <w:p w14:paraId="1B694EE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204D10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DD4D77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95A876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DE301EA" w14:textId="77777777" w:rsidTr="001F4995">
        <w:trPr>
          <w:trHeight w:val="20"/>
        </w:trPr>
        <w:tc>
          <w:tcPr>
            <w:tcW w:w="469" w:type="dxa"/>
            <w:shd w:val="clear" w:color="auto" w:fill="auto"/>
            <w:noWrap/>
          </w:tcPr>
          <w:p w14:paraId="51F13C3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2</w:t>
            </w:r>
          </w:p>
        </w:tc>
        <w:tc>
          <w:tcPr>
            <w:tcW w:w="4214" w:type="dxa"/>
            <w:shd w:val="clear" w:color="auto" w:fill="FFFFFF"/>
          </w:tcPr>
          <w:p w14:paraId="2E9ED36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1E20173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0267C4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F7B9D7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7453E17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0FDCEA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33EE961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300E8F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4F71CA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714393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2B236C1" w14:textId="77777777" w:rsidTr="001F4995">
        <w:trPr>
          <w:trHeight w:val="20"/>
        </w:trPr>
        <w:tc>
          <w:tcPr>
            <w:tcW w:w="469" w:type="dxa"/>
            <w:shd w:val="clear" w:color="auto" w:fill="auto"/>
            <w:noWrap/>
          </w:tcPr>
          <w:p w14:paraId="78CD442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3</w:t>
            </w:r>
          </w:p>
        </w:tc>
        <w:tc>
          <w:tcPr>
            <w:tcW w:w="4214" w:type="dxa"/>
            <w:shd w:val="clear" w:color="auto" w:fill="FFFFFF"/>
          </w:tcPr>
          <w:p w14:paraId="75BD47D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7979E6A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493B0D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0F4569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78ABA07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B37265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3DC65A8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D8BCA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6D8181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B20C1A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6271CF5" w14:textId="77777777" w:rsidTr="001F4995">
        <w:trPr>
          <w:trHeight w:val="20"/>
        </w:trPr>
        <w:tc>
          <w:tcPr>
            <w:tcW w:w="469" w:type="dxa"/>
            <w:shd w:val="clear" w:color="auto" w:fill="auto"/>
            <w:noWrap/>
          </w:tcPr>
          <w:p w14:paraId="59EB5318"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4</w:t>
            </w:r>
          </w:p>
        </w:tc>
        <w:tc>
          <w:tcPr>
            <w:tcW w:w="4214" w:type="dxa"/>
            <w:shd w:val="clear" w:color="auto" w:fill="FFFFFF"/>
          </w:tcPr>
          <w:p w14:paraId="33DF966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239A1A0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9E651B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3DACAE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3BA5DFF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58D285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7350B0B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998885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BB44BF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ED46B5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010B523" w14:textId="77777777" w:rsidTr="001F4995">
        <w:trPr>
          <w:trHeight w:val="20"/>
        </w:trPr>
        <w:tc>
          <w:tcPr>
            <w:tcW w:w="469" w:type="dxa"/>
            <w:shd w:val="clear" w:color="auto" w:fill="auto"/>
            <w:noWrap/>
          </w:tcPr>
          <w:p w14:paraId="158EC4F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5</w:t>
            </w:r>
          </w:p>
        </w:tc>
        <w:tc>
          <w:tcPr>
            <w:tcW w:w="4214" w:type="dxa"/>
            <w:shd w:val="clear" w:color="auto" w:fill="FFFFFF"/>
          </w:tcPr>
          <w:p w14:paraId="2125EE2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472EF6A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FB981B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AB23EE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6323A2F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92EE9E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47CFB0B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5BB0AA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393E4D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BBF970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7D1B9A1" w14:textId="77777777" w:rsidTr="001F4995">
        <w:trPr>
          <w:trHeight w:val="20"/>
        </w:trPr>
        <w:tc>
          <w:tcPr>
            <w:tcW w:w="469" w:type="dxa"/>
            <w:shd w:val="clear" w:color="auto" w:fill="auto"/>
            <w:noWrap/>
          </w:tcPr>
          <w:p w14:paraId="2C01ED43"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6</w:t>
            </w:r>
          </w:p>
        </w:tc>
        <w:tc>
          <w:tcPr>
            <w:tcW w:w="4214" w:type="dxa"/>
            <w:shd w:val="clear" w:color="auto" w:fill="FFFFFF"/>
          </w:tcPr>
          <w:p w14:paraId="60F7EC3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222EFC9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F9DD0B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45C4FA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4469620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9E1CF7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06E1529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D2B1BF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49DC9EC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FC4468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341DC78" w14:textId="77777777" w:rsidTr="001F4995">
        <w:trPr>
          <w:trHeight w:val="20"/>
        </w:trPr>
        <w:tc>
          <w:tcPr>
            <w:tcW w:w="469" w:type="dxa"/>
            <w:shd w:val="clear" w:color="auto" w:fill="auto"/>
            <w:noWrap/>
          </w:tcPr>
          <w:p w14:paraId="63CB0524"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7</w:t>
            </w:r>
          </w:p>
        </w:tc>
        <w:tc>
          <w:tcPr>
            <w:tcW w:w="4214" w:type="dxa"/>
            <w:shd w:val="clear" w:color="auto" w:fill="FFFFFF"/>
          </w:tcPr>
          <w:p w14:paraId="7E9123F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Schottertragschicht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211ED96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786663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A0CD94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19F8253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FB8F0E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54FE5E5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D758DE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1D1215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EF90BA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96106DA" w14:textId="77777777" w:rsidTr="001F4995">
        <w:trPr>
          <w:trHeight w:val="20"/>
        </w:trPr>
        <w:tc>
          <w:tcPr>
            <w:tcW w:w="469" w:type="dxa"/>
            <w:shd w:val="clear" w:color="auto" w:fill="auto"/>
            <w:noWrap/>
          </w:tcPr>
          <w:p w14:paraId="30B39B4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8</w:t>
            </w:r>
          </w:p>
        </w:tc>
        <w:tc>
          <w:tcPr>
            <w:tcW w:w="4214" w:type="dxa"/>
            <w:shd w:val="clear" w:color="auto" w:fill="FFFFFF"/>
          </w:tcPr>
          <w:p w14:paraId="755972D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Frostschutzschicht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0396D5A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C90438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57CAC8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2AF2856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4F40D7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11B57AA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A2F2C2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EBD21E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8CA065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5EAA158" w14:textId="77777777" w:rsidTr="001F4995">
        <w:trPr>
          <w:trHeight w:val="20"/>
        </w:trPr>
        <w:tc>
          <w:tcPr>
            <w:tcW w:w="469" w:type="dxa"/>
            <w:shd w:val="clear" w:color="auto" w:fill="auto"/>
            <w:noWrap/>
          </w:tcPr>
          <w:p w14:paraId="5A50A03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9</w:t>
            </w:r>
          </w:p>
        </w:tc>
        <w:tc>
          <w:tcPr>
            <w:tcW w:w="4214" w:type="dxa"/>
            <w:shd w:val="clear" w:color="auto" w:fill="FFFFFF"/>
          </w:tcPr>
          <w:p w14:paraId="621FB26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Dämme oder Wälle gemäß Bauweisen A-D nach MTSE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750BF16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6381FE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22BEE8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3A6996B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FC6D73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0A3C68A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A877D5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4AE09F6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64F93E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9AC91FD" w14:textId="77777777" w:rsidTr="001F4995">
        <w:trPr>
          <w:trHeight w:val="20"/>
        </w:trPr>
        <w:tc>
          <w:tcPr>
            <w:tcW w:w="469" w:type="dxa"/>
            <w:shd w:val="clear" w:color="auto" w:fill="auto"/>
            <w:noWrap/>
          </w:tcPr>
          <w:p w14:paraId="253C9A4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10</w:t>
            </w:r>
          </w:p>
        </w:tc>
        <w:tc>
          <w:tcPr>
            <w:tcW w:w="4214" w:type="dxa"/>
            <w:shd w:val="clear" w:color="auto" w:fill="FFFFFF"/>
          </w:tcPr>
          <w:p w14:paraId="20F7E340"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60D5C3F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3CC0A5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5B662A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00F2BA5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AE28A9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5FECBD6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82AA39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36D2677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0D72B8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D2429FC" w14:textId="77777777" w:rsidTr="001F4995">
        <w:trPr>
          <w:trHeight w:val="20"/>
        </w:trPr>
        <w:tc>
          <w:tcPr>
            <w:tcW w:w="469" w:type="dxa"/>
            <w:shd w:val="clear" w:color="auto" w:fill="auto"/>
            <w:noWrap/>
          </w:tcPr>
          <w:p w14:paraId="0C694B23"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11</w:t>
            </w:r>
          </w:p>
        </w:tc>
        <w:tc>
          <w:tcPr>
            <w:tcW w:w="4214" w:type="dxa"/>
            <w:shd w:val="clear" w:color="auto" w:fill="FFFFFF"/>
          </w:tcPr>
          <w:p w14:paraId="3E74485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0E082E8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AED298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760483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33BF23C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6CD1D5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45EAFFA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35E5ED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366A432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59E836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659F096" w14:textId="77777777" w:rsidTr="001F4995">
        <w:trPr>
          <w:trHeight w:val="20"/>
        </w:trPr>
        <w:tc>
          <w:tcPr>
            <w:tcW w:w="469" w:type="dxa"/>
            <w:shd w:val="clear" w:color="auto" w:fill="auto"/>
            <w:noWrap/>
          </w:tcPr>
          <w:p w14:paraId="7F6B9663"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12</w:t>
            </w:r>
          </w:p>
        </w:tc>
        <w:tc>
          <w:tcPr>
            <w:tcW w:w="4214" w:type="dxa"/>
            <w:shd w:val="clear" w:color="auto" w:fill="FFFFFF"/>
          </w:tcPr>
          <w:p w14:paraId="5D755F1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Deckschicht ohne Bindemittel</w:t>
            </w:r>
          </w:p>
        </w:tc>
        <w:tc>
          <w:tcPr>
            <w:tcW w:w="851" w:type="dxa"/>
            <w:noWrap/>
            <w:vAlign w:val="center"/>
          </w:tcPr>
          <w:p w14:paraId="7ACE747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D57A58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6769FF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0FE276E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DF7748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noWrap/>
            <w:vAlign w:val="center"/>
          </w:tcPr>
          <w:p w14:paraId="193E09E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C0EB8D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5BD6B6D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732790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41333DB" w14:textId="77777777" w:rsidTr="001F4995">
        <w:trPr>
          <w:trHeight w:val="20"/>
        </w:trPr>
        <w:tc>
          <w:tcPr>
            <w:tcW w:w="469" w:type="dxa"/>
            <w:shd w:val="clear" w:color="auto" w:fill="auto"/>
            <w:noWrap/>
          </w:tcPr>
          <w:p w14:paraId="036F8BAE"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13</w:t>
            </w:r>
          </w:p>
        </w:tc>
        <w:tc>
          <w:tcPr>
            <w:tcW w:w="4214" w:type="dxa"/>
            <w:shd w:val="clear" w:color="auto" w:fill="FFFFFF"/>
          </w:tcPr>
          <w:p w14:paraId="694E35E0"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7875BDE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64" w:type="dxa"/>
            <w:noWrap/>
            <w:vAlign w:val="center"/>
          </w:tcPr>
          <w:p w14:paraId="5802ED2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34FFD6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shd w:val="clear" w:color="auto" w:fill="auto"/>
            <w:noWrap/>
            <w:vAlign w:val="center"/>
          </w:tcPr>
          <w:p w14:paraId="2EB9404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1)</w:t>
            </w:r>
          </w:p>
        </w:tc>
        <w:tc>
          <w:tcPr>
            <w:tcW w:w="670" w:type="dxa"/>
            <w:vAlign w:val="center"/>
          </w:tcPr>
          <w:p w14:paraId="13E3677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noWrap/>
            <w:vAlign w:val="center"/>
          </w:tcPr>
          <w:p w14:paraId="16052D4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1)</w:t>
            </w:r>
          </w:p>
        </w:tc>
        <w:tc>
          <w:tcPr>
            <w:tcW w:w="670" w:type="dxa"/>
            <w:vAlign w:val="center"/>
          </w:tcPr>
          <w:p w14:paraId="5FA5D51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77ED330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61CB01DC"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lang w:eastAsia="de-DE"/>
              </w:rPr>
              <w:t>+</w:t>
            </w:r>
          </w:p>
        </w:tc>
      </w:tr>
      <w:tr w:rsidR="001F4995" w:rsidRPr="001F4995" w14:paraId="79D72277" w14:textId="77777777" w:rsidTr="001F4995">
        <w:trPr>
          <w:trHeight w:val="20"/>
        </w:trPr>
        <w:tc>
          <w:tcPr>
            <w:tcW w:w="469" w:type="dxa"/>
            <w:shd w:val="clear" w:color="auto" w:fill="auto"/>
            <w:noWrap/>
          </w:tcPr>
          <w:p w14:paraId="2FB937B8"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14</w:t>
            </w:r>
          </w:p>
        </w:tc>
        <w:tc>
          <w:tcPr>
            <w:tcW w:w="4214" w:type="dxa"/>
            <w:shd w:val="clear" w:color="auto" w:fill="FFFFFF"/>
          </w:tcPr>
          <w:p w14:paraId="6F9B5B8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Plattenbelägen</w:t>
            </w:r>
          </w:p>
        </w:tc>
        <w:tc>
          <w:tcPr>
            <w:tcW w:w="851" w:type="dxa"/>
            <w:noWrap/>
            <w:vAlign w:val="center"/>
          </w:tcPr>
          <w:p w14:paraId="3613CB3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64" w:type="dxa"/>
            <w:noWrap/>
            <w:vAlign w:val="center"/>
          </w:tcPr>
          <w:p w14:paraId="306725F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02939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shd w:val="clear" w:color="auto" w:fill="auto"/>
            <w:noWrap/>
            <w:vAlign w:val="center"/>
          </w:tcPr>
          <w:p w14:paraId="488313CB"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1)</w:t>
            </w:r>
          </w:p>
        </w:tc>
        <w:tc>
          <w:tcPr>
            <w:tcW w:w="670" w:type="dxa"/>
            <w:vAlign w:val="center"/>
          </w:tcPr>
          <w:p w14:paraId="679B1F2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noWrap/>
            <w:vAlign w:val="center"/>
          </w:tcPr>
          <w:p w14:paraId="4507CDB3"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1)</w:t>
            </w:r>
          </w:p>
        </w:tc>
        <w:tc>
          <w:tcPr>
            <w:tcW w:w="670" w:type="dxa"/>
            <w:vAlign w:val="center"/>
          </w:tcPr>
          <w:p w14:paraId="576B296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451FA13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9799F0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77F3E9A" w14:textId="77777777" w:rsidTr="001F4995">
        <w:trPr>
          <w:trHeight w:val="20"/>
        </w:trPr>
        <w:tc>
          <w:tcPr>
            <w:tcW w:w="469" w:type="dxa"/>
            <w:shd w:val="clear" w:color="auto" w:fill="auto"/>
            <w:noWrap/>
          </w:tcPr>
          <w:p w14:paraId="4D521548"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15</w:t>
            </w:r>
          </w:p>
        </w:tc>
        <w:tc>
          <w:tcPr>
            <w:tcW w:w="4214" w:type="dxa"/>
            <w:shd w:val="clear" w:color="auto" w:fill="FFFFFF"/>
          </w:tcPr>
          <w:p w14:paraId="6107544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713921E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64" w:type="dxa"/>
            <w:noWrap/>
            <w:vAlign w:val="center"/>
          </w:tcPr>
          <w:p w14:paraId="37D75DC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C35B60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shd w:val="clear" w:color="auto" w:fill="auto"/>
            <w:noWrap/>
            <w:vAlign w:val="center"/>
          </w:tcPr>
          <w:p w14:paraId="1394BB08"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1)</w:t>
            </w:r>
          </w:p>
        </w:tc>
        <w:tc>
          <w:tcPr>
            <w:tcW w:w="670" w:type="dxa"/>
            <w:vAlign w:val="center"/>
          </w:tcPr>
          <w:p w14:paraId="4BD7D3E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noWrap/>
            <w:vAlign w:val="center"/>
          </w:tcPr>
          <w:p w14:paraId="31E864DC"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1)</w:t>
            </w:r>
          </w:p>
        </w:tc>
        <w:tc>
          <w:tcPr>
            <w:tcW w:w="670" w:type="dxa"/>
            <w:vAlign w:val="center"/>
          </w:tcPr>
          <w:p w14:paraId="3B722B0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25E8B27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B131E5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11738AA" w14:textId="77777777" w:rsidTr="001F4995">
        <w:trPr>
          <w:trHeight w:val="20"/>
        </w:trPr>
        <w:tc>
          <w:tcPr>
            <w:tcW w:w="469" w:type="dxa"/>
            <w:shd w:val="clear" w:color="auto" w:fill="auto"/>
            <w:noWrap/>
          </w:tcPr>
          <w:p w14:paraId="47917BE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16</w:t>
            </w:r>
          </w:p>
        </w:tc>
        <w:tc>
          <w:tcPr>
            <w:tcW w:w="4214" w:type="dxa"/>
            <w:shd w:val="clear" w:color="auto" w:fill="FFFFFF"/>
          </w:tcPr>
          <w:p w14:paraId="334A29B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3F2F86E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64" w:type="dxa"/>
            <w:noWrap/>
            <w:vAlign w:val="center"/>
          </w:tcPr>
          <w:p w14:paraId="1D565C6D"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52490A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shd w:val="clear" w:color="auto" w:fill="auto"/>
            <w:noWrap/>
            <w:vAlign w:val="center"/>
          </w:tcPr>
          <w:p w14:paraId="36CDFBFC"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2)</w:t>
            </w:r>
          </w:p>
        </w:tc>
        <w:tc>
          <w:tcPr>
            <w:tcW w:w="670" w:type="dxa"/>
            <w:vAlign w:val="center"/>
          </w:tcPr>
          <w:p w14:paraId="1748B78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noWrap/>
            <w:vAlign w:val="center"/>
          </w:tcPr>
          <w:p w14:paraId="5BB6A797"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2)</w:t>
            </w:r>
          </w:p>
        </w:tc>
        <w:tc>
          <w:tcPr>
            <w:tcW w:w="670" w:type="dxa"/>
            <w:vAlign w:val="center"/>
          </w:tcPr>
          <w:p w14:paraId="0948200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2F00792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0351FF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DAB9AD8" w14:textId="77777777" w:rsidTr="001F4995">
        <w:trPr>
          <w:trHeight w:val="208"/>
        </w:trPr>
        <w:tc>
          <w:tcPr>
            <w:tcW w:w="469" w:type="dxa"/>
            <w:shd w:val="clear" w:color="auto" w:fill="auto"/>
            <w:noWrap/>
          </w:tcPr>
          <w:p w14:paraId="02E5C2F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17</w:t>
            </w:r>
          </w:p>
        </w:tc>
        <w:tc>
          <w:tcPr>
            <w:tcW w:w="4214" w:type="dxa"/>
            <w:shd w:val="clear" w:color="auto" w:fill="FFFFFF"/>
          </w:tcPr>
          <w:p w14:paraId="4375B5E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15D04AE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664" w:type="dxa"/>
            <w:noWrap/>
            <w:vAlign w:val="center"/>
          </w:tcPr>
          <w:p w14:paraId="72D5F3DA"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4F8E90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shd w:val="clear" w:color="auto" w:fill="auto"/>
            <w:noWrap/>
            <w:vAlign w:val="center"/>
          </w:tcPr>
          <w:p w14:paraId="2C10B50B"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3)</w:t>
            </w:r>
          </w:p>
        </w:tc>
        <w:tc>
          <w:tcPr>
            <w:tcW w:w="670" w:type="dxa"/>
            <w:vAlign w:val="center"/>
          </w:tcPr>
          <w:p w14:paraId="17FE385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3" w:type="dxa"/>
            <w:shd w:val="clear" w:color="auto" w:fill="auto"/>
            <w:noWrap/>
            <w:vAlign w:val="center"/>
          </w:tcPr>
          <w:p w14:paraId="0EC55208" w14:textId="77777777" w:rsidR="001F4995" w:rsidRPr="001F4995" w:rsidRDefault="001F4995" w:rsidP="001F4995">
            <w:pPr>
              <w:spacing w:before="0" w:after="0"/>
              <w:jc w:val="center"/>
              <w:rPr>
                <w:rFonts w:ascii="Times New Roman" w:eastAsia="Times New Roman" w:hAnsi="Times New Roman" w:cs="Times New Roman"/>
                <w:sz w:val="24"/>
                <w:szCs w:val="24"/>
                <w:vertAlign w:val="superscript"/>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sz w:val="24"/>
                <w:szCs w:val="24"/>
                <w:vertAlign w:val="superscript"/>
                <w:lang w:eastAsia="de-DE"/>
              </w:rPr>
              <w:t>3)</w:t>
            </w:r>
          </w:p>
        </w:tc>
        <w:tc>
          <w:tcPr>
            <w:tcW w:w="670" w:type="dxa"/>
            <w:vAlign w:val="center"/>
          </w:tcPr>
          <w:p w14:paraId="42E8B54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747E48D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BBE46B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bl>
    <w:p w14:paraId="7B602B6E"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1) Zulässig, wenn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30 µg/l. </w:t>
      </w:r>
    </w:p>
    <w:p w14:paraId="336F086F"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2) </w:t>
      </w:r>
      <w:proofErr w:type="gramStart"/>
      <w:r w:rsidRPr="001F4995">
        <w:rPr>
          <w:rFonts w:ascii="Times New Roman" w:eastAsia="Times New Roman" w:hAnsi="Times New Roman" w:cs="Times New Roman"/>
          <w:sz w:val="16"/>
          <w:szCs w:val="16"/>
          <w:lang w:eastAsia="de-DE"/>
        </w:rPr>
        <w:t>Zulässig</w:t>
      </w:r>
      <w:proofErr w:type="gramEnd"/>
      <w:r w:rsidRPr="001F4995">
        <w:rPr>
          <w:rFonts w:ascii="Times New Roman" w:eastAsia="Times New Roman" w:hAnsi="Times New Roman" w:cs="Times New Roman"/>
          <w:sz w:val="16"/>
          <w:szCs w:val="16"/>
          <w:lang w:eastAsia="de-DE"/>
        </w:rPr>
        <w:t xml:space="preserve"> wenn „K“ oder wenn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30 µg/l. </w:t>
      </w:r>
    </w:p>
    <w:p w14:paraId="45A34C56" w14:textId="77777777" w:rsid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3) </w:t>
      </w:r>
      <w:proofErr w:type="gramStart"/>
      <w:r w:rsidRPr="001F4995">
        <w:rPr>
          <w:rFonts w:ascii="Times New Roman" w:eastAsia="Times New Roman" w:hAnsi="Times New Roman" w:cs="Times New Roman"/>
          <w:sz w:val="16"/>
          <w:szCs w:val="16"/>
          <w:lang w:eastAsia="de-DE"/>
        </w:rPr>
        <w:t>Zulässig</w:t>
      </w:r>
      <w:proofErr w:type="gramEnd"/>
      <w:r w:rsidRPr="001F4995">
        <w:rPr>
          <w:rFonts w:ascii="Times New Roman" w:eastAsia="Times New Roman" w:hAnsi="Times New Roman" w:cs="Times New Roman"/>
          <w:sz w:val="16"/>
          <w:szCs w:val="16"/>
          <w:lang w:eastAsia="de-DE"/>
        </w:rPr>
        <w:t xml:space="preserve"> wenn „M“ oder wenn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30 µg/l. </w:t>
      </w:r>
    </w:p>
    <w:p w14:paraId="35EFAA9F" w14:textId="50DE000F" w:rsidR="001F4995" w:rsidRPr="001F4995" w:rsidRDefault="001F4995" w:rsidP="001F4995">
      <w:pPr>
        <w:pStyle w:val="berschrift1"/>
      </w:pPr>
      <w:r>
        <w:rPr>
          <w:lang w:eastAsia="de-DE"/>
        </w:rPr>
        <w:br w:type="page"/>
      </w:r>
      <w:r w:rsidRPr="008D0377">
        <w:lastRenderedPageBreak/>
        <w:t>Tabelle 16: Stahlwerksschlacke der Klasse 1 (SWS-1)</w:t>
      </w:r>
    </w:p>
    <w:p w14:paraId="46715FF1" w14:textId="77777777" w:rsidR="001F4995" w:rsidRPr="001F4995" w:rsidRDefault="001F4995" w:rsidP="001F4995">
      <w:pPr>
        <w:keepNext/>
        <w:spacing w:before="0" w:after="200"/>
        <w:jc w:val="left"/>
        <w:rPr>
          <w:rFonts w:ascii="Times New Roman" w:eastAsia="Calibri" w:hAnsi="Times New Roman" w:cs="Times New Roman"/>
          <w:b/>
          <w:sz w:val="18"/>
          <w:szCs w:val="18"/>
        </w:rPr>
      </w:pPr>
    </w:p>
    <w:tbl>
      <w:tblPr>
        <w:tblW w:w="11042" w:type="dxa"/>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607"/>
        <w:gridCol w:w="715"/>
        <w:gridCol w:w="500"/>
        <w:gridCol w:w="715"/>
        <w:gridCol w:w="542"/>
        <w:gridCol w:w="715"/>
      </w:tblGrid>
      <w:tr w:rsidR="001F4995" w:rsidRPr="001F4995" w14:paraId="22B36BA4" w14:textId="77777777" w:rsidTr="001F4995">
        <w:trPr>
          <w:trHeight w:val="330"/>
        </w:trPr>
        <w:tc>
          <w:tcPr>
            <w:tcW w:w="11042" w:type="dxa"/>
            <w:gridSpan w:val="11"/>
            <w:noWrap/>
            <w:vAlign w:val="bottom"/>
          </w:tcPr>
          <w:p w14:paraId="067A73A6" w14:textId="77777777" w:rsidR="001F4995" w:rsidRPr="001F4995" w:rsidRDefault="001F4995" w:rsidP="001F4995">
            <w:pPr>
              <w:spacing w:before="0" w:after="0"/>
              <w:jc w:val="center"/>
              <w:rPr>
                <w:rFonts w:ascii="Times New Roman" w:eastAsia="Times New Roman" w:hAnsi="Times New Roman" w:cs="Times New Roman"/>
                <w:b/>
                <w:bCs/>
                <w:sz w:val="24"/>
                <w:szCs w:val="24"/>
                <w:lang w:eastAsia="de-DE"/>
              </w:rPr>
            </w:pP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t>Stahlwerksschlacke der Klasse 1 (SWS-1)</w:t>
            </w:r>
          </w:p>
        </w:tc>
      </w:tr>
      <w:tr w:rsidR="001F4995" w:rsidRPr="001F4995" w14:paraId="3B84BF21" w14:textId="77777777" w:rsidTr="001F4995">
        <w:trPr>
          <w:trHeight w:val="20"/>
        </w:trPr>
        <w:tc>
          <w:tcPr>
            <w:tcW w:w="4683" w:type="dxa"/>
            <w:gridSpan w:val="2"/>
            <w:vMerge w:val="restart"/>
            <w:shd w:val="clear" w:color="auto" w:fill="auto"/>
            <w:noWrap/>
          </w:tcPr>
          <w:p w14:paraId="58353F3B"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Einbauweise</w:t>
            </w:r>
          </w:p>
        </w:tc>
        <w:tc>
          <w:tcPr>
            <w:tcW w:w="6359" w:type="dxa"/>
            <w:gridSpan w:val="9"/>
            <w:shd w:val="clear" w:color="auto" w:fill="auto"/>
            <w:noWrap/>
            <w:vAlign w:val="center"/>
          </w:tcPr>
          <w:p w14:paraId="0DC78D4F"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Eigenschaft der Grundwasserdeckschicht</w:t>
            </w:r>
          </w:p>
        </w:tc>
      </w:tr>
      <w:tr w:rsidR="001F4995" w:rsidRPr="001F4995" w14:paraId="29AB7DF7" w14:textId="77777777" w:rsidTr="001F4995">
        <w:trPr>
          <w:trHeight w:val="20"/>
        </w:trPr>
        <w:tc>
          <w:tcPr>
            <w:tcW w:w="4683" w:type="dxa"/>
            <w:gridSpan w:val="2"/>
            <w:vMerge/>
            <w:shd w:val="clear" w:color="auto" w:fill="auto"/>
            <w:noWrap/>
            <w:vAlign w:val="center"/>
          </w:tcPr>
          <w:p w14:paraId="6EA52E00" w14:textId="77777777" w:rsidR="001F4995" w:rsidRPr="001F4995" w:rsidRDefault="001F4995" w:rsidP="001F4995">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51E2AE1C"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außerhalb von</w:t>
            </w:r>
          </w:p>
          <w:p w14:paraId="003E489C"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c>
          <w:tcPr>
            <w:tcW w:w="3659" w:type="dxa"/>
            <w:gridSpan w:val="6"/>
            <w:shd w:val="clear" w:color="auto" w:fill="auto"/>
            <w:noWrap/>
            <w:vAlign w:val="center"/>
          </w:tcPr>
          <w:p w14:paraId="70743361"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innerhalb von</w:t>
            </w:r>
          </w:p>
          <w:p w14:paraId="34E3FE9C"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r>
      <w:tr w:rsidR="001F4995" w:rsidRPr="001F4995" w14:paraId="61FCFF34" w14:textId="77777777" w:rsidTr="001F4995">
        <w:trPr>
          <w:trHeight w:val="20"/>
        </w:trPr>
        <w:tc>
          <w:tcPr>
            <w:tcW w:w="4683" w:type="dxa"/>
            <w:gridSpan w:val="2"/>
            <w:vMerge/>
            <w:shd w:val="clear" w:color="auto" w:fill="auto"/>
            <w:noWrap/>
            <w:vAlign w:val="center"/>
          </w:tcPr>
          <w:p w14:paraId="330C37A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76C01A72"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proofErr w:type="spellStart"/>
            <w:r w:rsidRPr="001F4995">
              <w:rPr>
                <w:rFonts w:ascii="Times New Roman" w:eastAsia="Times New Roman" w:hAnsi="Times New Roman" w:cs="Times New Roman"/>
                <w:sz w:val="20"/>
                <w:szCs w:val="20"/>
                <w:lang w:eastAsia="de-DE"/>
              </w:rPr>
              <w:t>un</w:t>
            </w:r>
            <w:proofErr w:type="spellEnd"/>
            <w:r w:rsidRPr="001F4995">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42C36F44"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c>
          <w:tcPr>
            <w:tcW w:w="3659" w:type="dxa"/>
            <w:gridSpan w:val="6"/>
            <w:shd w:val="clear" w:color="auto" w:fill="auto"/>
            <w:noWrap/>
            <w:vAlign w:val="center"/>
          </w:tcPr>
          <w:p w14:paraId="5E905440"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r>
      <w:tr w:rsidR="001F4995" w:rsidRPr="001F4995" w14:paraId="4B25A675" w14:textId="77777777" w:rsidTr="001F4995">
        <w:trPr>
          <w:trHeight w:val="20"/>
        </w:trPr>
        <w:tc>
          <w:tcPr>
            <w:tcW w:w="4683" w:type="dxa"/>
            <w:gridSpan w:val="2"/>
            <w:vMerge/>
            <w:shd w:val="clear" w:color="auto" w:fill="auto"/>
            <w:noWrap/>
            <w:vAlign w:val="center"/>
          </w:tcPr>
          <w:p w14:paraId="41D7539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7CADCE2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32CB486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3BA63A5D" w14:textId="1A8BD0AD"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7319E789" w14:textId="00D13D3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Schluff, </w:t>
            </w:r>
          </w:p>
          <w:p w14:paraId="43D4663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1277" w:type="dxa"/>
            <w:gridSpan w:val="2"/>
            <w:shd w:val="clear" w:color="auto" w:fill="auto"/>
            <w:noWrap/>
            <w:vAlign w:val="center"/>
          </w:tcPr>
          <w:p w14:paraId="4662E23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5A8C35D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B</w:t>
            </w:r>
          </w:p>
        </w:tc>
        <w:tc>
          <w:tcPr>
            <w:tcW w:w="1212" w:type="dxa"/>
            <w:gridSpan w:val="2"/>
            <w:shd w:val="clear" w:color="auto" w:fill="auto"/>
            <w:noWrap/>
            <w:vAlign w:val="center"/>
          </w:tcPr>
          <w:p w14:paraId="4FFA29E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Wasservor-</w:t>
            </w:r>
          </w:p>
        </w:tc>
      </w:tr>
      <w:tr w:rsidR="001F4995" w:rsidRPr="001F4995" w14:paraId="489570B8" w14:textId="77777777" w:rsidTr="001F4995">
        <w:trPr>
          <w:trHeight w:val="80"/>
        </w:trPr>
        <w:tc>
          <w:tcPr>
            <w:tcW w:w="4683" w:type="dxa"/>
            <w:gridSpan w:val="2"/>
            <w:vMerge/>
            <w:shd w:val="clear" w:color="auto" w:fill="auto"/>
            <w:noWrap/>
            <w:vAlign w:val="center"/>
          </w:tcPr>
          <w:p w14:paraId="7E6FAAC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1CF83B3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7A045E0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14993E5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277" w:type="dxa"/>
            <w:gridSpan w:val="2"/>
            <w:shd w:val="clear" w:color="auto" w:fill="auto"/>
            <w:noWrap/>
            <w:vAlign w:val="center"/>
          </w:tcPr>
          <w:p w14:paraId="55F86D6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36893F2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IV</w:t>
            </w:r>
          </w:p>
        </w:tc>
        <w:tc>
          <w:tcPr>
            <w:tcW w:w="1212" w:type="dxa"/>
            <w:gridSpan w:val="2"/>
            <w:shd w:val="clear" w:color="auto" w:fill="auto"/>
            <w:noWrap/>
            <w:vAlign w:val="center"/>
          </w:tcPr>
          <w:p w14:paraId="4A48093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ranggebiete</w:t>
            </w:r>
          </w:p>
        </w:tc>
      </w:tr>
      <w:tr w:rsidR="001F4995" w:rsidRPr="001F4995" w14:paraId="758F21F5" w14:textId="77777777" w:rsidTr="001F4995">
        <w:trPr>
          <w:trHeight w:val="80"/>
        </w:trPr>
        <w:tc>
          <w:tcPr>
            <w:tcW w:w="4683" w:type="dxa"/>
            <w:gridSpan w:val="2"/>
            <w:vMerge/>
            <w:shd w:val="clear" w:color="auto" w:fill="auto"/>
            <w:noWrap/>
            <w:vAlign w:val="center"/>
          </w:tcPr>
          <w:p w14:paraId="28122D7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5C671A4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7A67ECC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7FF3B06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07" w:type="dxa"/>
            <w:shd w:val="clear" w:color="auto" w:fill="auto"/>
            <w:noWrap/>
            <w:vAlign w:val="center"/>
          </w:tcPr>
          <w:p w14:paraId="42C4953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0A9D9223" w14:textId="76261B94"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59FC07CE" w14:textId="2EFCEA3D"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34C4416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680ED96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1CB6FFFD" w14:textId="37B2F3B6"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33874FE6" w14:textId="673C66E1"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6910ECD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495BD0F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626CAF81" w14:textId="1343B6CF"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7E95D9E7" w14:textId="27C8DA59"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55D55E4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r>
      <w:tr w:rsidR="001F4995" w:rsidRPr="001F4995" w14:paraId="39357B2F" w14:textId="77777777" w:rsidTr="001F4995">
        <w:trPr>
          <w:trHeight w:val="111"/>
        </w:trPr>
        <w:tc>
          <w:tcPr>
            <w:tcW w:w="4683" w:type="dxa"/>
            <w:gridSpan w:val="2"/>
            <w:vMerge/>
            <w:shd w:val="clear" w:color="auto" w:fill="auto"/>
            <w:noWrap/>
            <w:vAlign w:val="center"/>
          </w:tcPr>
          <w:p w14:paraId="0F16B57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753D04B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w:t>
            </w:r>
          </w:p>
        </w:tc>
        <w:tc>
          <w:tcPr>
            <w:tcW w:w="664" w:type="dxa"/>
            <w:shd w:val="clear" w:color="auto" w:fill="auto"/>
            <w:noWrap/>
            <w:vAlign w:val="center"/>
          </w:tcPr>
          <w:p w14:paraId="40EB33A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2</w:t>
            </w:r>
          </w:p>
        </w:tc>
        <w:tc>
          <w:tcPr>
            <w:tcW w:w="1185" w:type="dxa"/>
            <w:shd w:val="clear" w:color="auto" w:fill="auto"/>
            <w:noWrap/>
            <w:vAlign w:val="center"/>
          </w:tcPr>
          <w:p w14:paraId="1A287C3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3</w:t>
            </w:r>
          </w:p>
        </w:tc>
        <w:tc>
          <w:tcPr>
            <w:tcW w:w="1277" w:type="dxa"/>
            <w:gridSpan w:val="2"/>
            <w:shd w:val="clear" w:color="auto" w:fill="auto"/>
            <w:noWrap/>
            <w:vAlign w:val="center"/>
          </w:tcPr>
          <w:p w14:paraId="1E32CDF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1E14FB4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5</w:t>
            </w:r>
          </w:p>
        </w:tc>
        <w:tc>
          <w:tcPr>
            <w:tcW w:w="1212" w:type="dxa"/>
            <w:gridSpan w:val="2"/>
            <w:shd w:val="clear" w:color="auto" w:fill="auto"/>
            <w:noWrap/>
            <w:vAlign w:val="center"/>
          </w:tcPr>
          <w:p w14:paraId="25F8147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6</w:t>
            </w:r>
          </w:p>
        </w:tc>
      </w:tr>
      <w:tr w:rsidR="001F4995" w:rsidRPr="001F4995" w14:paraId="19515FB6" w14:textId="77777777" w:rsidTr="001F4995">
        <w:trPr>
          <w:trHeight w:val="20"/>
        </w:trPr>
        <w:tc>
          <w:tcPr>
            <w:tcW w:w="469" w:type="dxa"/>
            <w:shd w:val="clear" w:color="auto" w:fill="auto"/>
            <w:noWrap/>
          </w:tcPr>
          <w:p w14:paraId="53C39A22"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w:t>
            </w:r>
          </w:p>
        </w:tc>
        <w:tc>
          <w:tcPr>
            <w:tcW w:w="4214" w:type="dxa"/>
            <w:shd w:val="clear" w:color="auto" w:fill="FFFFFF"/>
          </w:tcPr>
          <w:p w14:paraId="11FCDEF3"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shd w:val="clear" w:color="auto" w:fill="auto"/>
            <w:noWrap/>
            <w:vAlign w:val="center"/>
          </w:tcPr>
          <w:p w14:paraId="2D01C68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shd w:val="clear" w:color="auto" w:fill="auto"/>
            <w:noWrap/>
            <w:vAlign w:val="center"/>
          </w:tcPr>
          <w:p w14:paraId="3829F00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shd w:val="clear" w:color="auto" w:fill="auto"/>
            <w:noWrap/>
            <w:vAlign w:val="center"/>
          </w:tcPr>
          <w:p w14:paraId="3BE90A5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shd w:val="clear" w:color="auto" w:fill="auto"/>
            <w:noWrap/>
            <w:vAlign w:val="center"/>
          </w:tcPr>
          <w:p w14:paraId="763F6DD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A66E6E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58B5963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950BBE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944A94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A1E593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8ED5D23" w14:textId="77777777" w:rsidTr="001F4995">
        <w:trPr>
          <w:trHeight w:val="20"/>
        </w:trPr>
        <w:tc>
          <w:tcPr>
            <w:tcW w:w="469" w:type="dxa"/>
            <w:shd w:val="clear" w:color="auto" w:fill="auto"/>
            <w:noWrap/>
          </w:tcPr>
          <w:p w14:paraId="61D17C97"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2</w:t>
            </w:r>
          </w:p>
        </w:tc>
        <w:tc>
          <w:tcPr>
            <w:tcW w:w="4214" w:type="dxa"/>
            <w:shd w:val="clear" w:color="auto" w:fill="FFFFFF"/>
          </w:tcPr>
          <w:p w14:paraId="3CA5A4E4"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shd w:val="clear" w:color="auto" w:fill="auto"/>
            <w:noWrap/>
            <w:vAlign w:val="center"/>
          </w:tcPr>
          <w:p w14:paraId="39B3983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shd w:val="clear" w:color="auto" w:fill="auto"/>
            <w:noWrap/>
            <w:vAlign w:val="center"/>
          </w:tcPr>
          <w:p w14:paraId="39E36A9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shd w:val="clear" w:color="auto" w:fill="auto"/>
            <w:noWrap/>
            <w:vAlign w:val="center"/>
          </w:tcPr>
          <w:p w14:paraId="647C2EC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shd w:val="clear" w:color="auto" w:fill="auto"/>
            <w:noWrap/>
            <w:vAlign w:val="center"/>
          </w:tcPr>
          <w:p w14:paraId="0B1BEDB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97BB31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29924DE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CC2600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7EA6AE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713AD5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A97D898" w14:textId="77777777" w:rsidTr="001F4995">
        <w:trPr>
          <w:trHeight w:val="20"/>
        </w:trPr>
        <w:tc>
          <w:tcPr>
            <w:tcW w:w="469" w:type="dxa"/>
            <w:shd w:val="clear" w:color="auto" w:fill="auto"/>
            <w:noWrap/>
          </w:tcPr>
          <w:p w14:paraId="551AD7A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3</w:t>
            </w:r>
          </w:p>
        </w:tc>
        <w:tc>
          <w:tcPr>
            <w:tcW w:w="4214" w:type="dxa"/>
            <w:shd w:val="clear" w:color="auto" w:fill="FFFFFF"/>
          </w:tcPr>
          <w:p w14:paraId="01D06755"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Tragschicht mit hydraulischen Bindemitteln unter gebundener Deckschicht</w:t>
            </w:r>
          </w:p>
        </w:tc>
        <w:tc>
          <w:tcPr>
            <w:tcW w:w="851" w:type="dxa"/>
            <w:shd w:val="clear" w:color="auto" w:fill="auto"/>
            <w:noWrap/>
            <w:vAlign w:val="center"/>
          </w:tcPr>
          <w:p w14:paraId="3318E1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shd w:val="clear" w:color="auto" w:fill="auto"/>
            <w:noWrap/>
            <w:vAlign w:val="center"/>
          </w:tcPr>
          <w:p w14:paraId="5C9B389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shd w:val="clear" w:color="auto" w:fill="auto"/>
            <w:noWrap/>
            <w:vAlign w:val="center"/>
          </w:tcPr>
          <w:p w14:paraId="49D79FE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shd w:val="clear" w:color="auto" w:fill="auto"/>
            <w:noWrap/>
            <w:vAlign w:val="center"/>
          </w:tcPr>
          <w:p w14:paraId="701F061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13A572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662E847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19C37C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114746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8C28C9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A109EDB" w14:textId="77777777" w:rsidTr="001F4995">
        <w:trPr>
          <w:trHeight w:val="20"/>
        </w:trPr>
        <w:tc>
          <w:tcPr>
            <w:tcW w:w="469" w:type="dxa"/>
            <w:shd w:val="clear" w:color="auto" w:fill="auto"/>
            <w:noWrap/>
          </w:tcPr>
          <w:p w14:paraId="1E5D017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4</w:t>
            </w:r>
          </w:p>
        </w:tc>
        <w:tc>
          <w:tcPr>
            <w:tcW w:w="4214" w:type="dxa"/>
            <w:shd w:val="clear" w:color="auto" w:fill="FFFFFF"/>
          </w:tcPr>
          <w:p w14:paraId="710F1EC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Verfüllung von Baugruben und Leitungsgräben unter gebundener Deckschicht</w:t>
            </w:r>
          </w:p>
        </w:tc>
        <w:tc>
          <w:tcPr>
            <w:tcW w:w="851" w:type="dxa"/>
            <w:shd w:val="clear" w:color="auto" w:fill="auto"/>
            <w:noWrap/>
            <w:vAlign w:val="center"/>
          </w:tcPr>
          <w:p w14:paraId="6C1D360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shd w:val="clear" w:color="auto" w:fill="auto"/>
            <w:noWrap/>
            <w:vAlign w:val="center"/>
          </w:tcPr>
          <w:p w14:paraId="37AEE93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shd w:val="clear" w:color="auto" w:fill="auto"/>
            <w:noWrap/>
            <w:vAlign w:val="center"/>
          </w:tcPr>
          <w:p w14:paraId="4C36874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shd w:val="clear" w:color="auto" w:fill="auto"/>
            <w:noWrap/>
            <w:vAlign w:val="center"/>
          </w:tcPr>
          <w:p w14:paraId="62F0788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E4C7C5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174A7F9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00D1B2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1D8289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C9B3A1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4B08F8D" w14:textId="77777777" w:rsidTr="001F4995">
        <w:trPr>
          <w:trHeight w:val="20"/>
        </w:trPr>
        <w:tc>
          <w:tcPr>
            <w:tcW w:w="469" w:type="dxa"/>
            <w:shd w:val="clear" w:color="auto" w:fill="auto"/>
            <w:noWrap/>
          </w:tcPr>
          <w:p w14:paraId="6AAB263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5</w:t>
            </w:r>
          </w:p>
        </w:tc>
        <w:tc>
          <w:tcPr>
            <w:tcW w:w="4214" w:type="dxa"/>
            <w:shd w:val="clear" w:color="auto" w:fill="FFFFFF"/>
          </w:tcPr>
          <w:p w14:paraId="42E663D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shd w:val="clear" w:color="auto" w:fill="auto"/>
            <w:noWrap/>
            <w:vAlign w:val="center"/>
          </w:tcPr>
          <w:p w14:paraId="1B91617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shd w:val="clear" w:color="auto" w:fill="auto"/>
            <w:noWrap/>
            <w:vAlign w:val="center"/>
          </w:tcPr>
          <w:p w14:paraId="3353C4D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shd w:val="clear" w:color="auto" w:fill="auto"/>
            <w:noWrap/>
            <w:vAlign w:val="center"/>
          </w:tcPr>
          <w:p w14:paraId="2FB3BDC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shd w:val="clear" w:color="auto" w:fill="auto"/>
            <w:noWrap/>
            <w:vAlign w:val="center"/>
          </w:tcPr>
          <w:p w14:paraId="1D8377C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797890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6B719D8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0B5FE4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0E9559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285739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9616C6E" w14:textId="77777777" w:rsidTr="001F4995">
        <w:trPr>
          <w:trHeight w:val="20"/>
        </w:trPr>
        <w:tc>
          <w:tcPr>
            <w:tcW w:w="469" w:type="dxa"/>
            <w:shd w:val="clear" w:color="auto" w:fill="auto"/>
            <w:noWrap/>
          </w:tcPr>
          <w:p w14:paraId="047FB51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6</w:t>
            </w:r>
          </w:p>
        </w:tc>
        <w:tc>
          <w:tcPr>
            <w:tcW w:w="4214" w:type="dxa"/>
            <w:shd w:val="clear" w:color="auto" w:fill="FFFFFF"/>
          </w:tcPr>
          <w:p w14:paraId="32540FC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shd w:val="clear" w:color="auto" w:fill="auto"/>
            <w:noWrap/>
            <w:vAlign w:val="center"/>
          </w:tcPr>
          <w:p w14:paraId="5DEDEA8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shd w:val="clear" w:color="auto" w:fill="auto"/>
            <w:noWrap/>
            <w:vAlign w:val="center"/>
          </w:tcPr>
          <w:p w14:paraId="0B4B47D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shd w:val="clear" w:color="auto" w:fill="auto"/>
            <w:noWrap/>
            <w:vAlign w:val="center"/>
          </w:tcPr>
          <w:p w14:paraId="620EB95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shd w:val="clear" w:color="auto" w:fill="auto"/>
            <w:noWrap/>
            <w:vAlign w:val="center"/>
          </w:tcPr>
          <w:p w14:paraId="69E878E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673D26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745C472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322C62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818094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D27C29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65F8C6B" w14:textId="77777777" w:rsidTr="001F4995">
        <w:trPr>
          <w:trHeight w:val="20"/>
        </w:trPr>
        <w:tc>
          <w:tcPr>
            <w:tcW w:w="469" w:type="dxa"/>
            <w:shd w:val="clear" w:color="auto" w:fill="auto"/>
            <w:noWrap/>
          </w:tcPr>
          <w:p w14:paraId="398993A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7</w:t>
            </w:r>
          </w:p>
        </w:tc>
        <w:tc>
          <w:tcPr>
            <w:tcW w:w="4214" w:type="dxa"/>
            <w:shd w:val="clear" w:color="auto" w:fill="FFFFFF"/>
          </w:tcPr>
          <w:p w14:paraId="6DF313E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Schottertragschicht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unter gebundener Deckschicht </w:t>
            </w:r>
          </w:p>
        </w:tc>
        <w:tc>
          <w:tcPr>
            <w:tcW w:w="851" w:type="dxa"/>
            <w:shd w:val="clear" w:color="auto" w:fill="auto"/>
            <w:noWrap/>
            <w:vAlign w:val="center"/>
          </w:tcPr>
          <w:p w14:paraId="214FB71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shd w:val="clear" w:color="auto" w:fill="auto"/>
            <w:noWrap/>
            <w:vAlign w:val="center"/>
          </w:tcPr>
          <w:p w14:paraId="0A3011D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shd w:val="clear" w:color="auto" w:fill="auto"/>
            <w:noWrap/>
            <w:vAlign w:val="center"/>
          </w:tcPr>
          <w:p w14:paraId="71289A0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shd w:val="clear" w:color="auto" w:fill="auto"/>
            <w:noWrap/>
            <w:vAlign w:val="center"/>
          </w:tcPr>
          <w:p w14:paraId="3DA9D83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7D9399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2383D7E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3FECF0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158062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8F1914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F59AF0A" w14:textId="77777777" w:rsidTr="001F4995">
        <w:trPr>
          <w:trHeight w:val="20"/>
        </w:trPr>
        <w:tc>
          <w:tcPr>
            <w:tcW w:w="469" w:type="dxa"/>
            <w:shd w:val="clear" w:color="auto" w:fill="auto"/>
            <w:noWrap/>
          </w:tcPr>
          <w:p w14:paraId="1A9A91C1"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8</w:t>
            </w:r>
          </w:p>
        </w:tc>
        <w:tc>
          <w:tcPr>
            <w:tcW w:w="4214" w:type="dxa"/>
            <w:shd w:val="clear" w:color="auto" w:fill="FFFFFF"/>
          </w:tcPr>
          <w:p w14:paraId="36D66B63"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Frostschutzschicht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shd w:val="clear" w:color="auto" w:fill="auto"/>
            <w:noWrap/>
            <w:vAlign w:val="center"/>
          </w:tcPr>
          <w:p w14:paraId="5AE2796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shd w:val="clear" w:color="auto" w:fill="auto"/>
            <w:noWrap/>
            <w:vAlign w:val="center"/>
          </w:tcPr>
          <w:p w14:paraId="3D572B7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shd w:val="clear" w:color="auto" w:fill="auto"/>
            <w:noWrap/>
            <w:vAlign w:val="center"/>
          </w:tcPr>
          <w:p w14:paraId="542C75E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shd w:val="clear" w:color="auto" w:fill="auto"/>
            <w:noWrap/>
            <w:vAlign w:val="center"/>
          </w:tcPr>
          <w:p w14:paraId="48B35BA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3CF2B5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5DBEB27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7D1AE2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4214464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ED9A9F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6E06B68" w14:textId="77777777" w:rsidTr="001F4995">
        <w:trPr>
          <w:trHeight w:val="20"/>
        </w:trPr>
        <w:tc>
          <w:tcPr>
            <w:tcW w:w="469" w:type="dxa"/>
            <w:shd w:val="clear" w:color="auto" w:fill="auto"/>
            <w:noWrap/>
          </w:tcPr>
          <w:p w14:paraId="4E9CCB5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9</w:t>
            </w:r>
          </w:p>
        </w:tc>
        <w:tc>
          <w:tcPr>
            <w:tcW w:w="4214" w:type="dxa"/>
            <w:shd w:val="clear" w:color="auto" w:fill="FFFFFF"/>
          </w:tcPr>
          <w:p w14:paraId="703228C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Dämme oder Wälle gemäß Bauweisen A-D nach MTSE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im Böschungsbereich in analoger Bauweise </w:t>
            </w:r>
          </w:p>
        </w:tc>
        <w:tc>
          <w:tcPr>
            <w:tcW w:w="851" w:type="dxa"/>
            <w:shd w:val="clear" w:color="auto" w:fill="auto"/>
            <w:noWrap/>
            <w:vAlign w:val="center"/>
          </w:tcPr>
          <w:p w14:paraId="4F53B93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shd w:val="clear" w:color="auto" w:fill="auto"/>
            <w:noWrap/>
            <w:vAlign w:val="center"/>
          </w:tcPr>
          <w:p w14:paraId="59F4E86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shd w:val="clear" w:color="auto" w:fill="auto"/>
            <w:noWrap/>
            <w:vAlign w:val="center"/>
          </w:tcPr>
          <w:p w14:paraId="2385134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shd w:val="clear" w:color="auto" w:fill="auto"/>
            <w:noWrap/>
            <w:vAlign w:val="center"/>
          </w:tcPr>
          <w:p w14:paraId="4340A24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19DFBF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44D931B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B5414C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43AE59C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2B723A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43D65EC" w14:textId="77777777" w:rsidTr="001F4995">
        <w:trPr>
          <w:trHeight w:val="20"/>
        </w:trPr>
        <w:tc>
          <w:tcPr>
            <w:tcW w:w="469" w:type="dxa"/>
            <w:shd w:val="clear" w:color="auto" w:fill="auto"/>
            <w:noWrap/>
          </w:tcPr>
          <w:p w14:paraId="3A853A2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10</w:t>
            </w:r>
          </w:p>
        </w:tc>
        <w:tc>
          <w:tcPr>
            <w:tcW w:w="4214" w:type="dxa"/>
            <w:shd w:val="clear" w:color="auto" w:fill="FFFFFF"/>
          </w:tcPr>
          <w:p w14:paraId="24153EB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Damm oder Wall gemäß Bauweise E nach MTSE </w:t>
            </w:r>
          </w:p>
        </w:tc>
        <w:tc>
          <w:tcPr>
            <w:tcW w:w="851" w:type="dxa"/>
            <w:shd w:val="clear" w:color="auto" w:fill="auto"/>
            <w:noWrap/>
            <w:vAlign w:val="center"/>
          </w:tcPr>
          <w:p w14:paraId="5E14BE9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shd w:val="clear" w:color="auto" w:fill="auto"/>
            <w:noWrap/>
            <w:vAlign w:val="center"/>
          </w:tcPr>
          <w:p w14:paraId="5CDF755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shd w:val="clear" w:color="auto" w:fill="auto"/>
            <w:noWrap/>
            <w:vAlign w:val="center"/>
          </w:tcPr>
          <w:p w14:paraId="03A5CBC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shd w:val="clear" w:color="auto" w:fill="auto"/>
            <w:noWrap/>
            <w:vAlign w:val="center"/>
          </w:tcPr>
          <w:p w14:paraId="0A8728C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E32FB9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04EB497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16D4FB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996F26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EDDF64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A996907" w14:textId="77777777" w:rsidTr="001F4995">
        <w:trPr>
          <w:trHeight w:val="20"/>
        </w:trPr>
        <w:tc>
          <w:tcPr>
            <w:tcW w:w="469" w:type="dxa"/>
            <w:shd w:val="clear" w:color="auto" w:fill="auto"/>
            <w:noWrap/>
          </w:tcPr>
          <w:p w14:paraId="427BD2B2"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11</w:t>
            </w:r>
          </w:p>
        </w:tc>
        <w:tc>
          <w:tcPr>
            <w:tcW w:w="4214" w:type="dxa"/>
            <w:shd w:val="clear" w:color="auto" w:fill="FFFFFF"/>
          </w:tcPr>
          <w:p w14:paraId="234EC6D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Bettungssand unter Pflaster oder unter Plattenbelägen</w:t>
            </w:r>
          </w:p>
        </w:tc>
        <w:tc>
          <w:tcPr>
            <w:tcW w:w="851" w:type="dxa"/>
            <w:shd w:val="clear" w:color="auto" w:fill="auto"/>
            <w:noWrap/>
            <w:vAlign w:val="center"/>
          </w:tcPr>
          <w:p w14:paraId="202EE73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shd w:val="clear" w:color="auto" w:fill="auto"/>
            <w:noWrap/>
            <w:vAlign w:val="center"/>
          </w:tcPr>
          <w:p w14:paraId="4269234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shd w:val="clear" w:color="auto" w:fill="auto"/>
            <w:noWrap/>
            <w:vAlign w:val="center"/>
          </w:tcPr>
          <w:p w14:paraId="567AABF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shd w:val="clear" w:color="auto" w:fill="auto"/>
            <w:noWrap/>
            <w:vAlign w:val="center"/>
          </w:tcPr>
          <w:p w14:paraId="3B23E86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B98017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417E60E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858F3E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791F1A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4EFB25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09987C1" w14:textId="77777777" w:rsidTr="001F4995">
        <w:trPr>
          <w:trHeight w:val="20"/>
        </w:trPr>
        <w:tc>
          <w:tcPr>
            <w:tcW w:w="469" w:type="dxa"/>
            <w:shd w:val="clear" w:color="auto" w:fill="auto"/>
            <w:noWrap/>
          </w:tcPr>
          <w:p w14:paraId="1A5F1EF1"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12</w:t>
            </w:r>
          </w:p>
        </w:tc>
        <w:tc>
          <w:tcPr>
            <w:tcW w:w="4214" w:type="dxa"/>
            <w:shd w:val="clear" w:color="auto" w:fill="FFFFFF"/>
          </w:tcPr>
          <w:p w14:paraId="4E32BE85" w14:textId="77777777" w:rsidR="001F4995" w:rsidRPr="001F4995" w:rsidRDefault="001F4995" w:rsidP="001F4995">
            <w:pPr>
              <w:spacing w:before="0" w:after="0"/>
              <w:jc w:val="left"/>
              <w:rPr>
                <w:rFonts w:ascii="Times New Roman" w:eastAsia="Times New Roman" w:hAnsi="Times New Roman" w:cs="Times New Roman"/>
                <w:sz w:val="18"/>
                <w:szCs w:val="18"/>
                <w:vertAlign w:val="superscript"/>
                <w:lang w:eastAsia="de-DE"/>
              </w:rPr>
            </w:pPr>
            <w:r w:rsidRPr="001F4995">
              <w:rPr>
                <w:rFonts w:ascii="Times New Roman" w:eastAsia="Times New Roman" w:hAnsi="Times New Roman" w:cs="Times New Roman"/>
                <w:sz w:val="18"/>
                <w:szCs w:val="18"/>
                <w:lang w:eastAsia="de-DE"/>
              </w:rPr>
              <w:t>Deckschicht ohne Bindemittel</w:t>
            </w:r>
            <w:r w:rsidRPr="001F4995">
              <w:rPr>
                <w:rFonts w:ascii="Times New Roman" w:eastAsia="Times New Roman" w:hAnsi="Times New Roman" w:cs="Times New Roman"/>
                <w:sz w:val="18"/>
                <w:szCs w:val="18"/>
                <w:vertAlign w:val="superscript"/>
                <w:lang w:eastAsia="de-DE"/>
              </w:rPr>
              <w:t>7)</w:t>
            </w:r>
          </w:p>
        </w:tc>
        <w:tc>
          <w:tcPr>
            <w:tcW w:w="851" w:type="dxa"/>
            <w:shd w:val="clear" w:color="auto" w:fill="auto"/>
            <w:noWrap/>
            <w:vAlign w:val="center"/>
          </w:tcPr>
          <w:p w14:paraId="0BC3CC4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shd w:val="clear" w:color="auto" w:fill="auto"/>
            <w:noWrap/>
            <w:vAlign w:val="center"/>
          </w:tcPr>
          <w:p w14:paraId="7180C96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shd w:val="clear" w:color="auto" w:fill="auto"/>
            <w:noWrap/>
            <w:vAlign w:val="center"/>
          </w:tcPr>
          <w:p w14:paraId="74BC9B0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shd w:val="clear" w:color="auto" w:fill="auto"/>
            <w:noWrap/>
            <w:vAlign w:val="center"/>
          </w:tcPr>
          <w:p w14:paraId="0293AD5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66CAD3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423D874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D7A674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BD833F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04EF85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6B3D3D0" w14:textId="77777777" w:rsidTr="001F4995">
        <w:trPr>
          <w:trHeight w:val="20"/>
        </w:trPr>
        <w:tc>
          <w:tcPr>
            <w:tcW w:w="469" w:type="dxa"/>
            <w:shd w:val="clear" w:color="auto" w:fill="auto"/>
            <w:noWrap/>
          </w:tcPr>
          <w:p w14:paraId="2CF9DDC4"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13</w:t>
            </w:r>
          </w:p>
        </w:tc>
        <w:tc>
          <w:tcPr>
            <w:tcW w:w="4214" w:type="dxa"/>
            <w:shd w:val="clear" w:color="auto" w:fill="FFFFFF"/>
          </w:tcPr>
          <w:p w14:paraId="08BD7C34"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shd w:val="clear" w:color="auto" w:fill="auto"/>
            <w:noWrap/>
            <w:vAlign w:val="center"/>
          </w:tcPr>
          <w:p w14:paraId="68527BC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64" w:type="dxa"/>
            <w:shd w:val="clear" w:color="auto" w:fill="auto"/>
            <w:noWrap/>
            <w:vAlign w:val="center"/>
          </w:tcPr>
          <w:p w14:paraId="3F62830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1185" w:type="dxa"/>
            <w:shd w:val="clear" w:color="auto" w:fill="auto"/>
            <w:noWrap/>
            <w:vAlign w:val="center"/>
          </w:tcPr>
          <w:p w14:paraId="4149EE0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shd w:val="clear" w:color="auto" w:fill="auto"/>
            <w:noWrap/>
            <w:vAlign w:val="center"/>
          </w:tcPr>
          <w:p w14:paraId="4C3C47E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F9F0A7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 xml:space="preserve"> 2)</w:t>
            </w:r>
          </w:p>
        </w:tc>
        <w:tc>
          <w:tcPr>
            <w:tcW w:w="500" w:type="dxa"/>
            <w:shd w:val="clear" w:color="auto" w:fill="auto"/>
            <w:noWrap/>
            <w:vAlign w:val="center"/>
          </w:tcPr>
          <w:p w14:paraId="53621F4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6568D4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 xml:space="preserve"> 2)</w:t>
            </w:r>
          </w:p>
        </w:tc>
        <w:tc>
          <w:tcPr>
            <w:tcW w:w="542" w:type="dxa"/>
            <w:shd w:val="clear" w:color="auto" w:fill="auto"/>
            <w:noWrap/>
            <w:vAlign w:val="center"/>
          </w:tcPr>
          <w:p w14:paraId="7177D11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 xml:space="preserve"> 2)</w:t>
            </w:r>
          </w:p>
        </w:tc>
        <w:tc>
          <w:tcPr>
            <w:tcW w:w="670" w:type="dxa"/>
            <w:shd w:val="clear" w:color="auto" w:fill="auto"/>
            <w:vAlign w:val="center"/>
          </w:tcPr>
          <w:p w14:paraId="1C9E0F0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E643CB1" w14:textId="77777777" w:rsidTr="001F4995">
        <w:trPr>
          <w:trHeight w:val="20"/>
        </w:trPr>
        <w:tc>
          <w:tcPr>
            <w:tcW w:w="469" w:type="dxa"/>
            <w:shd w:val="clear" w:color="auto" w:fill="auto"/>
            <w:noWrap/>
          </w:tcPr>
          <w:p w14:paraId="6BD1C2F4"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14</w:t>
            </w:r>
          </w:p>
        </w:tc>
        <w:tc>
          <w:tcPr>
            <w:tcW w:w="4214" w:type="dxa"/>
            <w:shd w:val="clear" w:color="auto" w:fill="FFFFFF"/>
          </w:tcPr>
          <w:p w14:paraId="6930F62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Plattenbelägen</w:t>
            </w:r>
          </w:p>
        </w:tc>
        <w:tc>
          <w:tcPr>
            <w:tcW w:w="851" w:type="dxa"/>
            <w:shd w:val="clear" w:color="auto" w:fill="auto"/>
            <w:noWrap/>
            <w:vAlign w:val="center"/>
          </w:tcPr>
          <w:p w14:paraId="166075E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64" w:type="dxa"/>
            <w:shd w:val="clear" w:color="auto" w:fill="auto"/>
            <w:noWrap/>
            <w:vAlign w:val="center"/>
          </w:tcPr>
          <w:p w14:paraId="0D983E8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1185" w:type="dxa"/>
            <w:shd w:val="clear" w:color="auto" w:fill="auto"/>
            <w:noWrap/>
            <w:vAlign w:val="center"/>
          </w:tcPr>
          <w:p w14:paraId="24A323B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shd w:val="clear" w:color="auto" w:fill="auto"/>
            <w:noWrap/>
            <w:vAlign w:val="center"/>
          </w:tcPr>
          <w:p w14:paraId="219F2F6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2EA542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500" w:type="dxa"/>
            <w:shd w:val="clear" w:color="auto" w:fill="auto"/>
            <w:noWrap/>
            <w:vAlign w:val="center"/>
          </w:tcPr>
          <w:p w14:paraId="22ABAF9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F7D0AA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542" w:type="dxa"/>
            <w:shd w:val="clear" w:color="auto" w:fill="auto"/>
            <w:noWrap/>
            <w:vAlign w:val="center"/>
          </w:tcPr>
          <w:p w14:paraId="6B0E82B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670" w:type="dxa"/>
            <w:shd w:val="clear" w:color="auto" w:fill="auto"/>
            <w:vAlign w:val="center"/>
          </w:tcPr>
          <w:p w14:paraId="26BA268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AB8BF1F" w14:textId="77777777" w:rsidTr="001F4995">
        <w:trPr>
          <w:trHeight w:val="20"/>
        </w:trPr>
        <w:tc>
          <w:tcPr>
            <w:tcW w:w="469" w:type="dxa"/>
            <w:shd w:val="clear" w:color="auto" w:fill="auto"/>
            <w:noWrap/>
          </w:tcPr>
          <w:p w14:paraId="7679289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15</w:t>
            </w:r>
          </w:p>
        </w:tc>
        <w:tc>
          <w:tcPr>
            <w:tcW w:w="4214" w:type="dxa"/>
            <w:shd w:val="clear" w:color="auto" w:fill="FFFFFF"/>
          </w:tcPr>
          <w:p w14:paraId="211818D5"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Bauweisen 13 unter Pflaster </w:t>
            </w:r>
          </w:p>
        </w:tc>
        <w:tc>
          <w:tcPr>
            <w:tcW w:w="851" w:type="dxa"/>
            <w:shd w:val="clear" w:color="auto" w:fill="auto"/>
            <w:noWrap/>
            <w:vAlign w:val="center"/>
          </w:tcPr>
          <w:p w14:paraId="347D585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64" w:type="dxa"/>
            <w:shd w:val="clear" w:color="auto" w:fill="auto"/>
            <w:noWrap/>
            <w:vAlign w:val="center"/>
          </w:tcPr>
          <w:p w14:paraId="47B35EA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shd w:val="clear" w:color="auto" w:fill="auto"/>
            <w:noWrap/>
            <w:vAlign w:val="center"/>
          </w:tcPr>
          <w:p w14:paraId="4742B3A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shd w:val="clear" w:color="auto" w:fill="auto"/>
            <w:noWrap/>
            <w:vAlign w:val="center"/>
          </w:tcPr>
          <w:p w14:paraId="64F249E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70" w:type="dxa"/>
            <w:shd w:val="clear" w:color="auto" w:fill="auto"/>
            <w:vAlign w:val="center"/>
          </w:tcPr>
          <w:p w14:paraId="3E0B27D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4D056BE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70" w:type="dxa"/>
            <w:shd w:val="clear" w:color="auto" w:fill="auto"/>
            <w:vAlign w:val="center"/>
          </w:tcPr>
          <w:p w14:paraId="640876B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3BF64D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08C201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FF4B998" w14:textId="77777777" w:rsidTr="001F4995">
        <w:trPr>
          <w:trHeight w:val="20"/>
        </w:trPr>
        <w:tc>
          <w:tcPr>
            <w:tcW w:w="469" w:type="dxa"/>
            <w:shd w:val="clear" w:color="auto" w:fill="auto"/>
            <w:noWrap/>
          </w:tcPr>
          <w:p w14:paraId="0C88BFC9"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16</w:t>
            </w:r>
          </w:p>
        </w:tc>
        <w:tc>
          <w:tcPr>
            <w:tcW w:w="4214" w:type="dxa"/>
            <w:shd w:val="clear" w:color="auto" w:fill="FFFFFF"/>
          </w:tcPr>
          <w:p w14:paraId="75324C5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analog zu Bauweise E des MTSE </w:t>
            </w:r>
          </w:p>
        </w:tc>
        <w:tc>
          <w:tcPr>
            <w:tcW w:w="851" w:type="dxa"/>
            <w:shd w:val="clear" w:color="auto" w:fill="auto"/>
            <w:noWrap/>
            <w:vAlign w:val="center"/>
          </w:tcPr>
          <w:p w14:paraId="25A7D35E"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4)</w:t>
            </w:r>
          </w:p>
        </w:tc>
        <w:tc>
          <w:tcPr>
            <w:tcW w:w="664" w:type="dxa"/>
            <w:shd w:val="clear" w:color="auto" w:fill="auto"/>
            <w:noWrap/>
            <w:vAlign w:val="center"/>
          </w:tcPr>
          <w:p w14:paraId="32647951"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1185" w:type="dxa"/>
            <w:shd w:val="clear" w:color="auto" w:fill="auto"/>
            <w:noWrap/>
            <w:vAlign w:val="center"/>
          </w:tcPr>
          <w:p w14:paraId="538EECC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shd w:val="clear" w:color="auto" w:fill="auto"/>
            <w:noWrap/>
            <w:vAlign w:val="center"/>
          </w:tcPr>
          <w:p w14:paraId="2D1F15D1"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4)</w:t>
            </w:r>
          </w:p>
        </w:tc>
        <w:tc>
          <w:tcPr>
            <w:tcW w:w="670" w:type="dxa"/>
            <w:shd w:val="clear" w:color="auto" w:fill="auto"/>
            <w:vAlign w:val="center"/>
          </w:tcPr>
          <w:p w14:paraId="1C94C640"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12863821"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4)</w:t>
            </w:r>
          </w:p>
        </w:tc>
        <w:tc>
          <w:tcPr>
            <w:tcW w:w="670" w:type="dxa"/>
            <w:shd w:val="clear" w:color="auto" w:fill="auto"/>
            <w:vAlign w:val="center"/>
          </w:tcPr>
          <w:p w14:paraId="42240A47"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BAB19C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E09259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DADD8CE" w14:textId="77777777" w:rsidTr="001F4995">
        <w:trPr>
          <w:trHeight w:val="208"/>
        </w:trPr>
        <w:tc>
          <w:tcPr>
            <w:tcW w:w="469" w:type="dxa"/>
            <w:shd w:val="clear" w:color="auto" w:fill="auto"/>
            <w:noWrap/>
          </w:tcPr>
          <w:p w14:paraId="1A80FA07"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17</w:t>
            </w:r>
          </w:p>
        </w:tc>
        <w:tc>
          <w:tcPr>
            <w:tcW w:w="4214" w:type="dxa"/>
            <w:shd w:val="clear" w:color="auto" w:fill="FFFFFF"/>
          </w:tcPr>
          <w:p w14:paraId="6104911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shd w:val="clear" w:color="auto" w:fill="auto"/>
            <w:noWrap/>
            <w:vAlign w:val="center"/>
          </w:tcPr>
          <w:p w14:paraId="07401D0B" w14:textId="77777777" w:rsidR="001F4995" w:rsidRPr="001F4995" w:rsidRDefault="001F4995" w:rsidP="001F4995">
            <w:pPr>
              <w:spacing w:before="0" w:after="0"/>
              <w:jc w:val="left"/>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5)</w:t>
            </w:r>
          </w:p>
        </w:tc>
        <w:tc>
          <w:tcPr>
            <w:tcW w:w="664" w:type="dxa"/>
            <w:shd w:val="clear" w:color="auto" w:fill="auto"/>
            <w:noWrap/>
            <w:vAlign w:val="center"/>
          </w:tcPr>
          <w:p w14:paraId="41A6ED1D" w14:textId="77777777" w:rsidR="001F4995" w:rsidRPr="001F4995" w:rsidRDefault="001F4995" w:rsidP="001F4995">
            <w:pPr>
              <w:spacing w:before="0" w:after="0"/>
              <w:jc w:val="left"/>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6)</w:t>
            </w:r>
          </w:p>
        </w:tc>
        <w:tc>
          <w:tcPr>
            <w:tcW w:w="1185" w:type="dxa"/>
            <w:shd w:val="clear" w:color="auto" w:fill="auto"/>
            <w:noWrap/>
            <w:vAlign w:val="center"/>
          </w:tcPr>
          <w:p w14:paraId="3BE33B44" w14:textId="77777777" w:rsidR="001F4995" w:rsidRPr="001F4995" w:rsidRDefault="001F4995" w:rsidP="001F4995">
            <w:pPr>
              <w:spacing w:before="0" w:after="0"/>
              <w:jc w:val="left"/>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shd w:val="clear" w:color="auto" w:fill="auto"/>
            <w:noWrap/>
            <w:vAlign w:val="center"/>
          </w:tcPr>
          <w:p w14:paraId="17656F5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96DACC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 xml:space="preserve"> 6)</w:t>
            </w:r>
          </w:p>
        </w:tc>
        <w:tc>
          <w:tcPr>
            <w:tcW w:w="500" w:type="dxa"/>
            <w:shd w:val="clear" w:color="auto" w:fill="auto"/>
            <w:noWrap/>
            <w:vAlign w:val="center"/>
          </w:tcPr>
          <w:p w14:paraId="6F8958E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32397B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 xml:space="preserve"> 6)</w:t>
            </w:r>
          </w:p>
        </w:tc>
        <w:tc>
          <w:tcPr>
            <w:tcW w:w="542" w:type="dxa"/>
            <w:shd w:val="clear" w:color="auto" w:fill="auto"/>
            <w:noWrap/>
            <w:vAlign w:val="center"/>
          </w:tcPr>
          <w:p w14:paraId="07810C0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6)</w:t>
            </w:r>
          </w:p>
        </w:tc>
        <w:tc>
          <w:tcPr>
            <w:tcW w:w="670" w:type="dxa"/>
            <w:shd w:val="clear" w:color="auto" w:fill="auto"/>
            <w:vAlign w:val="center"/>
          </w:tcPr>
          <w:p w14:paraId="7CB6036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bl>
    <w:p w14:paraId="416349B4"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1) Zulässig, wenn Chrom, ges.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15 µg/l und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30 µg/l.</w:t>
      </w:r>
    </w:p>
    <w:p w14:paraId="190F4367" w14:textId="77777777" w:rsidR="001F4995" w:rsidRPr="001F4995" w:rsidRDefault="001F4995" w:rsidP="001F4995">
      <w:pPr>
        <w:tabs>
          <w:tab w:val="num" w:pos="540"/>
        </w:tabs>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2) Zulässig, wenn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55 µg/l.</w:t>
      </w:r>
    </w:p>
    <w:p w14:paraId="7999850E" w14:textId="77777777" w:rsidR="001F4995" w:rsidRPr="001F4995" w:rsidRDefault="001F4995" w:rsidP="001F4995">
      <w:pPr>
        <w:tabs>
          <w:tab w:val="num" w:pos="540"/>
        </w:tabs>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3) Zulässig, wenn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90 µg/l.</w:t>
      </w:r>
    </w:p>
    <w:p w14:paraId="11926499" w14:textId="77777777" w:rsidR="001F4995" w:rsidRPr="001F4995" w:rsidRDefault="001F4995" w:rsidP="001F4995">
      <w:pPr>
        <w:tabs>
          <w:tab w:val="num" w:pos="540"/>
        </w:tabs>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4) Zulässig wenn „K“, Chrom, ges.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65 µg/l und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130 µg/</w:t>
      </w:r>
      <w:proofErr w:type="gramStart"/>
      <w:r w:rsidRPr="001F4995">
        <w:rPr>
          <w:rFonts w:ascii="Times New Roman" w:eastAsia="Times New Roman" w:hAnsi="Times New Roman" w:cs="Times New Roman"/>
          <w:sz w:val="16"/>
          <w:szCs w:val="16"/>
          <w:lang w:eastAsia="de-DE"/>
        </w:rPr>
        <w:t>l .oder</w:t>
      </w:r>
      <w:proofErr w:type="gramEnd"/>
      <w:r w:rsidRPr="001F4995">
        <w:rPr>
          <w:rFonts w:ascii="Times New Roman" w:eastAsia="Times New Roman" w:hAnsi="Times New Roman" w:cs="Times New Roman"/>
          <w:sz w:val="16"/>
          <w:szCs w:val="16"/>
          <w:lang w:eastAsia="de-DE"/>
        </w:rPr>
        <w:t xml:space="preserve"> wenn Chrom, ges.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15 µg/l und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30 µg/l.</w:t>
      </w:r>
    </w:p>
    <w:p w14:paraId="3829F476" w14:textId="77777777" w:rsidR="001F4995" w:rsidRPr="001F4995" w:rsidRDefault="001F4995" w:rsidP="001F4995">
      <w:pPr>
        <w:tabs>
          <w:tab w:val="num" w:pos="540"/>
        </w:tabs>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5) </w:t>
      </w:r>
      <w:proofErr w:type="gramStart"/>
      <w:r w:rsidRPr="001F4995">
        <w:rPr>
          <w:rFonts w:ascii="Times New Roman" w:eastAsia="Times New Roman" w:hAnsi="Times New Roman" w:cs="Times New Roman"/>
          <w:sz w:val="16"/>
          <w:szCs w:val="16"/>
          <w:lang w:eastAsia="de-DE"/>
        </w:rPr>
        <w:t>Zulässig</w:t>
      </w:r>
      <w:proofErr w:type="gramEnd"/>
      <w:r w:rsidRPr="001F4995">
        <w:rPr>
          <w:rFonts w:ascii="Times New Roman" w:eastAsia="Times New Roman" w:hAnsi="Times New Roman" w:cs="Times New Roman"/>
          <w:sz w:val="16"/>
          <w:szCs w:val="16"/>
          <w:lang w:eastAsia="de-DE"/>
        </w:rPr>
        <w:t xml:space="preserve"> wenn „M“ “, Chrom, ges.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25 µg/l und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50 µg/l; oder wenn Chrom, ges.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15 µg/l und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30 µg/l </w:t>
      </w:r>
    </w:p>
    <w:p w14:paraId="3C941328" w14:textId="77777777" w:rsidR="001F4995" w:rsidRPr="001F4995" w:rsidRDefault="001F4995" w:rsidP="001F4995">
      <w:pPr>
        <w:tabs>
          <w:tab w:val="num" w:pos="540"/>
        </w:tabs>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6) </w:t>
      </w:r>
      <w:proofErr w:type="gramStart"/>
      <w:r w:rsidRPr="001F4995">
        <w:rPr>
          <w:rFonts w:ascii="Times New Roman" w:eastAsia="Times New Roman" w:hAnsi="Times New Roman" w:cs="Times New Roman"/>
          <w:sz w:val="16"/>
          <w:szCs w:val="16"/>
          <w:lang w:eastAsia="de-DE"/>
        </w:rPr>
        <w:t>Zulässig</w:t>
      </w:r>
      <w:proofErr w:type="gramEnd"/>
      <w:r w:rsidRPr="001F4995">
        <w:rPr>
          <w:rFonts w:ascii="Times New Roman" w:eastAsia="Times New Roman" w:hAnsi="Times New Roman" w:cs="Times New Roman"/>
          <w:sz w:val="16"/>
          <w:szCs w:val="16"/>
          <w:lang w:eastAsia="de-DE"/>
        </w:rPr>
        <w:t xml:space="preserve"> wenn „M“ oder wenn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120 µg/l. </w:t>
      </w:r>
    </w:p>
    <w:p w14:paraId="17AFB987" w14:textId="77777777" w:rsidR="001F4995" w:rsidRDefault="001F4995" w:rsidP="001F4995">
      <w:pPr>
        <w:tabs>
          <w:tab w:val="num" w:pos="0"/>
          <w:tab w:val="num" w:pos="540"/>
        </w:tabs>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7) Zugelassen, wenn das zum Einbau vorgesehene Korngrößengemisch bei Einstufung nach dem CBR-Wert der Klasse CBR 50/25 nach DIN EN 14227-2, „Hydraulisch gebundene Gemische - Anforderungen - Teil 2: Schlackengebundene Gemische“ Ausgabe August 2013, entspricht.</w:t>
      </w:r>
    </w:p>
    <w:p w14:paraId="482AC0A4" w14:textId="148EDB6A" w:rsidR="001F4995" w:rsidRPr="001F4995" w:rsidRDefault="001F4995" w:rsidP="001F4995">
      <w:pPr>
        <w:pStyle w:val="berschrift1"/>
      </w:pPr>
      <w:r>
        <w:rPr>
          <w:lang w:eastAsia="de-DE"/>
        </w:rPr>
        <w:br w:type="page"/>
      </w:r>
      <w:r w:rsidRPr="008D0377">
        <w:lastRenderedPageBreak/>
        <w:t>Tabelle 17: Stahlwerksschlacke der Klasse 2 (SWS-2)</w:t>
      </w:r>
    </w:p>
    <w:p w14:paraId="2B2D257A" w14:textId="77777777" w:rsidR="001F4995" w:rsidRPr="001F4995" w:rsidRDefault="001F4995" w:rsidP="001F4995">
      <w:pPr>
        <w:keepNext/>
        <w:spacing w:before="0" w:after="200"/>
        <w:jc w:val="left"/>
        <w:rPr>
          <w:rFonts w:ascii="Times New Roman" w:eastAsia="Calibri" w:hAnsi="Times New Roman" w:cs="Times New Roman"/>
          <w:b/>
          <w:sz w:val="18"/>
          <w:szCs w:val="18"/>
        </w:rPr>
      </w:pPr>
    </w:p>
    <w:tbl>
      <w:tblPr>
        <w:tblW w:w="11256" w:type="dxa"/>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821"/>
        <w:gridCol w:w="715"/>
        <w:gridCol w:w="500"/>
        <w:gridCol w:w="715"/>
        <w:gridCol w:w="542"/>
        <w:gridCol w:w="715"/>
      </w:tblGrid>
      <w:tr w:rsidR="001F4995" w:rsidRPr="001F4995" w14:paraId="67825C79" w14:textId="77777777" w:rsidTr="001F4995">
        <w:trPr>
          <w:trHeight w:val="330"/>
        </w:trPr>
        <w:tc>
          <w:tcPr>
            <w:tcW w:w="11256" w:type="dxa"/>
            <w:gridSpan w:val="11"/>
            <w:noWrap/>
            <w:vAlign w:val="bottom"/>
          </w:tcPr>
          <w:p w14:paraId="7E03813F" w14:textId="77777777" w:rsidR="001F4995" w:rsidRPr="001F4995" w:rsidRDefault="001F4995" w:rsidP="001F4995">
            <w:pPr>
              <w:spacing w:before="0" w:after="0"/>
              <w:jc w:val="center"/>
              <w:rPr>
                <w:rFonts w:ascii="Times New Roman" w:eastAsia="Times New Roman" w:hAnsi="Times New Roman" w:cs="Times New Roman"/>
                <w:b/>
                <w:bCs/>
                <w:sz w:val="24"/>
                <w:szCs w:val="24"/>
                <w:lang w:eastAsia="de-DE"/>
              </w:rPr>
            </w:pP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t>Stahlwerksschlacke der Klasse 2 (SWS-2)</w:t>
            </w:r>
          </w:p>
        </w:tc>
      </w:tr>
      <w:tr w:rsidR="001F4995" w:rsidRPr="001F4995" w14:paraId="01324AE0" w14:textId="77777777" w:rsidTr="001F4995">
        <w:trPr>
          <w:trHeight w:val="20"/>
        </w:trPr>
        <w:tc>
          <w:tcPr>
            <w:tcW w:w="4683" w:type="dxa"/>
            <w:gridSpan w:val="2"/>
            <w:vMerge w:val="restart"/>
            <w:shd w:val="clear" w:color="auto" w:fill="auto"/>
            <w:noWrap/>
          </w:tcPr>
          <w:p w14:paraId="0F228146"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Einbauweise</w:t>
            </w:r>
          </w:p>
        </w:tc>
        <w:tc>
          <w:tcPr>
            <w:tcW w:w="6573" w:type="dxa"/>
            <w:gridSpan w:val="9"/>
            <w:shd w:val="clear" w:color="auto" w:fill="auto"/>
            <w:noWrap/>
            <w:vAlign w:val="center"/>
          </w:tcPr>
          <w:p w14:paraId="39C622D0"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Eigenschaft der Grundwasserdeckschicht</w:t>
            </w:r>
          </w:p>
        </w:tc>
      </w:tr>
      <w:tr w:rsidR="001F4995" w:rsidRPr="001F4995" w14:paraId="1B6079AD" w14:textId="77777777" w:rsidTr="001F4995">
        <w:trPr>
          <w:trHeight w:val="20"/>
        </w:trPr>
        <w:tc>
          <w:tcPr>
            <w:tcW w:w="4683" w:type="dxa"/>
            <w:gridSpan w:val="2"/>
            <w:vMerge/>
            <w:shd w:val="clear" w:color="auto" w:fill="auto"/>
            <w:noWrap/>
            <w:vAlign w:val="center"/>
          </w:tcPr>
          <w:p w14:paraId="016F2787" w14:textId="77777777" w:rsidR="001F4995" w:rsidRPr="001F4995" w:rsidRDefault="001F4995" w:rsidP="001F4995">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204C29B5"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außerhalb von</w:t>
            </w:r>
          </w:p>
          <w:p w14:paraId="24E8C48E"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c>
          <w:tcPr>
            <w:tcW w:w="3873" w:type="dxa"/>
            <w:gridSpan w:val="6"/>
            <w:shd w:val="clear" w:color="auto" w:fill="auto"/>
            <w:noWrap/>
            <w:vAlign w:val="center"/>
          </w:tcPr>
          <w:p w14:paraId="10C944D5"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innerhalb von</w:t>
            </w:r>
          </w:p>
          <w:p w14:paraId="146254EB"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r>
      <w:tr w:rsidR="001F4995" w:rsidRPr="001F4995" w14:paraId="1E1D7EF0" w14:textId="77777777" w:rsidTr="001F4995">
        <w:trPr>
          <w:trHeight w:val="20"/>
        </w:trPr>
        <w:tc>
          <w:tcPr>
            <w:tcW w:w="4683" w:type="dxa"/>
            <w:gridSpan w:val="2"/>
            <w:vMerge/>
            <w:shd w:val="clear" w:color="auto" w:fill="auto"/>
            <w:noWrap/>
            <w:vAlign w:val="center"/>
          </w:tcPr>
          <w:p w14:paraId="5F28A9D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36078F74"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proofErr w:type="spellStart"/>
            <w:r w:rsidRPr="001F4995">
              <w:rPr>
                <w:rFonts w:ascii="Times New Roman" w:eastAsia="Times New Roman" w:hAnsi="Times New Roman" w:cs="Times New Roman"/>
                <w:sz w:val="20"/>
                <w:szCs w:val="20"/>
                <w:lang w:eastAsia="de-DE"/>
              </w:rPr>
              <w:t>un</w:t>
            </w:r>
            <w:proofErr w:type="spellEnd"/>
            <w:r w:rsidRPr="001F4995">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5B173319"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c>
          <w:tcPr>
            <w:tcW w:w="3873" w:type="dxa"/>
            <w:gridSpan w:val="6"/>
            <w:shd w:val="clear" w:color="auto" w:fill="auto"/>
            <w:noWrap/>
            <w:vAlign w:val="center"/>
          </w:tcPr>
          <w:p w14:paraId="24103DBF"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r>
      <w:tr w:rsidR="001F4995" w:rsidRPr="001F4995" w14:paraId="27AB0065" w14:textId="77777777" w:rsidTr="001F4995">
        <w:trPr>
          <w:trHeight w:val="20"/>
        </w:trPr>
        <w:tc>
          <w:tcPr>
            <w:tcW w:w="4683" w:type="dxa"/>
            <w:gridSpan w:val="2"/>
            <w:vMerge/>
            <w:shd w:val="clear" w:color="auto" w:fill="auto"/>
            <w:noWrap/>
            <w:vAlign w:val="center"/>
          </w:tcPr>
          <w:p w14:paraId="6C9B79A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2396EBE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6FE5276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452496FE" w14:textId="5F6D562E"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27C177B3" w14:textId="0090185A"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4419D74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1491" w:type="dxa"/>
            <w:gridSpan w:val="2"/>
            <w:shd w:val="clear" w:color="auto" w:fill="auto"/>
            <w:noWrap/>
            <w:vAlign w:val="center"/>
          </w:tcPr>
          <w:p w14:paraId="2E65BDE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1033165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B</w:t>
            </w:r>
          </w:p>
        </w:tc>
        <w:tc>
          <w:tcPr>
            <w:tcW w:w="1212" w:type="dxa"/>
            <w:gridSpan w:val="2"/>
            <w:shd w:val="clear" w:color="auto" w:fill="auto"/>
            <w:noWrap/>
            <w:vAlign w:val="center"/>
          </w:tcPr>
          <w:p w14:paraId="12ECF62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Wasservor-</w:t>
            </w:r>
          </w:p>
        </w:tc>
      </w:tr>
      <w:tr w:rsidR="001F4995" w:rsidRPr="001F4995" w14:paraId="68A363EC" w14:textId="77777777" w:rsidTr="001F4995">
        <w:trPr>
          <w:trHeight w:val="80"/>
        </w:trPr>
        <w:tc>
          <w:tcPr>
            <w:tcW w:w="4683" w:type="dxa"/>
            <w:gridSpan w:val="2"/>
            <w:vMerge/>
            <w:shd w:val="clear" w:color="auto" w:fill="auto"/>
            <w:noWrap/>
            <w:vAlign w:val="center"/>
          </w:tcPr>
          <w:p w14:paraId="663AE33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7C2B2AC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1F156C9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13F485C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491" w:type="dxa"/>
            <w:gridSpan w:val="2"/>
            <w:shd w:val="clear" w:color="auto" w:fill="auto"/>
            <w:noWrap/>
            <w:vAlign w:val="center"/>
          </w:tcPr>
          <w:p w14:paraId="26BDB6E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571DB26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IV</w:t>
            </w:r>
          </w:p>
        </w:tc>
        <w:tc>
          <w:tcPr>
            <w:tcW w:w="1212" w:type="dxa"/>
            <w:gridSpan w:val="2"/>
            <w:shd w:val="clear" w:color="auto" w:fill="auto"/>
            <w:noWrap/>
            <w:vAlign w:val="center"/>
          </w:tcPr>
          <w:p w14:paraId="2952CD8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ranggebiete</w:t>
            </w:r>
          </w:p>
        </w:tc>
      </w:tr>
      <w:tr w:rsidR="001F4995" w:rsidRPr="001F4995" w14:paraId="33201D05" w14:textId="77777777" w:rsidTr="001F4995">
        <w:trPr>
          <w:trHeight w:val="80"/>
        </w:trPr>
        <w:tc>
          <w:tcPr>
            <w:tcW w:w="4683" w:type="dxa"/>
            <w:gridSpan w:val="2"/>
            <w:vMerge/>
            <w:shd w:val="clear" w:color="auto" w:fill="auto"/>
            <w:noWrap/>
            <w:vAlign w:val="center"/>
          </w:tcPr>
          <w:p w14:paraId="5F3D313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49952A8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7A8E1F7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3959F39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21" w:type="dxa"/>
            <w:shd w:val="clear" w:color="auto" w:fill="auto"/>
            <w:noWrap/>
            <w:vAlign w:val="center"/>
          </w:tcPr>
          <w:p w14:paraId="4AE1EBB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581C0CB0" w14:textId="3302EEEA"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471FB3E6" w14:textId="12946605"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264550F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4C40592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5BA991FF" w14:textId="621A9915"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1352D981" w14:textId="316F92DC"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6C6ED29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729316C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0FDD6AE5" w14:textId="2061C403"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3C5A9940" w14:textId="61A96282"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7AB5FFB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r>
      <w:tr w:rsidR="001F4995" w:rsidRPr="001F4995" w14:paraId="098F95CB" w14:textId="77777777" w:rsidTr="001F4995">
        <w:trPr>
          <w:trHeight w:val="111"/>
        </w:trPr>
        <w:tc>
          <w:tcPr>
            <w:tcW w:w="4683" w:type="dxa"/>
            <w:gridSpan w:val="2"/>
            <w:vMerge/>
            <w:shd w:val="clear" w:color="auto" w:fill="auto"/>
            <w:noWrap/>
            <w:vAlign w:val="center"/>
          </w:tcPr>
          <w:p w14:paraId="7206274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711E90A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w:t>
            </w:r>
          </w:p>
        </w:tc>
        <w:tc>
          <w:tcPr>
            <w:tcW w:w="664" w:type="dxa"/>
            <w:shd w:val="clear" w:color="auto" w:fill="auto"/>
            <w:noWrap/>
            <w:vAlign w:val="center"/>
          </w:tcPr>
          <w:p w14:paraId="3CA1700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2</w:t>
            </w:r>
          </w:p>
        </w:tc>
        <w:tc>
          <w:tcPr>
            <w:tcW w:w="1185" w:type="dxa"/>
            <w:shd w:val="clear" w:color="auto" w:fill="auto"/>
            <w:noWrap/>
            <w:vAlign w:val="center"/>
          </w:tcPr>
          <w:p w14:paraId="1852958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3</w:t>
            </w:r>
          </w:p>
        </w:tc>
        <w:tc>
          <w:tcPr>
            <w:tcW w:w="1491" w:type="dxa"/>
            <w:gridSpan w:val="2"/>
            <w:shd w:val="clear" w:color="auto" w:fill="auto"/>
            <w:noWrap/>
            <w:vAlign w:val="center"/>
          </w:tcPr>
          <w:p w14:paraId="333F3A9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1BB808A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5</w:t>
            </w:r>
          </w:p>
        </w:tc>
        <w:tc>
          <w:tcPr>
            <w:tcW w:w="1212" w:type="dxa"/>
            <w:gridSpan w:val="2"/>
            <w:shd w:val="clear" w:color="auto" w:fill="auto"/>
            <w:noWrap/>
            <w:vAlign w:val="center"/>
          </w:tcPr>
          <w:p w14:paraId="7E2FC46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6</w:t>
            </w:r>
          </w:p>
        </w:tc>
      </w:tr>
      <w:tr w:rsidR="001F4995" w:rsidRPr="001F4995" w14:paraId="269F6238" w14:textId="77777777" w:rsidTr="001F4995">
        <w:trPr>
          <w:trHeight w:val="20"/>
        </w:trPr>
        <w:tc>
          <w:tcPr>
            <w:tcW w:w="469" w:type="dxa"/>
            <w:shd w:val="clear" w:color="auto" w:fill="auto"/>
            <w:noWrap/>
          </w:tcPr>
          <w:p w14:paraId="64723A8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w:t>
            </w:r>
          </w:p>
        </w:tc>
        <w:tc>
          <w:tcPr>
            <w:tcW w:w="4214" w:type="dxa"/>
            <w:shd w:val="clear" w:color="auto" w:fill="FFFFFF"/>
          </w:tcPr>
          <w:p w14:paraId="0D3C263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57929EF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EE8354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D51BC3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shd w:val="clear" w:color="auto" w:fill="auto"/>
            <w:noWrap/>
            <w:vAlign w:val="center"/>
          </w:tcPr>
          <w:p w14:paraId="63AD68E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E9D921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4DF9B2E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F5207A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8FBD4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00F50E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51F2E3F" w14:textId="77777777" w:rsidTr="001F4995">
        <w:trPr>
          <w:trHeight w:val="20"/>
        </w:trPr>
        <w:tc>
          <w:tcPr>
            <w:tcW w:w="469" w:type="dxa"/>
            <w:shd w:val="clear" w:color="auto" w:fill="auto"/>
            <w:noWrap/>
          </w:tcPr>
          <w:p w14:paraId="4B87CFF1"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2</w:t>
            </w:r>
          </w:p>
        </w:tc>
        <w:tc>
          <w:tcPr>
            <w:tcW w:w="4214" w:type="dxa"/>
            <w:shd w:val="clear" w:color="auto" w:fill="FFFFFF"/>
          </w:tcPr>
          <w:p w14:paraId="344122F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41E77CC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8ABB63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E7A2B7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4FE2DCCF"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D3DC3D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58F1CB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E4DA43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3A1EF5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667547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07AA860" w14:textId="77777777" w:rsidTr="001F4995">
        <w:trPr>
          <w:trHeight w:val="20"/>
        </w:trPr>
        <w:tc>
          <w:tcPr>
            <w:tcW w:w="469" w:type="dxa"/>
            <w:shd w:val="clear" w:color="auto" w:fill="auto"/>
            <w:noWrap/>
          </w:tcPr>
          <w:p w14:paraId="383DED6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3</w:t>
            </w:r>
          </w:p>
        </w:tc>
        <w:tc>
          <w:tcPr>
            <w:tcW w:w="4214" w:type="dxa"/>
            <w:shd w:val="clear" w:color="auto" w:fill="FFFFFF"/>
          </w:tcPr>
          <w:p w14:paraId="3AC9129C"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4EDBB91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E59BAE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364AF5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38A7CB5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830929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A735C8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6B0918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4ECD0CD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B72718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A86B7F4" w14:textId="77777777" w:rsidTr="001F4995">
        <w:trPr>
          <w:trHeight w:val="20"/>
        </w:trPr>
        <w:tc>
          <w:tcPr>
            <w:tcW w:w="469" w:type="dxa"/>
            <w:shd w:val="clear" w:color="auto" w:fill="auto"/>
            <w:noWrap/>
          </w:tcPr>
          <w:p w14:paraId="5C9A64A2"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4</w:t>
            </w:r>
          </w:p>
        </w:tc>
        <w:tc>
          <w:tcPr>
            <w:tcW w:w="4214" w:type="dxa"/>
            <w:shd w:val="clear" w:color="auto" w:fill="FFFFFF"/>
          </w:tcPr>
          <w:p w14:paraId="2A137B10"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4864D0F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EB2018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DF26C4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08314C9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6532FE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0620AA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C3FC96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61DCC8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03D4B8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06ACBBE" w14:textId="77777777" w:rsidTr="001F4995">
        <w:trPr>
          <w:trHeight w:val="20"/>
        </w:trPr>
        <w:tc>
          <w:tcPr>
            <w:tcW w:w="469" w:type="dxa"/>
            <w:shd w:val="clear" w:color="auto" w:fill="auto"/>
            <w:noWrap/>
          </w:tcPr>
          <w:p w14:paraId="4D4C03E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5</w:t>
            </w:r>
          </w:p>
        </w:tc>
        <w:tc>
          <w:tcPr>
            <w:tcW w:w="4214" w:type="dxa"/>
            <w:shd w:val="clear" w:color="auto" w:fill="FFFFFF"/>
          </w:tcPr>
          <w:p w14:paraId="783E7CD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1048790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759016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C9794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1E3441C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5CC702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EF80BA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CE3939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1A272E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01F00B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555C00E" w14:textId="77777777" w:rsidTr="001F4995">
        <w:trPr>
          <w:trHeight w:val="20"/>
        </w:trPr>
        <w:tc>
          <w:tcPr>
            <w:tcW w:w="469" w:type="dxa"/>
            <w:shd w:val="clear" w:color="auto" w:fill="auto"/>
            <w:noWrap/>
          </w:tcPr>
          <w:p w14:paraId="1C16DD0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6</w:t>
            </w:r>
          </w:p>
        </w:tc>
        <w:tc>
          <w:tcPr>
            <w:tcW w:w="4214" w:type="dxa"/>
            <w:shd w:val="clear" w:color="auto" w:fill="FFFFFF"/>
          </w:tcPr>
          <w:p w14:paraId="342A982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611B2AF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A4C9A1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7C1323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69B1109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8D7820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EA3E6F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0E1445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1D077B9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31C723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C8648E3" w14:textId="77777777" w:rsidTr="001F4995">
        <w:trPr>
          <w:trHeight w:val="20"/>
        </w:trPr>
        <w:tc>
          <w:tcPr>
            <w:tcW w:w="469" w:type="dxa"/>
            <w:shd w:val="clear" w:color="auto" w:fill="auto"/>
            <w:noWrap/>
          </w:tcPr>
          <w:p w14:paraId="35B5B56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7</w:t>
            </w:r>
          </w:p>
        </w:tc>
        <w:tc>
          <w:tcPr>
            <w:tcW w:w="4214" w:type="dxa"/>
            <w:shd w:val="clear" w:color="auto" w:fill="FFFFFF"/>
          </w:tcPr>
          <w:p w14:paraId="16FCDB8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Schottertragschicht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7D7DA85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8B038E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B84806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2540263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90640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FE0988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647BA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58BE091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D6EBE4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B375B16" w14:textId="77777777" w:rsidTr="001F4995">
        <w:trPr>
          <w:trHeight w:val="20"/>
        </w:trPr>
        <w:tc>
          <w:tcPr>
            <w:tcW w:w="469" w:type="dxa"/>
            <w:shd w:val="clear" w:color="auto" w:fill="auto"/>
            <w:noWrap/>
          </w:tcPr>
          <w:p w14:paraId="76A714E9"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8</w:t>
            </w:r>
          </w:p>
        </w:tc>
        <w:tc>
          <w:tcPr>
            <w:tcW w:w="4214" w:type="dxa"/>
            <w:shd w:val="clear" w:color="auto" w:fill="FFFFFF"/>
          </w:tcPr>
          <w:p w14:paraId="02DA36F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Frostschutzschicht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087A7E9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64" w:type="dxa"/>
            <w:noWrap/>
            <w:vAlign w:val="center"/>
          </w:tcPr>
          <w:p w14:paraId="5E58165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45D049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2F87253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70" w:type="dxa"/>
            <w:vAlign w:val="center"/>
          </w:tcPr>
          <w:p w14:paraId="6EAADC7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BD95B6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70" w:type="dxa"/>
            <w:vAlign w:val="center"/>
          </w:tcPr>
          <w:p w14:paraId="4C94A7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DE6251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1295F3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B1229F5" w14:textId="77777777" w:rsidTr="001F4995">
        <w:trPr>
          <w:trHeight w:val="20"/>
        </w:trPr>
        <w:tc>
          <w:tcPr>
            <w:tcW w:w="469" w:type="dxa"/>
            <w:shd w:val="clear" w:color="auto" w:fill="auto"/>
            <w:noWrap/>
          </w:tcPr>
          <w:p w14:paraId="05AE301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9</w:t>
            </w:r>
          </w:p>
        </w:tc>
        <w:tc>
          <w:tcPr>
            <w:tcW w:w="4214" w:type="dxa"/>
            <w:shd w:val="clear" w:color="auto" w:fill="FFFFFF"/>
          </w:tcPr>
          <w:p w14:paraId="067894B4"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Dämme oder Wälle gemäß Bauweisen A-D nach MTSE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5AED762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2DA6D3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09C3A8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347D662B"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9C54A7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0C6EF6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ADB2E6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258F825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D88903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AFB475A" w14:textId="77777777" w:rsidTr="001F4995">
        <w:trPr>
          <w:trHeight w:val="20"/>
        </w:trPr>
        <w:tc>
          <w:tcPr>
            <w:tcW w:w="469" w:type="dxa"/>
            <w:shd w:val="clear" w:color="auto" w:fill="auto"/>
            <w:noWrap/>
          </w:tcPr>
          <w:p w14:paraId="12E085E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10</w:t>
            </w:r>
          </w:p>
        </w:tc>
        <w:tc>
          <w:tcPr>
            <w:tcW w:w="4214" w:type="dxa"/>
            <w:shd w:val="clear" w:color="auto" w:fill="FFFFFF"/>
          </w:tcPr>
          <w:p w14:paraId="4A7CD57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3216101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373543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A72750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23FF9BF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00EAB6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DD20DA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E633A0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2FB50CF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FBEEF9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7FF94D4" w14:textId="77777777" w:rsidTr="001F4995">
        <w:trPr>
          <w:trHeight w:val="20"/>
        </w:trPr>
        <w:tc>
          <w:tcPr>
            <w:tcW w:w="469" w:type="dxa"/>
            <w:shd w:val="clear" w:color="auto" w:fill="auto"/>
            <w:noWrap/>
          </w:tcPr>
          <w:p w14:paraId="44ED486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11</w:t>
            </w:r>
          </w:p>
        </w:tc>
        <w:tc>
          <w:tcPr>
            <w:tcW w:w="4214" w:type="dxa"/>
            <w:shd w:val="clear" w:color="auto" w:fill="FFFFFF"/>
          </w:tcPr>
          <w:p w14:paraId="5E003378" w14:textId="77777777" w:rsidR="001F4995" w:rsidRPr="001F4995" w:rsidRDefault="001F4995" w:rsidP="001F4995">
            <w:pPr>
              <w:spacing w:before="0" w:after="0"/>
              <w:jc w:val="left"/>
              <w:rPr>
                <w:rFonts w:ascii="Times New Roman" w:eastAsia="Times New Roman" w:hAnsi="Times New Roman" w:cs="Times New Roman"/>
                <w:sz w:val="18"/>
                <w:szCs w:val="18"/>
                <w:vertAlign w:val="superscript"/>
                <w:lang w:eastAsia="de-DE"/>
              </w:rPr>
            </w:pPr>
            <w:r w:rsidRPr="001F4995">
              <w:rPr>
                <w:rFonts w:ascii="Times New Roman" w:eastAsia="Times New Roman" w:hAnsi="Times New Roman" w:cs="Times New Roman"/>
                <w:sz w:val="18"/>
                <w:szCs w:val="18"/>
                <w:lang w:eastAsia="de-DE"/>
              </w:rPr>
              <w:t>Bettungssand unter Pflaster oder unter Plattenbelägen</w:t>
            </w:r>
            <w:r w:rsidRPr="001F4995">
              <w:rPr>
                <w:rFonts w:ascii="Times New Roman" w:eastAsia="Times New Roman" w:hAnsi="Times New Roman" w:cs="Times New Roman"/>
                <w:sz w:val="18"/>
                <w:szCs w:val="18"/>
                <w:vertAlign w:val="superscript"/>
                <w:lang w:eastAsia="de-DE"/>
              </w:rPr>
              <w:t>8)</w:t>
            </w:r>
          </w:p>
        </w:tc>
        <w:tc>
          <w:tcPr>
            <w:tcW w:w="851" w:type="dxa"/>
            <w:noWrap/>
            <w:vAlign w:val="center"/>
          </w:tcPr>
          <w:p w14:paraId="48C3736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D30584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2B80F7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3A35F00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245B49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72E480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58EAE8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1DC962E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1E4222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28593C2" w14:textId="77777777" w:rsidTr="001F4995">
        <w:trPr>
          <w:trHeight w:val="20"/>
        </w:trPr>
        <w:tc>
          <w:tcPr>
            <w:tcW w:w="469" w:type="dxa"/>
            <w:shd w:val="clear" w:color="auto" w:fill="auto"/>
            <w:noWrap/>
          </w:tcPr>
          <w:p w14:paraId="62FD4E3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12</w:t>
            </w:r>
          </w:p>
        </w:tc>
        <w:tc>
          <w:tcPr>
            <w:tcW w:w="4214" w:type="dxa"/>
            <w:shd w:val="clear" w:color="auto" w:fill="FFFFFF"/>
          </w:tcPr>
          <w:p w14:paraId="2AAFC0CC"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Deckschicht ohne Bindemittel</w:t>
            </w:r>
            <w:r w:rsidRPr="001F4995">
              <w:rPr>
                <w:rFonts w:ascii="Times New Roman" w:eastAsia="Times New Roman" w:hAnsi="Times New Roman" w:cs="Times New Roman"/>
                <w:sz w:val="18"/>
                <w:szCs w:val="18"/>
                <w:vertAlign w:val="superscript"/>
                <w:lang w:eastAsia="de-DE"/>
              </w:rPr>
              <w:t>8)9)</w:t>
            </w:r>
          </w:p>
        </w:tc>
        <w:tc>
          <w:tcPr>
            <w:tcW w:w="851" w:type="dxa"/>
            <w:noWrap/>
            <w:vAlign w:val="center"/>
          </w:tcPr>
          <w:p w14:paraId="338419E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DE21A1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610C60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1C896E7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F60352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8E41C8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226DDC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1815FAE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E461AF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7E9905F" w14:textId="77777777" w:rsidTr="001F4995">
        <w:trPr>
          <w:trHeight w:val="20"/>
        </w:trPr>
        <w:tc>
          <w:tcPr>
            <w:tcW w:w="469" w:type="dxa"/>
            <w:shd w:val="clear" w:color="auto" w:fill="auto"/>
            <w:noWrap/>
          </w:tcPr>
          <w:p w14:paraId="5982300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13</w:t>
            </w:r>
          </w:p>
        </w:tc>
        <w:tc>
          <w:tcPr>
            <w:tcW w:w="4214" w:type="dxa"/>
            <w:shd w:val="clear" w:color="auto" w:fill="FFFFFF"/>
          </w:tcPr>
          <w:p w14:paraId="7279390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r w:rsidRPr="001F4995">
              <w:rPr>
                <w:rFonts w:ascii="Times New Roman" w:eastAsia="Times New Roman" w:hAnsi="Times New Roman" w:cs="Times New Roman"/>
                <w:sz w:val="18"/>
                <w:szCs w:val="18"/>
                <w:vertAlign w:val="superscript"/>
                <w:lang w:eastAsia="de-DE"/>
              </w:rPr>
              <w:t>8)</w:t>
            </w:r>
          </w:p>
        </w:tc>
        <w:tc>
          <w:tcPr>
            <w:tcW w:w="851" w:type="dxa"/>
            <w:noWrap/>
            <w:vAlign w:val="center"/>
          </w:tcPr>
          <w:p w14:paraId="2F8D08F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09E0D0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A67885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821" w:type="dxa"/>
            <w:noWrap/>
            <w:vAlign w:val="center"/>
          </w:tcPr>
          <w:p w14:paraId="50E6123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55508E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A42EEE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4D469E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3F006D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A43D90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r>
      <w:tr w:rsidR="001F4995" w:rsidRPr="001F4995" w14:paraId="2929AA9C" w14:textId="77777777" w:rsidTr="001F4995">
        <w:trPr>
          <w:trHeight w:val="20"/>
        </w:trPr>
        <w:tc>
          <w:tcPr>
            <w:tcW w:w="469" w:type="dxa"/>
            <w:shd w:val="clear" w:color="auto" w:fill="auto"/>
            <w:noWrap/>
          </w:tcPr>
          <w:p w14:paraId="06547A83"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14</w:t>
            </w:r>
          </w:p>
        </w:tc>
        <w:tc>
          <w:tcPr>
            <w:tcW w:w="4214" w:type="dxa"/>
            <w:shd w:val="clear" w:color="auto" w:fill="FFFFFF"/>
          </w:tcPr>
          <w:p w14:paraId="71EC9993"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Plattenbelägen</w:t>
            </w:r>
            <w:r w:rsidRPr="001F4995">
              <w:rPr>
                <w:rFonts w:ascii="Times New Roman" w:eastAsia="Times New Roman" w:hAnsi="Times New Roman" w:cs="Times New Roman"/>
                <w:sz w:val="18"/>
                <w:szCs w:val="18"/>
                <w:vertAlign w:val="superscript"/>
                <w:lang w:eastAsia="de-DE"/>
              </w:rPr>
              <w:t>8)</w:t>
            </w:r>
          </w:p>
        </w:tc>
        <w:tc>
          <w:tcPr>
            <w:tcW w:w="851" w:type="dxa"/>
            <w:noWrap/>
            <w:vAlign w:val="center"/>
          </w:tcPr>
          <w:p w14:paraId="1CCCA02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127D20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1185" w:type="dxa"/>
            <w:noWrap/>
            <w:vAlign w:val="center"/>
          </w:tcPr>
          <w:p w14:paraId="1FB2222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821" w:type="dxa"/>
            <w:noWrap/>
            <w:vAlign w:val="center"/>
          </w:tcPr>
          <w:p w14:paraId="0FD5F01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D6870B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500" w:type="dxa"/>
            <w:noWrap/>
            <w:vAlign w:val="center"/>
          </w:tcPr>
          <w:p w14:paraId="4AB98F9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BC7B0D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542" w:type="dxa"/>
            <w:shd w:val="clear" w:color="auto" w:fill="auto"/>
            <w:noWrap/>
            <w:vAlign w:val="center"/>
          </w:tcPr>
          <w:p w14:paraId="46D8C98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5B91A1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 3)</w:t>
            </w:r>
          </w:p>
        </w:tc>
      </w:tr>
      <w:tr w:rsidR="001F4995" w:rsidRPr="001F4995" w14:paraId="033D4985" w14:textId="77777777" w:rsidTr="001F4995">
        <w:trPr>
          <w:trHeight w:val="20"/>
        </w:trPr>
        <w:tc>
          <w:tcPr>
            <w:tcW w:w="469" w:type="dxa"/>
            <w:shd w:val="clear" w:color="auto" w:fill="auto"/>
            <w:noWrap/>
          </w:tcPr>
          <w:p w14:paraId="3E82F17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15</w:t>
            </w:r>
          </w:p>
        </w:tc>
        <w:tc>
          <w:tcPr>
            <w:tcW w:w="4214" w:type="dxa"/>
            <w:shd w:val="clear" w:color="auto" w:fill="FFFFFF"/>
          </w:tcPr>
          <w:p w14:paraId="4077724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Pflaster</w:t>
            </w:r>
            <w:r w:rsidRPr="001F4995">
              <w:rPr>
                <w:rFonts w:ascii="Times New Roman" w:eastAsia="Times New Roman" w:hAnsi="Times New Roman" w:cs="Times New Roman"/>
                <w:sz w:val="18"/>
                <w:szCs w:val="18"/>
                <w:vertAlign w:val="superscript"/>
                <w:lang w:eastAsia="de-DE"/>
              </w:rPr>
              <w:t>8)</w:t>
            </w:r>
          </w:p>
        </w:tc>
        <w:tc>
          <w:tcPr>
            <w:tcW w:w="851" w:type="dxa"/>
            <w:noWrap/>
            <w:vAlign w:val="center"/>
          </w:tcPr>
          <w:p w14:paraId="4167B8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329745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4)</w:t>
            </w:r>
          </w:p>
        </w:tc>
        <w:tc>
          <w:tcPr>
            <w:tcW w:w="1185" w:type="dxa"/>
            <w:noWrap/>
            <w:vAlign w:val="center"/>
          </w:tcPr>
          <w:p w14:paraId="28617F6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821" w:type="dxa"/>
            <w:noWrap/>
            <w:vAlign w:val="center"/>
          </w:tcPr>
          <w:p w14:paraId="3F61830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AECCA5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4)</w:t>
            </w:r>
          </w:p>
        </w:tc>
        <w:tc>
          <w:tcPr>
            <w:tcW w:w="500" w:type="dxa"/>
            <w:noWrap/>
            <w:vAlign w:val="center"/>
          </w:tcPr>
          <w:p w14:paraId="091B057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CAD268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4)</w:t>
            </w:r>
          </w:p>
        </w:tc>
        <w:tc>
          <w:tcPr>
            <w:tcW w:w="542" w:type="dxa"/>
            <w:shd w:val="clear" w:color="auto" w:fill="auto"/>
            <w:noWrap/>
            <w:vAlign w:val="center"/>
          </w:tcPr>
          <w:p w14:paraId="49ABFEC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65919B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 4)</w:t>
            </w:r>
          </w:p>
        </w:tc>
      </w:tr>
      <w:tr w:rsidR="001F4995" w:rsidRPr="001F4995" w14:paraId="71BDBBCF" w14:textId="77777777" w:rsidTr="001F4995">
        <w:trPr>
          <w:trHeight w:val="20"/>
        </w:trPr>
        <w:tc>
          <w:tcPr>
            <w:tcW w:w="469" w:type="dxa"/>
            <w:shd w:val="clear" w:color="auto" w:fill="auto"/>
            <w:noWrap/>
          </w:tcPr>
          <w:p w14:paraId="613A2F5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16</w:t>
            </w:r>
          </w:p>
        </w:tc>
        <w:tc>
          <w:tcPr>
            <w:tcW w:w="4214" w:type="dxa"/>
            <w:shd w:val="clear" w:color="auto" w:fill="FFFFFF"/>
          </w:tcPr>
          <w:p w14:paraId="1036BCA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analog zu Bauweise E des MTSE</w:t>
            </w:r>
            <w:r w:rsidRPr="001F4995">
              <w:rPr>
                <w:rFonts w:ascii="Times New Roman" w:eastAsia="Times New Roman" w:hAnsi="Times New Roman" w:cs="Times New Roman"/>
                <w:sz w:val="18"/>
                <w:szCs w:val="18"/>
                <w:vertAlign w:val="superscript"/>
                <w:lang w:eastAsia="de-DE"/>
              </w:rPr>
              <w:t>8)</w:t>
            </w:r>
          </w:p>
        </w:tc>
        <w:tc>
          <w:tcPr>
            <w:tcW w:w="851" w:type="dxa"/>
            <w:noWrap/>
            <w:vAlign w:val="center"/>
          </w:tcPr>
          <w:p w14:paraId="1EF11F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35DC4F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5)</w:t>
            </w:r>
          </w:p>
        </w:tc>
        <w:tc>
          <w:tcPr>
            <w:tcW w:w="1185" w:type="dxa"/>
            <w:noWrap/>
            <w:vAlign w:val="center"/>
          </w:tcPr>
          <w:p w14:paraId="5F5A8BED"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6)</w:t>
            </w:r>
          </w:p>
        </w:tc>
        <w:tc>
          <w:tcPr>
            <w:tcW w:w="821" w:type="dxa"/>
            <w:noWrap/>
            <w:vAlign w:val="center"/>
          </w:tcPr>
          <w:p w14:paraId="2FB6EC8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79C99F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5)</w:t>
            </w:r>
          </w:p>
        </w:tc>
        <w:tc>
          <w:tcPr>
            <w:tcW w:w="500" w:type="dxa"/>
            <w:noWrap/>
            <w:vAlign w:val="center"/>
          </w:tcPr>
          <w:p w14:paraId="6DCB3E91"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trike/>
                <w:sz w:val="24"/>
                <w:szCs w:val="24"/>
                <w:lang w:eastAsia="de-DE"/>
              </w:rPr>
              <w:t>-</w:t>
            </w:r>
          </w:p>
        </w:tc>
        <w:tc>
          <w:tcPr>
            <w:tcW w:w="670" w:type="dxa"/>
            <w:shd w:val="clear" w:color="auto" w:fill="auto"/>
            <w:vAlign w:val="center"/>
          </w:tcPr>
          <w:p w14:paraId="292C367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5)</w:t>
            </w:r>
          </w:p>
        </w:tc>
        <w:tc>
          <w:tcPr>
            <w:tcW w:w="542" w:type="dxa"/>
            <w:shd w:val="clear" w:color="auto" w:fill="auto"/>
            <w:noWrap/>
            <w:vAlign w:val="center"/>
          </w:tcPr>
          <w:p w14:paraId="20323B6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5)</w:t>
            </w:r>
          </w:p>
        </w:tc>
        <w:tc>
          <w:tcPr>
            <w:tcW w:w="670" w:type="dxa"/>
            <w:shd w:val="clear" w:color="auto" w:fill="auto"/>
            <w:vAlign w:val="center"/>
          </w:tcPr>
          <w:p w14:paraId="421D1BB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5)</w:t>
            </w:r>
          </w:p>
        </w:tc>
      </w:tr>
      <w:tr w:rsidR="001F4995" w:rsidRPr="001F4995" w14:paraId="066FD192" w14:textId="77777777" w:rsidTr="001F4995">
        <w:trPr>
          <w:trHeight w:val="208"/>
        </w:trPr>
        <w:tc>
          <w:tcPr>
            <w:tcW w:w="469" w:type="dxa"/>
            <w:shd w:val="clear" w:color="auto" w:fill="auto"/>
            <w:noWrap/>
          </w:tcPr>
          <w:p w14:paraId="16DADD1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17</w:t>
            </w:r>
          </w:p>
        </w:tc>
        <w:tc>
          <w:tcPr>
            <w:tcW w:w="4214" w:type="dxa"/>
            <w:shd w:val="clear" w:color="auto" w:fill="FFFFFF"/>
          </w:tcPr>
          <w:p w14:paraId="6560ED4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Dämme und Schutzwälle ohne Maßnahmen nach MTSE unter durchwurzelbarer Bodenschicht</w:t>
            </w:r>
            <w:r w:rsidRPr="001F4995">
              <w:rPr>
                <w:rFonts w:ascii="Times New Roman" w:eastAsia="Times New Roman" w:hAnsi="Times New Roman" w:cs="Times New Roman"/>
                <w:sz w:val="18"/>
                <w:szCs w:val="18"/>
                <w:vertAlign w:val="superscript"/>
                <w:lang w:eastAsia="de-DE"/>
              </w:rPr>
              <w:t>8)</w:t>
            </w:r>
          </w:p>
        </w:tc>
        <w:tc>
          <w:tcPr>
            <w:tcW w:w="851" w:type="dxa"/>
            <w:noWrap/>
            <w:vAlign w:val="center"/>
          </w:tcPr>
          <w:p w14:paraId="527CD8B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A940A8E"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7)</w:t>
            </w:r>
          </w:p>
        </w:tc>
        <w:tc>
          <w:tcPr>
            <w:tcW w:w="1185" w:type="dxa"/>
            <w:noWrap/>
            <w:vAlign w:val="center"/>
          </w:tcPr>
          <w:p w14:paraId="3C65A408"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7)</w:t>
            </w:r>
          </w:p>
        </w:tc>
        <w:tc>
          <w:tcPr>
            <w:tcW w:w="821" w:type="dxa"/>
            <w:noWrap/>
            <w:vAlign w:val="center"/>
          </w:tcPr>
          <w:p w14:paraId="2252947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516264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7)</w:t>
            </w:r>
          </w:p>
        </w:tc>
        <w:tc>
          <w:tcPr>
            <w:tcW w:w="500" w:type="dxa"/>
            <w:noWrap/>
            <w:vAlign w:val="center"/>
          </w:tcPr>
          <w:p w14:paraId="4DC6EFC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3E9361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7)</w:t>
            </w:r>
          </w:p>
        </w:tc>
        <w:tc>
          <w:tcPr>
            <w:tcW w:w="542" w:type="dxa"/>
            <w:shd w:val="clear" w:color="auto" w:fill="auto"/>
            <w:noWrap/>
            <w:vAlign w:val="center"/>
          </w:tcPr>
          <w:p w14:paraId="04CC6B1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7)</w:t>
            </w:r>
          </w:p>
        </w:tc>
        <w:tc>
          <w:tcPr>
            <w:tcW w:w="670" w:type="dxa"/>
            <w:shd w:val="clear" w:color="auto" w:fill="auto"/>
            <w:vAlign w:val="center"/>
          </w:tcPr>
          <w:p w14:paraId="31362D2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7)</w:t>
            </w:r>
          </w:p>
        </w:tc>
      </w:tr>
    </w:tbl>
    <w:p w14:paraId="0AC786B0"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1) Zulässig, wenn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230 µg/l und Chrom, ges.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110 µg/l. </w:t>
      </w:r>
    </w:p>
    <w:p w14:paraId="2386CDB4"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2) Zulässig, wenn Molybdän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55 µg/l und Fluorid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1,1 mg/l. </w:t>
      </w:r>
    </w:p>
    <w:p w14:paraId="058E3BF9"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3) Zulässig, wenn Molybdän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55 µg/l,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90 µg/l und Fluorid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1,1 mg/l.</w:t>
      </w:r>
    </w:p>
    <w:p w14:paraId="3C9F812B"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4) Zulässig, wenn Molybdän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55 µg/l,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180 µg/l und Fluorid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1,1 mg/l. </w:t>
      </w:r>
    </w:p>
    <w:p w14:paraId="4E2B33EC"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5) </w:t>
      </w:r>
      <w:proofErr w:type="gramStart"/>
      <w:r w:rsidRPr="001F4995">
        <w:rPr>
          <w:rFonts w:ascii="Times New Roman" w:eastAsia="Times New Roman" w:hAnsi="Times New Roman" w:cs="Times New Roman"/>
          <w:sz w:val="16"/>
          <w:szCs w:val="16"/>
          <w:lang w:eastAsia="de-DE"/>
        </w:rPr>
        <w:t>Zulässig</w:t>
      </w:r>
      <w:proofErr w:type="gramEnd"/>
      <w:r w:rsidRPr="001F4995">
        <w:rPr>
          <w:rFonts w:ascii="Times New Roman" w:eastAsia="Times New Roman" w:hAnsi="Times New Roman" w:cs="Times New Roman"/>
          <w:sz w:val="16"/>
          <w:szCs w:val="16"/>
          <w:lang w:eastAsia="de-DE"/>
        </w:rPr>
        <w:t xml:space="preserve"> wenn „K“ und Molybdän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220 µg/l oder wenn Molybdän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55 µg/l,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320 µg/l und Fluorid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1,1 mg/l.</w:t>
      </w:r>
    </w:p>
    <w:p w14:paraId="6A73D4C0"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6) </w:t>
      </w:r>
      <w:proofErr w:type="gramStart"/>
      <w:r w:rsidRPr="001F4995">
        <w:rPr>
          <w:rFonts w:ascii="Times New Roman" w:eastAsia="Times New Roman" w:hAnsi="Times New Roman" w:cs="Times New Roman"/>
          <w:sz w:val="16"/>
          <w:szCs w:val="16"/>
          <w:lang w:eastAsia="de-DE"/>
        </w:rPr>
        <w:t>Zulässig</w:t>
      </w:r>
      <w:proofErr w:type="gramEnd"/>
      <w:r w:rsidRPr="001F4995">
        <w:rPr>
          <w:rFonts w:ascii="Times New Roman" w:eastAsia="Times New Roman" w:hAnsi="Times New Roman" w:cs="Times New Roman"/>
          <w:sz w:val="16"/>
          <w:szCs w:val="16"/>
          <w:lang w:eastAsia="de-DE"/>
        </w:rPr>
        <w:t xml:space="preserve"> wenn „K“ und Molybdän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220 µg/l oder wenn Molybdän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55 µg/l und Fluorid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1,1 mg/l.</w:t>
      </w:r>
    </w:p>
    <w:p w14:paraId="78B5B8CA" w14:textId="77777777" w:rsidR="001F4995" w:rsidRPr="001F4995" w:rsidRDefault="001F4995" w:rsidP="001F4995">
      <w:pPr>
        <w:tabs>
          <w:tab w:val="left" w:pos="142"/>
        </w:tabs>
        <w:spacing w:before="0" w:after="0"/>
        <w:ind w:left="142" w:hanging="142"/>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7) </w:t>
      </w:r>
      <w:proofErr w:type="gramStart"/>
      <w:r w:rsidRPr="001F4995">
        <w:rPr>
          <w:rFonts w:ascii="Times New Roman" w:eastAsia="Times New Roman" w:hAnsi="Times New Roman" w:cs="Times New Roman"/>
          <w:sz w:val="16"/>
          <w:szCs w:val="16"/>
          <w:lang w:eastAsia="de-DE"/>
        </w:rPr>
        <w:t>Zulässig</w:t>
      </w:r>
      <w:proofErr w:type="gramEnd"/>
      <w:r w:rsidRPr="001F4995">
        <w:rPr>
          <w:rFonts w:ascii="Times New Roman" w:eastAsia="Times New Roman" w:hAnsi="Times New Roman" w:cs="Times New Roman"/>
          <w:sz w:val="16"/>
          <w:szCs w:val="16"/>
          <w:lang w:eastAsia="de-DE"/>
        </w:rPr>
        <w:t xml:space="preserve"> wenn „M“ Molybdän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90 µg/l,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200 µg/l und Fluorid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1,9 mg/</w:t>
      </w:r>
      <w:proofErr w:type="spellStart"/>
      <w:r w:rsidRPr="001F4995">
        <w:rPr>
          <w:rFonts w:ascii="Times New Roman" w:eastAsia="Times New Roman" w:hAnsi="Times New Roman" w:cs="Times New Roman"/>
          <w:sz w:val="16"/>
          <w:szCs w:val="16"/>
          <w:lang w:eastAsia="de-DE"/>
        </w:rPr>
        <w:t>l.oder</w:t>
      </w:r>
      <w:proofErr w:type="spellEnd"/>
      <w:r w:rsidRPr="001F4995">
        <w:rPr>
          <w:rFonts w:ascii="Times New Roman" w:eastAsia="Times New Roman" w:hAnsi="Times New Roman" w:cs="Times New Roman"/>
          <w:sz w:val="16"/>
          <w:szCs w:val="16"/>
          <w:lang w:eastAsia="de-DE"/>
        </w:rPr>
        <w:t xml:space="preserve"> wenn Molybdän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55 µg/l,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120 µg/l und Fluorid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1,1 mg/l.</w:t>
      </w:r>
    </w:p>
    <w:p w14:paraId="6E7F24ED" w14:textId="005E7778" w:rsidR="001F4995" w:rsidRPr="001F4995" w:rsidRDefault="001F4995" w:rsidP="001F4995">
      <w:pPr>
        <w:tabs>
          <w:tab w:val="left" w:pos="142"/>
        </w:tabs>
        <w:spacing w:before="0" w:after="0"/>
        <w:ind w:left="142" w:hanging="142"/>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8) Nicht zugelassen auf Kinderspielflächen, in Wohngebieten oder Park- und Freizeitanlagen, es gelten die Begriffsbestimmu</w:t>
      </w:r>
      <w:r w:rsidR="00D5621D">
        <w:rPr>
          <w:rFonts w:ascii="Times New Roman" w:eastAsia="Times New Roman" w:hAnsi="Times New Roman" w:cs="Times New Roman"/>
          <w:sz w:val="16"/>
          <w:szCs w:val="16"/>
          <w:lang w:eastAsia="de-DE"/>
        </w:rPr>
        <w:t xml:space="preserve">ngen gemäß </w:t>
      </w:r>
      <w:r w:rsidRPr="001F4995">
        <w:rPr>
          <w:rFonts w:ascii="Times New Roman" w:eastAsia="Times New Roman" w:hAnsi="Times New Roman" w:cs="Times New Roman"/>
          <w:sz w:val="16"/>
          <w:szCs w:val="16"/>
          <w:lang w:eastAsia="de-DE"/>
        </w:rPr>
        <w:t xml:space="preserve">§ 2 Nummer 18, 19, 20 </w:t>
      </w:r>
      <w:proofErr w:type="spellStart"/>
      <w:r w:rsidRPr="001F4995">
        <w:rPr>
          <w:rFonts w:ascii="Times New Roman" w:eastAsia="Times New Roman" w:hAnsi="Times New Roman" w:cs="Times New Roman"/>
          <w:sz w:val="16"/>
          <w:szCs w:val="16"/>
          <w:lang w:eastAsia="de-DE"/>
        </w:rPr>
        <w:t>BBodSchV</w:t>
      </w:r>
      <w:proofErr w:type="spellEnd"/>
      <w:r w:rsidRPr="001F4995">
        <w:rPr>
          <w:rFonts w:ascii="Times New Roman" w:eastAsia="Times New Roman" w:hAnsi="Times New Roman" w:cs="Times New Roman"/>
          <w:sz w:val="16"/>
          <w:szCs w:val="16"/>
          <w:lang w:eastAsia="de-DE"/>
        </w:rPr>
        <w:t>.</w:t>
      </w:r>
    </w:p>
    <w:p w14:paraId="1EB88891" w14:textId="77777777" w:rsidR="001F4995" w:rsidRDefault="001F4995" w:rsidP="001F4995">
      <w:pPr>
        <w:tabs>
          <w:tab w:val="left" w:pos="142"/>
        </w:tabs>
        <w:spacing w:before="0" w:after="0"/>
        <w:ind w:left="142" w:hanging="142"/>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9) Zugelassen, wenn das zum Einbau vorgesehene Korngrößengemisch bei Einstufung nach dem CBR-Wert der Klasse CBR 50/25 nach DIN EN 14227-2, Ausgabe August 2013, entspricht.</w:t>
      </w:r>
    </w:p>
    <w:p w14:paraId="69E7FD29" w14:textId="47843D43" w:rsidR="001F4995" w:rsidRPr="001F4995" w:rsidRDefault="001F4995" w:rsidP="001F4995">
      <w:pPr>
        <w:pStyle w:val="berschrift1"/>
      </w:pPr>
      <w:r>
        <w:rPr>
          <w:rFonts w:ascii="Times New Roman" w:eastAsia="Times New Roman" w:hAnsi="Times New Roman" w:cs="Times New Roman"/>
          <w:sz w:val="16"/>
          <w:szCs w:val="16"/>
          <w:lang w:eastAsia="de-DE"/>
        </w:rPr>
        <w:br w:type="page"/>
      </w:r>
      <w:r w:rsidRPr="008D0377">
        <w:lastRenderedPageBreak/>
        <w:t>Tabelle 18: Gießerei-</w:t>
      </w:r>
      <w:proofErr w:type="spellStart"/>
      <w:r w:rsidRPr="008D0377">
        <w:t>Kupolofenschlacke</w:t>
      </w:r>
      <w:proofErr w:type="spellEnd"/>
      <w:r w:rsidRPr="008D0377">
        <w:t xml:space="preserve"> (GKOS)</w:t>
      </w:r>
    </w:p>
    <w:p w14:paraId="03E7FC6B" w14:textId="77777777" w:rsidR="001F4995" w:rsidRPr="001F4995" w:rsidRDefault="001F4995" w:rsidP="001F4995">
      <w:pPr>
        <w:keepNext/>
        <w:spacing w:before="0" w:after="200"/>
        <w:jc w:val="left"/>
        <w:rPr>
          <w:rFonts w:ascii="Times New Roman" w:eastAsia="Calibri" w:hAnsi="Times New Roman" w:cs="Times New Roman"/>
          <w:b/>
          <w:sz w:val="18"/>
          <w:szCs w:val="18"/>
        </w:rPr>
      </w:pPr>
    </w:p>
    <w:tbl>
      <w:tblPr>
        <w:tblW w:w="11042" w:type="dxa"/>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607"/>
        <w:gridCol w:w="715"/>
        <w:gridCol w:w="500"/>
        <w:gridCol w:w="715"/>
        <w:gridCol w:w="542"/>
        <w:gridCol w:w="715"/>
      </w:tblGrid>
      <w:tr w:rsidR="001F4995" w:rsidRPr="001F4995" w14:paraId="122D754F" w14:textId="77777777" w:rsidTr="001F4995">
        <w:trPr>
          <w:trHeight w:val="330"/>
        </w:trPr>
        <w:tc>
          <w:tcPr>
            <w:tcW w:w="11042" w:type="dxa"/>
            <w:gridSpan w:val="11"/>
            <w:noWrap/>
            <w:vAlign w:val="bottom"/>
          </w:tcPr>
          <w:p w14:paraId="75CB4546" w14:textId="77777777" w:rsidR="001F4995" w:rsidRPr="001F4995" w:rsidRDefault="001F4995" w:rsidP="001F4995">
            <w:pPr>
              <w:spacing w:before="0" w:after="0"/>
              <w:jc w:val="center"/>
              <w:rPr>
                <w:rFonts w:ascii="Times New Roman" w:eastAsia="Times New Roman" w:hAnsi="Times New Roman" w:cs="Times New Roman"/>
                <w:b/>
                <w:bCs/>
                <w:sz w:val="24"/>
                <w:szCs w:val="24"/>
                <w:lang w:eastAsia="de-DE"/>
              </w:rPr>
            </w:pP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t>Gießerei-</w:t>
            </w:r>
            <w:proofErr w:type="spellStart"/>
            <w:r w:rsidRPr="001F4995">
              <w:rPr>
                <w:rFonts w:ascii="Times New Roman" w:eastAsia="Times New Roman" w:hAnsi="Times New Roman" w:cs="Times New Roman"/>
                <w:b/>
                <w:sz w:val="24"/>
                <w:szCs w:val="24"/>
                <w:lang w:eastAsia="de-DE"/>
              </w:rPr>
              <w:t>Kupolofenschlacke</w:t>
            </w:r>
            <w:proofErr w:type="spellEnd"/>
            <w:r w:rsidRPr="001F4995">
              <w:rPr>
                <w:rFonts w:ascii="Times New Roman" w:eastAsia="Times New Roman" w:hAnsi="Times New Roman" w:cs="Times New Roman"/>
                <w:b/>
                <w:sz w:val="24"/>
                <w:szCs w:val="24"/>
                <w:lang w:eastAsia="de-DE"/>
              </w:rPr>
              <w:t xml:space="preserve"> (GKOS)</w:t>
            </w:r>
          </w:p>
        </w:tc>
      </w:tr>
      <w:tr w:rsidR="001F4995" w:rsidRPr="001F4995" w14:paraId="038A1A20" w14:textId="77777777" w:rsidTr="001F4995">
        <w:trPr>
          <w:trHeight w:val="20"/>
        </w:trPr>
        <w:tc>
          <w:tcPr>
            <w:tcW w:w="4683" w:type="dxa"/>
            <w:gridSpan w:val="2"/>
            <w:vMerge w:val="restart"/>
            <w:shd w:val="clear" w:color="auto" w:fill="auto"/>
            <w:noWrap/>
          </w:tcPr>
          <w:p w14:paraId="74FA1A4F"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Einbauweise</w:t>
            </w:r>
          </w:p>
        </w:tc>
        <w:tc>
          <w:tcPr>
            <w:tcW w:w="6359" w:type="dxa"/>
            <w:gridSpan w:val="9"/>
            <w:shd w:val="clear" w:color="auto" w:fill="auto"/>
            <w:noWrap/>
            <w:vAlign w:val="center"/>
          </w:tcPr>
          <w:p w14:paraId="39D034E5"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Eigenschaft der Grundwasserdeckschicht</w:t>
            </w:r>
          </w:p>
        </w:tc>
      </w:tr>
      <w:tr w:rsidR="001F4995" w:rsidRPr="001F4995" w14:paraId="07AEF6C3" w14:textId="77777777" w:rsidTr="001F4995">
        <w:trPr>
          <w:trHeight w:val="20"/>
        </w:trPr>
        <w:tc>
          <w:tcPr>
            <w:tcW w:w="4683" w:type="dxa"/>
            <w:gridSpan w:val="2"/>
            <w:vMerge/>
            <w:shd w:val="clear" w:color="auto" w:fill="auto"/>
            <w:noWrap/>
            <w:vAlign w:val="center"/>
          </w:tcPr>
          <w:p w14:paraId="6418E470" w14:textId="77777777" w:rsidR="001F4995" w:rsidRPr="001F4995" w:rsidRDefault="001F4995" w:rsidP="001F4995">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2A0079FA"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außerhalb von</w:t>
            </w:r>
          </w:p>
          <w:p w14:paraId="6F5424C3"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c>
          <w:tcPr>
            <w:tcW w:w="3659" w:type="dxa"/>
            <w:gridSpan w:val="6"/>
            <w:shd w:val="clear" w:color="auto" w:fill="auto"/>
            <w:noWrap/>
            <w:vAlign w:val="center"/>
          </w:tcPr>
          <w:p w14:paraId="0A134ED8"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innerhalb von</w:t>
            </w:r>
          </w:p>
          <w:p w14:paraId="21C46DA4"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r>
      <w:tr w:rsidR="001F4995" w:rsidRPr="001F4995" w14:paraId="6F5BBA7C" w14:textId="77777777" w:rsidTr="001F4995">
        <w:trPr>
          <w:trHeight w:val="20"/>
        </w:trPr>
        <w:tc>
          <w:tcPr>
            <w:tcW w:w="4683" w:type="dxa"/>
            <w:gridSpan w:val="2"/>
            <w:vMerge/>
            <w:shd w:val="clear" w:color="auto" w:fill="auto"/>
            <w:noWrap/>
            <w:vAlign w:val="center"/>
          </w:tcPr>
          <w:p w14:paraId="5E3D439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6F5622BC"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proofErr w:type="spellStart"/>
            <w:r w:rsidRPr="001F4995">
              <w:rPr>
                <w:rFonts w:ascii="Times New Roman" w:eastAsia="Times New Roman" w:hAnsi="Times New Roman" w:cs="Times New Roman"/>
                <w:sz w:val="20"/>
                <w:szCs w:val="20"/>
                <w:lang w:eastAsia="de-DE"/>
              </w:rPr>
              <w:t>un</w:t>
            </w:r>
            <w:proofErr w:type="spellEnd"/>
            <w:r w:rsidRPr="001F4995">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567F7950"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c>
          <w:tcPr>
            <w:tcW w:w="3659" w:type="dxa"/>
            <w:gridSpan w:val="6"/>
            <w:shd w:val="clear" w:color="auto" w:fill="auto"/>
            <w:noWrap/>
            <w:vAlign w:val="center"/>
          </w:tcPr>
          <w:p w14:paraId="735DC501"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r>
      <w:tr w:rsidR="001F4995" w:rsidRPr="001F4995" w14:paraId="19D1563F" w14:textId="77777777" w:rsidTr="001F4995">
        <w:trPr>
          <w:trHeight w:val="20"/>
        </w:trPr>
        <w:tc>
          <w:tcPr>
            <w:tcW w:w="4683" w:type="dxa"/>
            <w:gridSpan w:val="2"/>
            <w:vMerge/>
            <w:shd w:val="clear" w:color="auto" w:fill="auto"/>
            <w:noWrap/>
            <w:vAlign w:val="center"/>
          </w:tcPr>
          <w:p w14:paraId="2D0E227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124C9C4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201404F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3B105CC4" w14:textId="3BD7D8FD"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7DC39288" w14:textId="62AC4065"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52D9689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1277" w:type="dxa"/>
            <w:gridSpan w:val="2"/>
            <w:shd w:val="clear" w:color="auto" w:fill="auto"/>
            <w:noWrap/>
            <w:vAlign w:val="center"/>
          </w:tcPr>
          <w:p w14:paraId="798F169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01628A9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B</w:t>
            </w:r>
          </w:p>
        </w:tc>
        <w:tc>
          <w:tcPr>
            <w:tcW w:w="1212" w:type="dxa"/>
            <w:gridSpan w:val="2"/>
            <w:shd w:val="clear" w:color="auto" w:fill="auto"/>
            <w:noWrap/>
            <w:vAlign w:val="center"/>
          </w:tcPr>
          <w:p w14:paraId="3C6C179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Wasservor-</w:t>
            </w:r>
          </w:p>
        </w:tc>
      </w:tr>
      <w:tr w:rsidR="001F4995" w:rsidRPr="001F4995" w14:paraId="0B4DCC81" w14:textId="77777777" w:rsidTr="001F4995">
        <w:trPr>
          <w:trHeight w:val="80"/>
        </w:trPr>
        <w:tc>
          <w:tcPr>
            <w:tcW w:w="4683" w:type="dxa"/>
            <w:gridSpan w:val="2"/>
            <w:vMerge/>
            <w:shd w:val="clear" w:color="auto" w:fill="auto"/>
            <w:noWrap/>
            <w:vAlign w:val="center"/>
          </w:tcPr>
          <w:p w14:paraId="0EE666C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3801F3D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3DF3D87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4EC34B6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277" w:type="dxa"/>
            <w:gridSpan w:val="2"/>
            <w:shd w:val="clear" w:color="auto" w:fill="auto"/>
            <w:noWrap/>
            <w:vAlign w:val="center"/>
          </w:tcPr>
          <w:p w14:paraId="352FAA6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00A8BC9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IV</w:t>
            </w:r>
          </w:p>
        </w:tc>
        <w:tc>
          <w:tcPr>
            <w:tcW w:w="1212" w:type="dxa"/>
            <w:gridSpan w:val="2"/>
            <w:shd w:val="clear" w:color="auto" w:fill="auto"/>
            <w:noWrap/>
            <w:vAlign w:val="center"/>
          </w:tcPr>
          <w:p w14:paraId="64577C7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ranggebiete</w:t>
            </w:r>
          </w:p>
        </w:tc>
      </w:tr>
      <w:tr w:rsidR="001F4995" w:rsidRPr="001F4995" w14:paraId="63536662" w14:textId="77777777" w:rsidTr="001F4995">
        <w:trPr>
          <w:trHeight w:val="80"/>
        </w:trPr>
        <w:tc>
          <w:tcPr>
            <w:tcW w:w="4683" w:type="dxa"/>
            <w:gridSpan w:val="2"/>
            <w:vMerge/>
            <w:shd w:val="clear" w:color="auto" w:fill="auto"/>
            <w:noWrap/>
            <w:vAlign w:val="center"/>
          </w:tcPr>
          <w:p w14:paraId="42AB1A7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3922805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7BA2B69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2C448E8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07" w:type="dxa"/>
            <w:shd w:val="clear" w:color="auto" w:fill="auto"/>
            <w:noWrap/>
            <w:vAlign w:val="center"/>
          </w:tcPr>
          <w:p w14:paraId="5D1CEE0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39E3FDE6" w14:textId="052F3E68"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7A90305A" w14:textId="0079DBD9"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089BD7B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5DAE89D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0BEA4C68" w14:textId="5DF3D2EC"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3681E2B6" w14:textId="6DEF7F53"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2FE32B0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38F7376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7F159EFE" w14:textId="17F4856C"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7B816D08" w14:textId="1AAF33DD"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2F40C85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r>
      <w:tr w:rsidR="001F4995" w:rsidRPr="001F4995" w14:paraId="6795945F" w14:textId="77777777" w:rsidTr="001F4995">
        <w:trPr>
          <w:trHeight w:val="111"/>
        </w:trPr>
        <w:tc>
          <w:tcPr>
            <w:tcW w:w="4683" w:type="dxa"/>
            <w:gridSpan w:val="2"/>
            <w:vMerge/>
            <w:shd w:val="clear" w:color="auto" w:fill="auto"/>
            <w:noWrap/>
            <w:vAlign w:val="center"/>
          </w:tcPr>
          <w:p w14:paraId="118BAC3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3659D7E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w:t>
            </w:r>
          </w:p>
        </w:tc>
        <w:tc>
          <w:tcPr>
            <w:tcW w:w="664" w:type="dxa"/>
            <w:shd w:val="clear" w:color="auto" w:fill="auto"/>
            <w:noWrap/>
            <w:vAlign w:val="center"/>
          </w:tcPr>
          <w:p w14:paraId="2FBC755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2</w:t>
            </w:r>
          </w:p>
        </w:tc>
        <w:tc>
          <w:tcPr>
            <w:tcW w:w="1185" w:type="dxa"/>
            <w:shd w:val="clear" w:color="auto" w:fill="auto"/>
            <w:noWrap/>
            <w:vAlign w:val="center"/>
          </w:tcPr>
          <w:p w14:paraId="6BED40F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3</w:t>
            </w:r>
          </w:p>
        </w:tc>
        <w:tc>
          <w:tcPr>
            <w:tcW w:w="1277" w:type="dxa"/>
            <w:gridSpan w:val="2"/>
            <w:shd w:val="clear" w:color="auto" w:fill="auto"/>
            <w:noWrap/>
            <w:vAlign w:val="center"/>
          </w:tcPr>
          <w:p w14:paraId="07E2722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154289B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5</w:t>
            </w:r>
          </w:p>
        </w:tc>
        <w:tc>
          <w:tcPr>
            <w:tcW w:w="1212" w:type="dxa"/>
            <w:gridSpan w:val="2"/>
            <w:shd w:val="clear" w:color="auto" w:fill="auto"/>
            <w:noWrap/>
            <w:vAlign w:val="center"/>
          </w:tcPr>
          <w:p w14:paraId="34A98D1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6</w:t>
            </w:r>
          </w:p>
        </w:tc>
      </w:tr>
      <w:tr w:rsidR="001F4995" w:rsidRPr="001F4995" w14:paraId="614731D5" w14:textId="77777777" w:rsidTr="001F4995">
        <w:trPr>
          <w:trHeight w:val="20"/>
        </w:trPr>
        <w:tc>
          <w:tcPr>
            <w:tcW w:w="469" w:type="dxa"/>
            <w:shd w:val="clear" w:color="auto" w:fill="auto"/>
            <w:noWrap/>
          </w:tcPr>
          <w:p w14:paraId="706A007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w:t>
            </w:r>
          </w:p>
        </w:tc>
        <w:tc>
          <w:tcPr>
            <w:tcW w:w="4214" w:type="dxa"/>
            <w:shd w:val="clear" w:color="auto" w:fill="FFFFFF"/>
          </w:tcPr>
          <w:p w14:paraId="2DA19E8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2C4BF9F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9C1266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1EC68E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658089F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F3A40E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8D8727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2AB76C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6F8715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42096D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EB82F65" w14:textId="77777777" w:rsidTr="001F4995">
        <w:trPr>
          <w:trHeight w:val="20"/>
        </w:trPr>
        <w:tc>
          <w:tcPr>
            <w:tcW w:w="469" w:type="dxa"/>
            <w:shd w:val="clear" w:color="auto" w:fill="auto"/>
            <w:noWrap/>
          </w:tcPr>
          <w:p w14:paraId="034FAB0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2</w:t>
            </w:r>
          </w:p>
        </w:tc>
        <w:tc>
          <w:tcPr>
            <w:tcW w:w="4214" w:type="dxa"/>
            <w:shd w:val="clear" w:color="auto" w:fill="FFFFFF"/>
          </w:tcPr>
          <w:p w14:paraId="2260B53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73149CA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8CAA0C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088260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5226B12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16624B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69C5A2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73A53F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3B327F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B11A37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4B85671" w14:textId="77777777" w:rsidTr="001F4995">
        <w:trPr>
          <w:trHeight w:val="20"/>
        </w:trPr>
        <w:tc>
          <w:tcPr>
            <w:tcW w:w="469" w:type="dxa"/>
            <w:shd w:val="clear" w:color="auto" w:fill="auto"/>
            <w:noWrap/>
          </w:tcPr>
          <w:p w14:paraId="3AFF0D82"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3</w:t>
            </w:r>
          </w:p>
        </w:tc>
        <w:tc>
          <w:tcPr>
            <w:tcW w:w="4214" w:type="dxa"/>
            <w:shd w:val="clear" w:color="auto" w:fill="FFFFFF"/>
          </w:tcPr>
          <w:p w14:paraId="65B6099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1399FB9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55653C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BD8FDC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3E8C277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1D1C85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8002EA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A0A0C6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E8B193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9545E7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91A2DFC" w14:textId="77777777" w:rsidTr="001F4995">
        <w:trPr>
          <w:trHeight w:val="20"/>
        </w:trPr>
        <w:tc>
          <w:tcPr>
            <w:tcW w:w="469" w:type="dxa"/>
            <w:shd w:val="clear" w:color="auto" w:fill="auto"/>
            <w:noWrap/>
          </w:tcPr>
          <w:p w14:paraId="1ED8FFD9"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4</w:t>
            </w:r>
          </w:p>
        </w:tc>
        <w:tc>
          <w:tcPr>
            <w:tcW w:w="4214" w:type="dxa"/>
            <w:shd w:val="clear" w:color="auto" w:fill="FFFFFF"/>
          </w:tcPr>
          <w:p w14:paraId="05DBF6A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6292682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5B30AF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0B9962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4AC234E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77365F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11C9B5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18018D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2A44FD5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3B6DBC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B0FCC27" w14:textId="77777777" w:rsidTr="001F4995">
        <w:trPr>
          <w:trHeight w:val="20"/>
        </w:trPr>
        <w:tc>
          <w:tcPr>
            <w:tcW w:w="469" w:type="dxa"/>
            <w:shd w:val="clear" w:color="auto" w:fill="auto"/>
            <w:noWrap/>
          </w:tcPr>
          <w:p w14:paraId="4C62DFB8"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5</w:t>
            </w:r>
          </w:p>
        </w:tc>
        <w:tc>
          <w:tcPr>
            <w:tcW w:w="4214" w:type="dxa"/>
            <w:shd w:val="clear" w:color="auto" w:fill="FFFFFF"/>
          </w:tcPr>
          <w:p w14:paraId="082D7CC3"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5417F7A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6842E4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7EF987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0DB88B5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BC70D8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E5DF9D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64656D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237E569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0CD9D1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4CC9514" w14:textId="77777777" w:rsidTr="001F4995">
        <w:trPr>
          <w:trHeight w:val="20"/>
        </w:trPr>
        <w:tc>
          <w:tcPr>
            <w:tcW w:w="469" w:type="dxa"/>
            <w:shd w:val="clear" w:color="auto" w:fill="auto"/>
            <w:noWrap/>
          </w:tcPr>
          <w:p w14:paraId="1817BD6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6</w:t>
            </w:r>
          </w:p>
        </w:tc>
        <w:tc>
          <w:tcPr>
            <w:tcW w:w="4214" w:type="dxa"/>
            <w:shd w:val="clear" w:color="auto" w:fill="FFFFFF"/>
          </w:tcPr>
          <w:p w14:paraId="61C8D11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700AF2B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F0E449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16B889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6562DF7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D22D7C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CBDC6F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785BB8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077274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62B439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EB5BE50" w14:textId="77777777" w:rsidTr="001F4995">
        <w:trPr>
          <w:trHeight w:val="20"/>
        </w:trPr>
        <w:tc>
          <w:tcPr>
            <w:tcW w:w="469" w:type="dxa"/>
            <w:shd w:val="clear" w:color="auto" w:fill="auto"/>
            <w:noWrap/>
          </w:tcPr>
          <w:p w14:paraId="477FF3F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7</w:t>
            </w:r>
          </w:p>
        </w:tc>
        <w:tc>
          <w:tcPr>
            <w:tcW w:w="4214" w:type="dxa"/>
            <w:shd w:val="clear" w:color="auto" w:fill="FFFFFF"/>
          </w:tcPr>
          <w:p w14:paraId="12BEFA1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Schottertragschicht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438CF00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0E1858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6CB5F7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331AE5A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9E9D83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B18A2E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4B2F3BF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E1CFCE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91DFE6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4E1487B" w14:textId="77777777" w:rsidTr="001F4995">
        <w:trPr>
          <w:trHeight w:val="20"/>
        </w:trPr>
        <w:tc>
          <w:tcPr>
            <w:tcW w:w="469" w:type="dxa"/>
            <w:shd w:val="clear" w:color="auto" w:fill="auto"/>
            <w:noWrap/>
          </w:tcPr>
          <w:p w14:paraId="5D52D76E"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8</w:t>
            </w:r>
          </w:p>
        </w:tc>
        <w:tc>
          <w:tcPr>
            <w:tcW w:w="4214" w:type="dxa"/>
            <w:shd w:val="clear" w:color="auto" w:fill="FFFFFF"/>
          </w:tcPr>
          <w:p w14:paraId="4E1F850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Frostschutzschicht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2A3F573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B02254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C5E2E5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442506B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B7E7F9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EF225D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4AA27C5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56895AF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6E73A08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8CBCCFC" w14:textId="77777777" w:rsidTr="001F4995">
        <w:trPr>
          <w:trHeight w:val="20"/>
        </w:trPr>
        <w:tc>
          <w:tcPr>
            <w:tcW w:w="469" w:type="dxa"/>
            <w:shd w:val="clear" w:color="auto" w:fill="auto"/>
            <w:noWrap/>
          </w:tcPr>
          <w:p w14:paraId="31A68BCC"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9</w:t>
            </w:r>
          </w:p>
        </w:tc>
        <w:tc>
          <w:tcPr>
            <w:tcW w:w="4214" w:type="dxa"/>
            <w:shd w:val="clear" w:color="auto" w:fill="FFFFFF"/>
          </w:tcPr>
          <w:p w14:paraId="5D4DE74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Dämme oder Wälle gemäß Bauweisen A-D nach MTSE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10AE644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D4A280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0EE506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018FAB0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FA01DB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CA0622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FE2366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544EDFA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0E6941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9CA40E7" w14:textId="77777777" w:rsidTr="001F4995">
        <w:trPr>
          <w:trHeight w:val="20"/>
        </w:trPr>
        <w:tc>
          <w:tcPr>
            <w:tcW w:w="469" w:type="dxa"/>
            <w:shd w:val="clear" w:color="auto" w:fill="auto"/>
            <w:noWrap/>
          </w:tcPr>
          <w:p w14:paraId="1D83B3F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10</w:t>
            </w:r>
          </w:p>
        </w:tc>
        <w:tc>
          <w:tcPr>
            <w:tcW w:w="4214" w:type="dxa"/>
            <w:shd w:val="clear" w:color="auto" w:fill="FFFFFF"/>
          </w:tcPr>
          <w:p w14:paraId="609CE5F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7E2E6A7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5B7A3E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118EAF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33FA786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AE987C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C0B589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A517E6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636A9E0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C3DCC1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EB6CF7B" w14:textId="77777777" w:rsidTr="001F4995">
        <w:trPr>
          <w:trHeight w:val="20"/>
        </w:trPr>
        <w:tc>
          <w:tcPr>
            <w:tcW w:w="469" w:type="dxa"/>
            <w:shd w:val="clear" w:color="auto" w:fill="auto"/>
            <w:noWrap/>
          </w:tcPr>
          <w:p w14:paraId="1F28B583"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11</w:t>
            </w:r>
          </w:p>
        </w:tc>
        <w:tc>
          <w:tcPr>
            <w:tcW w:w="4214" w:type="dxa"/>
            <w:shd w:val="clear" w:color="auto" w:fill="FFFFFF"/>
          </w:tcPr>
          <w:p w14:paraId="77C8230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53F4A57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B7CFC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4EB04E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37271E7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2C8258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35385C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63FFAE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4F8896E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61214D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B764097" w14:textId="77777777" w:rsidTr="001F4995">
        <w:trPr>
          <w:trHeight w:val="20"/>
        </w:trPr>
        <w:tc>
          <w:tcPr>
            <w:tcW w:w="469" w:type="dxa"/>
            <w:shd w:val="clear" w:color="auto" w:fill="auto"/>
            <w:noWrap/>
          </w:tcPr>
          <w:p w14:paraId="064264D3"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12</w:t>
            </w:r>
          </w:p>
        </w:tc>
        <w:tc>
          <w:tcPr>
            <w:tcW w:w="4214" w:type="dxa"/>
            <w:shd w:val="clear" w:color="auto" w:fill="FFFFFF"/>
          </w:tcPr>
          <w:p w14:paraId="3C229C8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Deckschicht ohne Bindemittel</w:t>
            </w:r>
          </w:p>
        </w:tc>
        <w:tc>
          <w:tcPr>
            <w:tcW w:w="851" w:type="dxa"/>
            <w:noWrap/>
            <w:vAlign w:val="center"/>
          </w:tcPr>
          <w:p w14:paraId="16DC223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61967C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7AF284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45A9876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3BC898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2F4FDB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BB586F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0E07310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4F1CDF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D879FA9" w14:textId="77777777" w:rsidTr="001F4995">
        <w:trPr>
          <w:trHeight w:val="20"/>
        </w:trPr>
        <w:tc>
          <w:tcPr>
            <w:tcW w:w="469" w:type="dxa"/>
            <w:shd w:val="clear" w:color="auto" w:fill="auto"/>
            <w:noWrap/>
          </w:tcPr>
          <w:p w14:paraId="52989082"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13</w:t>
            </w:r>
          </w:p>
        </w:tc>
        <w:tc>
          <w:tcPr>
            <w:tcW w:w="4214" w:type="dxa"/>
            <w:shd w:val="clear" w:color="auto" w:fill="FFFFFF"/>
          </w:tcPr>
          <w:p w14:paraId="41ECB92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3187AC3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64" w:type="dxa"/>
            <w:noWrap/>
            <w:vAlign w:val="center"/>
          </w:tcPr>
          <w:p w14:paraId="3CE58EE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DA8B34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5BF25F7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70" w:type="dxa"/>
            <w:shd w:val="clear" w:color="auto" w:fill="FFFFFF"/>
            <w:vAlign w:val="center"/>
          </w:tcPr>
          <w:p w14:paraId="7C454CA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99B204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70" w:type="dxa"/>
            <w:shd w:val="clear" w:color="auto" w:fill="FFFFFF"/>
            <w:vAlign w:val="center"/>
          </w:tcPr>
          <w:p w14:paraId="1F32FE4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02515DC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06887F4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A93DCC4" w14:textId="77777777" w:rsidTr="001F4995">
        <w:trPr>
          <w:trHeight w:val="20"/>
        </w:trPr>
        <w:tc>
          <w:tcPr>
            <w:tcW w:w="469" w:type="dxa"/>
            <w:shd w:val="clear" w:color="auto" w:fill="auto"/>
            <w:noWrap/>
          </w:tcPr>
          <w:p w14:paraId="1704F133"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14</w:t>
            </w:r>
          </w:p>
        </w:tc>
        <w:tc>
          <w:tcPr>
            <w:tcW w:w="4214" w:type="dxa"/>
            <w:shd w:val="clear" w:color="auto" w:fill="FFFFFF"/>
          </w:tcPr>
          <w:p w14:paraId="33A601C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Plattenbelägen</w:t>
            </w:r>
          </w:p>
        </w:tc>
        <w:tc>
          <w:tcPr>
            <w:tcW w:w="851" w:type="dxa"/>
            <w:noWrap/>
            <w:vAlign w:val="center"/>
          </w:tcPr>
          <w:p w14:paraId="029EF7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64" w:type="dxa"/>
            <w:noWrap/>
            <w:vAlign w:val="center"/>
          </w:tcPr>
          <w:p w14:paraId="2784EDA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19ECA7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33CAD03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70" w:type="dxa"/>
            <w:shd w:val="clear" w:color="auto" w:fill="FFFFFF"/>
            <w:vAlign w:val="center"/>
          </w:tcPr>
          <w:p w14:paraId="06A2874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42D6D1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70" w:type="dxa"/>
            <w:shd w:val="clear" w:color="auto" w:fill="FFFFFF"/>
            <w:vAlign w:val="center"/>
          </w:tcPr>
          <w:p w14:paraId="7DBED63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1D2C9AB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5337B12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EFE02AA" w14:textId="77777777" w:rsidTr="001F4995">
        <w:trPr>
          <w:trHeight w:val="20"/>
        </w:trPr>
        <w:tc>
          <w:tcPr>
            <w:tcW w:w="469" w:type="dxa"/>
            <w:shd w:val="clear" w:color="auto" w:fill="auto"/>
            <w:noWrap/>
          </w:tcPr>
          <w:p w14:paraId="35891C8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15</w:t>
            </w:r>
          </w:p>
        </w:tc>
        <w:tc>
          <w:tcPr>
            <w:tcW w:w="4214" w:type="dxa"/>
            <w:shd w:val="clear" w:color="auto" w:fill="FFFFFF"/>
          </w:tcPr>
          <w:p w14:paraId="6817376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5DB599F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64" w:type="dxa"/>
            <w:noWrap/>
            <w:vAlign w:val="center"/>
          </w:tcPr>
          <w:p w14:paraId="1AE0D5B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E73119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5F7788D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70" w:type="dxa"/>
            <w:shd w:val="clear" w:color="auto" w:fill="FFFFFF"/>
            <w:vAlign w:val="center"/>
          </w:tcPr>
          <w:p w14:paraId="07CA04B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C239B1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70" w:type="dxa"/>
            <w:shd w:val="clear" w:color="auto" w:fill="FFFFFF"/>
            <w:vAlign w:val="center"/>
          </w:tcPr>
          <w:p w14:paraId="2D01036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1AEBE4E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66BA2A8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1BA073C" w14:textId="77777777" w:rsidTr="001F4995">
        <w:trPr>
          <w:trHeight w:val="20"/>
        </w:trPr>
        <w:tc>
          <w:tcPr>
            <w:tcW w:w="469" w:type="dxa"/>
            <w:shd w:val="clear" w:color="auto" w:fill="auto"/>
            <w:noWrap/>
          </w:tcPr>
          <w:p w14:paraId="41B8FF23"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16</w:t>
            </w:r>
          </w:p>
        </w:tc>
        <w:tc>
          <w:tcPr>
            <w:tcW w:w="4214" w:type="dxa"/>
            <w:shd w:val="clear" w:color="auto" w:fill="FFFFFF"/>
          </w:tcPr>
          <w:p w14:paraId="7120B13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0E3B5A1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5FC9075"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53E996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1D8F76B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23C9CE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FFF23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4A0D2AA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762AA8A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5D93FF6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6114640" w14:textId="77777777" w:rsidTr="001F4995">
        <w:trPr>
          <w:trHeight w:val="208"/>
        </w:trPr>
        <w:tc>
          <w:tcPr>
            <w:tcW w:w="469" w:type="dxa"/>
            <w:shd w:val="clear" w:color="auto" w:fill="auto"/>
            <w:noWrap/>
          </w:tcPr>
          <w:p w14:paraId="28B44318"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17</w:t>
            </w:r>
          </w:p>
        </w:tc>
        <w:tc>
          <w:tcPr>
            <w:tcW w:w="4214" w:type="dxa"/>
            <w:shd w:val="clear" w:color="auto" w:fill="FFFFFF"/>
          </w:tcPr>
          <w:p w14:paraId="267EAF5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651931E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64" w:type="dxa"/>
            <w:noWrap/>
            <w:vAlign w:val="center"/>
          </w:tcPr>
          <w:p w14:paraId="129B9B6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6A63C6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6268F24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70" w:type="dxa"/>
            <w:shd w:val="clear" w:color="auto" w:fill="FFFFFF"/>
            <w:vAlign w:val="center"/>
          </w:tcPr>
          <w:p w14:paraId="6F24193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6E8110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70" w:type="dxa"/>
            <w:shd w:val="clear" w:color="auto" w:fill="FFFFFF"/>
            <w:vAlign w:val="center"/>
          </w:tcPr>
          <w:p w14:paraId="1FE1D5F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35D9525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6D37F07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bl>
    <w:p w14:paraId="2FC0B521"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1) Zulässig, wenn Blei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35 µg/l, Chrom, ges.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15 µg/l und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30 µg/l. </w:t>
      </w:r>
    </w:p>
    <w:p w14:paraId="0EF18F74" w14:textId="77777777" w:rsidR="001F4995" w:rsidRPr="008D0377" w:rsidRDefault="001F4995" w:rsidP="001F4995">
      <w:pPr>
        <w:pStyle w:val="berschrift1"/>
      </w:pPr>
      <w:r w:rsidRPr="008D0377">
        <w:t>Tabelle 19: Kupferhüttenmaterial der Klasse 1 (CUM-1)</w:t>
      </w:r>
    </w:p>
    <w:p w14:paraId="64190E29" w14:textId="77777777" w:rsidR="001F4995" w:rsidRPr="001F4995" w:rsidRDefault="001F4995" w:rsidP="001F4995">
      <w:pPr>
        <w:keepNext/>
        <w:spacing w:before="0" w:after="200"/>
        <w:jc w:val="left"/>
        <w:rPr>
          <w:rFonts w:ascii="Times New Roman" w:eastAsia="Calibri" w:hAnsi="Times New Roman" w:cs="Times New Roman"/>
          <w:b/>
          <w:sz w:val="18"/>
          <w:szCs w:val="18"/>
        </w:rPr>
      </w:pPr>
    </w:p>
    <w:tbl>
      <w:tblPr>
        <w:tblW w:w="11541" w:type="dxa"/>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821"/>
        <w:gridCol w:w="765"/>
        <w:gridCol w:w="500"/>
        <w:gridCol w:w="765"/>
        <w:gridCol w:w="542"/>
        <w:gridCol w:w="765"/>
      </w:tblGrid>
      <w:tr w:rsidR="001F4995" w:rsidRPr="001F4995" w14:paraId="4D1592D6" w14:textId="77777777" w:rsidTr="001F4995">
        <w:trPr>
          <w:trHeight w:val="330"/>
        </w:trPr>
        <w:tc>
          <w:tcPr>
            <w:tcW w:w="11541" w:type="dxa"/>
            <w:gridSpan w:val="11"/>
            <w:noWrap/>
            <w:vAlign w:val="bottom"/>
          </w:tcPr>
          <w:p w14:paraId="30411D80" w14:textId="77777777" w:rsidR="001F4995" w:rsidRPr="001F4995" w:rsidRDefault="001F4995" w:rsidP="001F4995">
            <w:pPr>
              <w:spacing w:before="0" w:after="0"/>
              <w:jc w:val="center"/>
              <w:rPr>
                <w:rFonts w:ascii="Times New Roman" w:eastAsia="Times New Roman" w:hAnsi="Times New Roman" w:cs="Times New Roman"/>
                <w:b/>
                <w:bCs/>
                <w:sz w:val="24"/>
                <w:szCs w:val="24"/>
                <w:lang w:eastAsia="de-DE"/>
              </w:rPr>
            </w:pP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t>Kupferhüttenmaterial der Klasse 1 (CUM-1)</w:t>
            </w:r>
          </w:p>
        </w:tc>
      </w:tr>
      <w:tr w:rsidR="001F4995" w:rsidRPr="001F4995" w14:paraId="51D04E5B" w14:textId="77777777" w:rsidTr="001F4995">
        <w:trPr>
          <w:trHeight w:val="20"/>
        </w:trPr>
        <w:tc>
          <w:tcPr>
            <w:tcW w:w="4683" w:type="dxa"/>
            <w:gridSpan w:val="2"/>
            <w:vMerge w:val="restart"/>
            <w:shd w:val="clear" w:color="auto" w:fill="auto"/>
            <w:noWrap/>
          </w:tcPr>
          <w:p w14:paraId="4FAF05B1"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Einbauweise</w:t>
            </w:r>
          </w:p>
        </w:tc>
        <w:tc>
          <w:tcPr>
            <w:tcW w:w="6858" w:type="dxa"/>
            <w:gridSpan w:val="9"/>
            <w:shd w:val="clear" w:color="auto" w:fill="auto"/>
            <w:noWrap/>
            <w:vAlign w:val="center"/>
          </w:tcPr>
          <w:p w14:paraId="087A2B00"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Eigenschaft der Grundwasserdeckschicht</w:t>
            </w:r>
          </w:p>
        </w:tc>
      </w:tr>
      <w:tr w:rsidR="001F4995" w:rsidRPr="001F4995" w14:paraId="0C1AEDAB" w14:textId="77777777" w:rsidTr="001F4995">
        <w:trPr>
          <w:trHeight w:val="20"/>
        </w:trPr>
        <w:tc>
          <w:tcPr>
            <w:tcW w:w="4683" w:type="dxa"/>
            <w:gridSpan w:val="2"/>
            <w:vMerge/>
            <w:shd w:val="clear" w:color="auto" w:fill="auto"/>
            <w:noWrap/>
            <w:vAlign w:val="center"/>
          </w:tcPr>
          <w:p w14:paraId="3F5ACB1B" w14:textId="77777777" w:rsidR="001F4995" w:rsidRPr="001F4995" w:rsidRDefault="001F4995" w:rsidP="001F4995">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192EA0AE"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außerhalb von</w:t>
            </w:r>
          </w:p>
          <w:p w14:paraId="2CD6ECD5"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c>
          <w:tcPr>
            <w:tcW w:w="4158" w:type="dxa"/>
            <w:gridSpan w:val="6"/>
            <w:shd w:val="clear" w:color="auto" w:fill="auto"/>
            <w:noWrap/>
            <w:vAlign w:val="center"/>
          </w:tcPr>
          <w:p w14:paraId="4C487501"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innerhalb von</w:t>
            </w:r>
          </w:p>
          <w:p w14:paraId="12BD8819"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r>
      <w:tr w:rsidR="001F4995" w:rsidRPr="001F4995" w14:paraId="46EFDBB4" w14:textId="77777777" w:rsidTr="001F4995">
        <w:trPr>
          <w:trHeight w:val="20"/>
        </w:trPr>
        <w:tc>
          <w:tcPr>
            <w:tcW w:w="4683" w:type="dxa"/>
            <w:gridSpan w:val="2"/>
            <w:vMerge/>
            <w:shd w:val="clear" w:color="auto" w:fill="auto"/>
            <w:noWrap/>
            <w:vAlign w:val="center"/>
          </w:tcPr>
          <w:p w14:paraId="001C70A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5E1A3445"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proofErr w:type="spellStart"/>
            <w:r w:rsidRPr="001F4995">
              <w:rPr>
                <w:rFonts w:ascii="Times New Roman" w:eastAsia="Times New Roman" w:hAnsi="Times New Roman" w:cs="Times New Roman"/>
                <w:sz w:val="20"/>
                <w:szCs w:val="20"/>
                <w:lang w:eastAsia="de-DE"/>
              </w:rPr>
              <w:t>un</w:t>
            </w:r>
            <w:proofErr w:type="spellEnd"/>
            <w:r w:rsidRPr="001F4995">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2E541C1A"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c>
          <w:tcPr>
            <w:tcW w:w="4158" w:type="dxa"/>
            <w:gridSpan w:val="6"/>
            <w:shd w:val="clear" w:color="auto" w:fill="auto"/>
            <w:noWrap/>
            <w:vAlign w:val="center"/>
          </w:tcPr>
          <w:p w14:paraId="6BC6DBEC"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r>
      <w:tr w:rsidR="001F4995" w:rsidRPr="001F4995" w14:paraId="5D2D1E56" w14:textId="77777777" w:rsidTr="001F4995">
        <w:trPr>
          <w:trHeight w:val="20"/>
        </w:trPr>
        <w:tc>
          <w:tcPr>
            <w:tcW w:w="4683" w:type="dxa"/>
            <w:gridSpan w:val="2"/>
            <w:vMerge/>
            <w:shd w:val="clear" w:color="auto" w:fill="auto"/>
            <w:noWrap/>
            <w:vAlign w:val="center"/>
          </w:tcPr>
          <w:p w14:paraId="7ACC62A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0DF2825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2B7EB78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37541FF8" w14:textId="4E655E88"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315B4A15" w14:textId="21E8588E"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1635CB1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1586" w:type="dxa"/>
            <w:gridSpan w:val="2"/>
            <w:shd w:val="clear" w:color="auto" w:fill="auto"/>
            <w:noWrap/>
            <w:vAlign w:val="center"/>
          </w:tcPr>
          <w:p w14:paraId="28BC10F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A</w:t>
            </w:r>
          </w:p>
        </w:tc>
        <w:tc>
          <w:tcPr>
            <w:tcW w:w="1265" w:type="dxa"/>
            <w:gridSpan w:val="2"/>
            <w:shd w:val="clear" w:color="auto" w:fill="auto"/>
            <w:noWrap/>
            <w:vAlign w:val="center"/>
          </w:tcPr>
          <w:p w14:paraId="51E27EC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B</w:t>
            </w:r>
          </w:p>
        </w:tc>
        <w:tc>
          <w:tcPr>
            <w:tcW w:w="1307" w:type="dxa"/>
            <w:gridSpan w:val="2"/>
            <w:shd w:val="clear" w:color="auto" w:fill="auto"/>
            <w:noWrap/>
            <w:vAlign w:val="center"/>
          </w:tcPr>
          <w:p w14:paraId="7926B65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Wasservor-</w:t>
            </w:r>
          </w:p>
        </w:tc>
      </w:tr>
      <w:tr w:rsidR="001F4995" w:rsidRPr="001F4995" w14:paraId="33EF17FA" w14:textId="77777777" w:rsidTr="001F4995">
        <w:trPr>
          <w:trHeight w:val="80"/>
        </w:trPr>
        <w:tc>
          <w:tcPr>
            <w:tcW w:w="4683" w:type="dxa"/>
            <w:gridSpan w:val="2"/>
            <w:vMerge/>
            <w:shd w:val="clear" w:color="auto" w:fill="auto"/>
            <w:noWrap/>
            <w:vAlign w:val="center"/>
          </w:tcPr>
          <w:p w14:paraId="26F1AC1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20631EC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15A0BC3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52626B5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586" w:type="dxa"/>
            <w:gridSpan w:val="2"/>
            <w:shd w:val="clear" w:color="auto" w:fill="auto"/>
            <w:noWrap/>
            <w:vAlign w:val="center"/>
          </w:tcPr>
          <w:p w14:paraId="24BCDA2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III</w:t>
            </w:r>
          </w:p>
        </w:tc>
        <w:tc>
          <w:tcPr>
            <w:tcW w:w="1265" w:type="dxa"/>
            <w:gridSpan w:val="2"/>
            <w:shd w:val="clear" w:color="auto" w:fill="auto"/>
            <w:noWrap/>
            <w:vAlign w:val="center"/>
          </w:tcPr>
          <w:p w14:paraId="7C08B83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IV</w:t>
            </w:r>
          </w:p>
        </w:tc>
        <w:tc>
          <w:tcPr>
            <w:tcW w:w="1307" w:type="dxa"/>
            <w:gridSpan w:val="2"/>
            <w:shd w:val="clear" w:color="auto" w:fill="auto"/>
            <w:noWrap/>
            <w:vAlign w:val="center"/>
          </w:tcPr>
          <w:p w14:paraId="759017D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ranggebiete</w:t>
            </w:r>
          </w:p>
        </w:tc>
      </w:tr>
      <w:tr w:rsidR="001F4995" w:rsidRPr="001F4995" w14:paraId="30C75B8B" w14:textId="77777777" w:rsidTr="001F4995">
        <w:trPr>
          <w:trHeight w:val="80"/>
        </w:trPr>
        <w:tc>
          <w:tcPr>
            <w:tcW w:w="4683" w:type="dxa"/>
            <w:gridSpan w:val="2"/>
            <w:vMerge/>
            <w:shd w:val="clear" w:color="auto" w:fill="auto"/>
            <w:noWrap/>
            <w:vAlign w:val="center"/>
          </w:tcPr>
          <w:p w14:paraId="7677A45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66E790B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5CA8904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49B3EA0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21" w:type="dxa"/>
            <w:shd w:val="clear" w:color="auto" w:fill="auto"/>
            <w:noWrap/>
            <w:vAlign w:val="center"/>
          </w:tcPr>
          <w:p w14:paraId="1626008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765" w:type="dxa"/>
            <w:shd w:val="clear" w:color="auto" w:fill="auto"/>
            <w:vAlign w:val="center"/>
          </w:tcPr>
          <w:p w14:paraId="4AEE5FA1" w14:textId="699A0E8F"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35D78C9D" w14:textId="562D6F05"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293A36C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3955598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765" w:type="dxa"/>
            <w:shd w:val="clear" w:color="auto" w:fill="auto"/>
            <w:vAlign w:val="center"/>
          </w:tcPr>
          <w:p w14:paraId="1A58379C" w14:textId="28090250"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455A0B8D" w14:textId="7CAA7553"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2A79FCB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24DFA4F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765" w:type="dxa"/>
            <w:shd w:val="clear" w:color="auto" w:fill="auto"/>
            <w:vAlign w:val="center"/>
          </w:tcPr>
          <w:p w14:paraId="32C82D9C" w14:textId="3263EF2F"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448A9502" w14:textId="3EDBA5A2"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138357A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r>
      <w:tr w:rsidR="001F4995" w:rsidRPr="001F4995" w14:paraId="16B05B99" w14:textId="77777777" w:rsidTr="001F4995">
        <w:trPr>
          <w:trHeight w:val="111"/>
        </w:trPr>
        <w:tc>
          <w:tcPr>
            <w:tcW w:w="4683" w:type="dxa"/>
            <w:gridSpan w:val="2"/>
            <w:vMerge/>
            <w:shd w:val="clear" w:color="auto" w:fill="auto"/>
            <w:noWrap/>
            <w:vAlign w:val="center"/>
          </w:tcPr>
          <w:p w14:paraId="6B0FB93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5541450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w:t>
            </w:r>
          </w:p>
        </w:tc>
        <w:tc>
          <w:tcPr>
            <w:tcW w:w="664" w:type="dxa"/>
            <w:shd w:val="clear" w:color="auto" w:fill="auto"/>
            <w:noWrap/>
            <w:vAlign w:val="center"/>
          </w:tcPr>
          <w:p w14:paraId="4401F37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2</w:t>
            </w:r>
          </w:p>
        </w:tc>
        <w:tc>
          <w:tcPr>
            <w:tcW w:w="1185" w:type="dxa"/>
            <w:shd w:val="clear" w:color="auto" w:fill="auto"/>
            <w:noWrap/>
            <w:vAlign w:val="center"/>
          </w:tcPr>
          <w:p w14:paraId="19E6C30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3</w:t>
            </w:r>
          </w:p>
        </w:tc>
        <w:tc>
          <w:tcPr>
            <w:tcW w:w="1586" w:type="dxa"/>
            <w:gridSpan w:val="2"/>
            <w:shd w:val="clear" w:color="auto" w:fill="auto"/>
            <w:noWrap/>
            <w:vAlign w:val="center"/>
          </w:tcPr>
          <w:p w14:paraId="44D3A08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4</w:t>
            </w:r>
          </w:p>
        </w:tc>
        <w:tc>
          <w:tcPr>
            <w:tcW w:w="1265" w:type="dxa"/>
            <w:gridSpan w:val="2"/>
            <w:shd w:val="clear" w:color="auto" w:fill="auto"/>
            <w:noWrap/>
            <w:vAlign w:val="center"/>
          </w:tcPr>
          <w:p w14:paraId="05C155F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5</w:t>
            </w:r>
          </w:p>
        </w:tc>
        <w:tc>
          <w:tcPr>
            <w:tcW w:w="1307" w:type="dxa"/>
            <w:gridSpan w:val="2"/>
            <w:shd w:val="clear" w:color="auto" w:fill="auto"/>
            <w:noWrap/>
            <w:vAlign w:val="center"/>
          </w:tcPr>
          <w:p w14:paraId="650BF48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6</w:t>
            </w:r>
          </w:p>
        </w:tc>
      </w:tr>
      <w:tr w:rsidR="001F4995" w:rsidRPr="001F4995" w14:paraId="24442F1C" w14:textId="77777777" w:rsidTr="001F4995">
        <w:trPr>
          <w:trHeight w:val="20"/>
        </w:trPr>
        <w:tc>
          <w:tcPr>
            <w:tcW w:w="469" w:type="dxa"/>
            <w:shd w:val="clear" w:color="auto" w:fill="auto"/>
            <w:noWrap/>
          </w:tcPr>
          <w:p w14:paraId="06B6C8C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w:t>
            </w:r>
          </w:p>
        </w:tc>
        <w:tc>
          <w:tcPr>
            <w:tcW w:w="4214" w:type="dxa"/>
            <w:shd w:val="clear" w:color="auto" w:fill="FFFFFF"/>
          </w:tcPr>
          <w:p w14:paraId="2D41967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48355B9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206C6C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905B3B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0ACC3605"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765" w:type="dxa"/>
            <w:vAlign w:val="center"/>
          </w:tcPr>
          <w:p w14:paraId="57411CAE"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7F62842"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39735F2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1A15C8F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50CB59E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C05B289" w14:textId="77777777" w:rsidTr="001F4995">
        <w:trPr>
          <w:trHeight w:val="20"/>
        </w:trPr>
        <w:tc>
          <w:tcPr>
            <w:tcW w:w="469" w:type="dxa"/>
            <w:shd w:val="clear" w:color="auto" w:fill="auto"/>
            <w:noWrap/>
          </w:tcPr>
          <w:p w14:paraId="66D0103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2</w:t>
            </w:r>
          </w:p>
        </w:tc>
        <w:tc>
          <w:tcPr>
            <w:tcW w:w="4214" w:type="dxa"/>
            <w:shd w:val="clear" w:color="auto" w:fill="FFFFFF"/>
          </w:tcPr>
          <w:p w14:paraId="570C413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0C2FA0C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A3776B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CD2197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0327623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vAlign w:val="center"/>
          </w:tcPr>
          <w:p w14:paraId="18EFA11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C0493C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16A70E2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21D65FC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38255A4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841F8B4" w14:textId="77777777" w:rsidTr="001F4995">
        <w:trPr>
          <w:trHeight w:val="20"/>
        </w:trPr>
        <w:tc>
          <w:tcPr>
            <w:tcW w:w="469" w:type="dxa"/>
            <w:shd w:val="clear" w:color="auto" w:fill="auto"/>
            <w:noWrap/>
          </w:tcPr>
          <w:p w14:paraId="519EE997"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3</w:t>
            </w:r>
          </w:p>
        </w:tc>
        <w:tc>
          <w:tcPr>
            <w:tcW w:w="4214" w:type="dxa"/>
            <w:shd w:val="clear" w:color="auto" w:fill="FFFFFF"/>
          </w:tcPr>
          <w:p w14:paraId="58742C0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7BCB0BF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798199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11A9BA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54D35CA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vAlign w:val="center"/>
          </w:tcPr>
          <w:p w14:paraId="4B95F82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35D3A8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3A9AD80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15F85D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289DC95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39A12B0" w14:textId="77777777" w:rsidTr="001F4995">
        <w:trPr>
          <w:trHeight w:val="20"/>
        </w:trPr>
        <w:tc>
          <w:tcPr>
            <w:tcW w:w="469" w:type="dxa"/>
            <w:shd w:val="clear" w:color="auto" w:fill="auto"/>
            <w:noWrap/>
          </w:tcPr>
          <w:p w14:paraId="25EEF30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4</w:t>
            </w:r>
          </w:p>
        </w:tc>
        <w:tc>
          <w:tcPr>
            <w:tcW w:w="4214" w:type="dxa"/>
            <w:shd w:val="clear" w:color="auto" w:fill="FFFFFF"/>
          </w:tcPr>
          <w:p w14:paraId="5AEDFAA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76B5D1D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83F80D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73E953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36F03CE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vAlign w:val="center"/>
          </w:tcPr>
          <w:p w14:paraId="395D013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004ADF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0E93AB4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521EEA5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07109E6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85B938F" w14:textId="77777777" w:rsidTr="001F4995">
        <w:trPr>
          <w:trHeight w:val="20"/>
        </w:trPr>
        <w:tc>
          <w:tcPr>
            <w:tcW w:w="469" w:type="dxa"/>
            <w:shd w:val="clear" w:color="auto" w:fill="auto"/>
            <w:noWrap/>
          </w:tcPr>
          <w:p w14:paraId="68CBBD08"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5</w:t>
            </w:r>
          </w:p>
        </w:tc>
        <w:tc>
          <w:tcPr>
            <w:tcW w:w="4214" w:type="dxa"/>
            <w:shd w:val="clear" w:color="auto" w:fill="FFFFFF"/>
          </w:tcPr>
          <w:p w14:paraId="6B1FC69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3D12F4F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B4C545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A4B5DD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185B3C8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vAlign w:val="center"/>
          </w:tcPr>
          <w:p w14:paraId="7F2E98F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9AFB20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244D45C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4379D21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337D48B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EAB2482" w14:textId="77777777" w:rsidTr="001F4995">
        <w:trPr>
          <w:trHeight w:val="20"/>
        </w:trPr>
        <w:tc>
          <w:tcPr>
            <w:tcW w:w="469" w:type="dxa"/>
            <w:shd w:val="clear" w:color="auto" w:fill="auto"/>
            <w:noWrap/>
          </w:tcPr>
          <w:p w14:paraId="1C38B13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6</w:t>
            </w:r>
          </w:p>
        </w:tc>
        <w:tc>
          <w:tcPr>
            <w:tcW w:w="4214" w:type="dxa"/>
            <w:shd w:val="clear" w:color="auto" w:fill="FFFFFF"/>
          </w:tcPr>
          <w:p w14:paraId="45F248E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7AE427F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DDE7C0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B49336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42467B0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vAlign w:val="center"/>
          </w:tcPr>
          <w:p w14:paraId="24EA3F1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982374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238EAEC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3D3CCE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5F69889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FC0B841" w14:textId="77777777" w:rsidTr="001F4995">
        <w:trPr>
          <w:trHeight w:val="20"/>
        </w:trPr>
        <w:tc>
          <w:tcPr>
            <w:tcW w:w="469" w:type="dxa"/>
            <w:shd w:val="clear" w:color="auto" w:fill="auto"/>
            <w:noWrap/>
          </w:tcPr>
          <w:p w14:paraId="36A48CE2"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7</w:t>
            </w:r>
          </w:p>
        </w:tc>
        <w:tc>
          <w:tcPr>
            <w:tcW w:w="4214" w:type="dxa"/>
            <w:shd w:val="clear" w:color="auto" w:fill="FFFFFF"/>
          </w:tcPr>
          <w:p w14:paraId="61BD851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Schottertragschicht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3EA82FD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53FBBB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9125F2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20D97A6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vAlign w:val="center"/>
          </w:tcPr>
          <w:p w14:paraId="523927A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5B2AC3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6284F06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21076B2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34A742F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A138178" w14:textId="77777777" w:rsidTr="001F4995">
        <w:trPr>
          <w:trHeight w:val="20"/>
        </w:trPr>
        <w:tc>
          <w:tcPr>
            <w:tcW w:w="469" w:type="dxa"/>
            <w:shd w:val="clear" w:color="auto" w:fill="auto"/>
            <w:noWrap/>
          </w:tcPr>
          <w:p w14:paraId="6F6943C4"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8</w:t>
            </w:r>
          </w:p>
        </w:tc>
        <w:tc>
          <w:tcPr>
            <w:tcW w:w="4214" w:type="dxa"/>
            <w:shd w:val="clear" w:color="auto" w:fill="FFFFFF"/>
          </w:tcPr>
          <w:p w14:paraId="3459B23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Frostschutzschicht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70168CC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C23428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FBBEA5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471904E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vAlign w:val="center"/>
          </w:tcPr>
          <w:p w14:paraId="25DD3BA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347331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4D7ED72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161029E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0523D0F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5F39B2D" w14:textId="77777777" w:rsidTr="001F4995">
        <w:trPr>
          <w:trHeight w:val="20"/>
        </w:trPr>
        <w:tc>
          <w:tcPr>
            <w:tcW w:w="469" w:type="dxa"/>
            <w:shd w:val="clear" w:color="auto" w:fill="auto"/>
            <w:noWrap/>
          </w:tcPr>
          <w:p w14:paraId="695AC33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9</w:t>
            </w:r>
          </w:p>
        </w:tc>
        <w:tc>
          <w:tcPr>
            <w:tcW w:w="4214" w:type="dxa"/>
            <w:shd w:val="clear" w:color="auto" w:fill="FFFFFF"/>
          </w:tcPr>
          <w:p w14:paraId="5A00010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Dämme oder Wälle gemäß Bauweisen A-D nach MTSE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4D34408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89C9D3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B4716F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514934C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vAlign w:val="center"/>
          </w:tcPr>
          <w:p w14:paraId="007BC7B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7A8604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0182B6F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EB152D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43C4F4E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7936F2F" w14:textId="77777777" w:rsidTr="001F4995">
        <w:trPr>
          <w:trHeight w:val="20"/>
        </w:trPr>
        <w:tc>
          <w:tcPr>
            <w:tcW w:w="469" w:type="dxa"/>
            <w:shd w:val="clear" w:color="auto" w:fill="auto"/>
            <w:noWrap/>
          </w:tcPr>
          <w:p w14:paraId="1D951113"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10</w:t>
            </w:r>
          </w:p>
        </w:tc>
        <w:tc>
          <w:tcPr>
            <w:tcW w:w="4214" w:type="dxa"/>
            <w:shd w:val="clear" w:color="auto" w:fill="FFFFFF"/>
          </w:tcPr>
          <w:p w14:paraId="7ABCC5F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37037A2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B7334D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DBE044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6DB7D7A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vAlign w:val="center"/>
          </w:tcPr>
          <w:p w14:paraId="40D9587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D24BB6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3536524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FFE80E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auto"/>
            <w:vAlign w:val="center"/>
          </w:tcPr>
          <w:p w14:paraId="61A4BA7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EC32110" w14:textId="77777777" w:rsidTr="001F4995">
        <w:trPr>
          <w:trHeight w:val="20"/>
        </w:trPr>
        <w:tc>
          <w:tcPr>
            <w:tcW w:w="469" w:type="dxa"/>
            <w:shd w:val="clear" w:color="auto" w:fill="auto"/>
            <w:noWrap/>
          </w:tcPr>
          <w:p w14:paraId="3E1D17C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11</w:t>
            </w:r>
          </w:p>
        </w:tc>
        <w:tc>
          <w:tcPr>
            <w:tcW w:w="4214" w:type="dxa"/>
            <w:shd w:val="clear" w:color="auto" w:fill="FFFFFF"/>
          </w:tcPr>
          <w:p w14:paraId="7D25B52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2AA3C28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769BC2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E65317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6B2671C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vAlign w:val="center"/>
          </w:tcPr>
          <w:p w14:paraId="3CE79BD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C52319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vAlign w:val="center"/>
          </w:tcPr>
          <w:p w14:paraId="1845475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34CDE9F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vAlign w:val="center"/>
          </w:tcPr>
          <w:p w14:paraId="5A9630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03D3A67" w14:textId="77777777" w:rsidTr="001F4995">
        <w:trPr>
          <w:trHeight w:val="20"/>
        </w:trPr>
        <w:tc>
          <w:tcPr>
            <w:tcW w:w="469" w:type="dxa"/>
            <w:shd w:val="clear" w:color="auto" w:fill="auto"/>
            <w:noWrap/>
          </w:tcPr>
          <w:p w14:paraId="2ED8402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12</w:t>
            </w:r>
          </w:p>
        </w:tc>
        <w:tc>
          <w:tcPr>
            <w:tcW w:w="4214" w:type="dxa"/>
            <w:shd w:val="clear" w:color="auto" w:fill="FFFFFF"/>
          </w:tcPr>
          <w:p w14:paraId="3922BE43"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Deckschicht ohne Bindemittel</w:t>
            </w:r>
          </w:p>
        </w:tc>
        <w:tc>
          <w:tcPr>
            <w:tcW w:w="851" w:type="dxa"/>
            <w:noWrap/>
            <w:vAlign w:val="center"/>
          </w:tcPr>
          <w:p w14:paraId="04E9E7D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C709C6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72C8E6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735F083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vAlign w:val="center"/>
          </w:tcPr>
          <w:p w14:paraId="1FCAEBD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6C56F7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vAlign w:val="center"/>
          </w:tcPr>
          <w:p w14:paraId="1F5301F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4E7EA49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vAlign w:val="center"/>
          </w:tcPr>
          <w:p w14:paraId="6B7C079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806BA73" w14:textId="77777777" w:rsidTr="001F4995">
        <w:trPr>
          <w:trHeight w:val="20"/>
        </w:trPr>
        <w:tc>
          <w:tcPr>
            <w:tcW w:w="469" w:type="dxa"/>
            <w:shd w:val="clear" w:color="auto" w:fill="auto"/>
            <w:noWrap/>
          </w:tcPr>
          <w:p w14:paraId="17F63A97"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13</w:t>
            </w:r>
          </w:p>
        </w:tc>
        <w:tc>
          <w:tcPr>
            <w:tcW w:w="4214" w:type="dxa"/>
            <w:shd w:val="clear" w:color="auto" w:fill="FFFFFF"/>
          </w:tcPr>
          <w:p w14:paraId="5C327D0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17F3955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6B5FB7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E7D90B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7224F5F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FFFFFF"/>
            <w:vAlign w:val="center"/>
          </w:tcPr>
          <w:p w14:paraId="0EFD2E3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1E2EF6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FFFFFF"/>
            <w:vAlign w:val="center"/>
          </w:tcPr>
          <w:p w14:paraId="1A06890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07C37FC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FFFFFF"/>
            <w:vAlign w:val="center"/>
          </w:tcPr>
          <w:p w14:paraId="7209AB8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6AEA56E" w14:textId="77777777" w:rsidTr="001F4995">
        <w:trPr>
          <w:trHeight w:val="20"/>
        </w:trPr>
        <w:tc>
          <w:tcPr>
            <w:tcW w:w="469" w:type="dxa"/>
            <w:shd w:val="clear" w:color="auto" w:fill="auto"/>
            <w:noWrap/>
          </w:tcPr>
          <w:p w14:paraId="352BCE94"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14</w:t>
            </w:r>
          </w:p>
        </w:tc>
        <w:tc>
          <w:tcPr>
            <w:tcW w:w="4214" w:type="dxa"/>
            <w:shd w:val="clear" w:color="auto" w:fill="FFFFFF"/>
          </w:tcPr>
          <w:p w14:paraId="6CA0E6E5"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Plattenbelägen</w:t>
            </w:r>
          </w:p>
        </w:tc>
        <w:tc>
          <w:tcPr>
            <w:tcW w:w="851" w:type="dxa"/>
            <w:noWrap/>
            <w:vAlign w:val="center"/>
          </w:tcPr>
          <w:p w14:paraId="73C6C4F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B7E452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630409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242A9CA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FFFFFF"/>
            <w:vAlign w:val="center"/>
          </w:tcPr>
          <w:p w14:paraId="11C8643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FB8AE7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FFFFFF"/>
            <w:vAlign w:val="center"/>
          </w:tcPr>
          <w:p w14:paraId="7B0A4FC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55A2FD0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FFFFFF"/>
            <w:vAlign w:val="center"/>
          </w:tcPr>
          <w:p w14:paraId="68D2B67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E60C9C9" w14:textId="77777777" w:rsidTr="001F4995">
        <w:trPr>
          <w:trHeight w:val="20"/>
        </w:trPr>
        <w:tc>
          <w:tcPr>
            <w:tcW w:w="469" w:type="dxa"/>
            <w:shd w:val="clear" w:color="auto" w:fill="auto"/>
            <w:noWrap/>
          </w:tcPr>
          <w:p w14:paraId="250D61A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15</w:t>
            </w:r>
          </w:p>
        </w:tc>
        <w:tc>
          <w:tcPr>
            <w:tcW w:w="4214" w:type="dxa"/>
            <w:shd w:val="clear" w:color="auto" w:fill="FFFFFF"/>
          </w:tcPr>
          <w:p w14:paraId="0D6709E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44F4718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0B5581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801155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5C9D74D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FFFFFF"/>
            <w:vAlign w:val="center"/>
          </w:tcPr>
          <w:p w14:paraId="1F973C4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7F0858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FFFFFF"/>
            <w:vAlign w:val="center"/>
          </w:tcPr>
          <w:p w14:paraId="313E563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3F7D75B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FFFFFF"/>
            <w:vAlign w:val="center"/>
          </w:tcPr>
          <w:p w14:paraId="4B198DC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8D0362D" w14:textId="77777777" w:rsidTr="001F4995">
        <w:trPr>
          <w:trHeight w:val="20"/>
        </w:trPr>
        <w:tc>
          <w:tcPr>
            <w:tcW w:w="469" w:type="dxa"/>
            <w:shd w:val="clear" w:color="auto" w:fill="auto"/>
            <w:noWrap/>
          </w:tcPr>
          <w:p w14:paraId="5229EA3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16</w:t>
            </w:r>
          </w:p>
        </w:tc>
        <w:tc>
          <w:tcPr>
            <w:tcW w:w="4214" w:type="dxa"/>
            <w:shd w:val="clear" w:color="auto" w:fill="FFFFFF"/>
          </w:tcPr>
          <w:p w14:paraId="2D0B947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304BEB4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B8CFBC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AA3A8A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1389104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vAlign w:val="center"/>
          </w:tcPr>
          <w:p w14:paraId="0C41CA2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2F4547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FFFFFF"/>
            <w:vAlign w:val="center"/>
          </w:tcPr>
          <w:p w14:paraId="025A2CF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587B7BE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FFFFFF"/>
            <w:vAlign w:val="center"/>
          </w:tcPr>
          <w:p w14:paraId="144D696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265FEFB" w14:textId="77777777" w:rsidTr="001F4995">
        <w:trPr>
          <w:trHeight w:val="208"/>
        </w:trPr>
        <w:tc>
          <w:tcPr>
            <w:tcW w:w="469" w:type="dxa"/>
            <w:shd w:val="clear" w:color="auto" w:fill="auto"/>
            <w:noWrap/>
          </w:tcPr>
          <w:p w14:paraId="66BB664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17</w:t>
            </w:r>
          </w:p>
        </w:tc>
        <w:tc>
          <w:tcPr>
            <w:tcW w:w="4214" w:type="dxa"/>
            <w:shd w:val="clear" w:color="auto" w:fill="FFFFFF"/>
          </w:tcPr>
          <w:p w14:paraId="3E500E2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203BF63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762569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2A146F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102D00C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FFFFFF"/>
            <w:vAlign w:val="center"/>
          </w:tcPr>
          <w:p w14:paraId="2982790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D68D82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FFFFFF"/>
            <w:vAlign w:val="center"/>
          </w:tcPr>
          <w:p w14:paraId="0A384FB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2D57F92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65" w:type="dxa"/>
            <w:shd w:val="clear" w:color="auto" w:fill="FFFFFF"/>
            <w:vAlign w:val="center"/>
          </w:tcPr>
          <w:p w14:paraId="22FD16F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bl>
    <w:p w14:paraId="0ADDFE66" w14:textId="372EFF51" w:rsidR="001F4995" w:rsidRPr="008D0377" w:rsidRDefault="001F4995" w:rsidP="001F4995">
      <w:pPr>
        <w:pStyle w:val="berschrift1"/>
      </w:pPr>
      <w:bookmarkStart w:id="45" w:name="_Toc30749710"/>
      <w:r>
        <w:br w:type="page"/>
      </w:r>
      <w:bookmarkEnd w:id="45"/>
      <w:r w:rsidRPr="008D0377">
        <w:lastRenderedPageBreak/>
        <w:t>Tabelle 20: Kupferhüttenmaterial der Klasse 2 (CUM-2)</w:t>
      </w:r>
    </w:p>
    <w:p w14:paraId="01754096" w14:textId="77777777" w:rsidR="001F4995" w:rsidRPr="001F4995" w:rsidRDefault="001F4995" w:rsidP="001F4995">
      <w:pPr>
        <w:keepNext/>
        <w:spacing w:before="0" w:after="200"/>
        <w:jc w:val="left"/>
        <w:rPr>
          <w:rFonts w:ascii="Times New Roman" w:eastAsia="Calibri" w:hAnsi="Times New Roman" w:cs="Times New Roman"/>
          <w:b/>
          <w:sz w:val="18"/>
          <w:szCs w:val="18"/>
        </w:rPr>
      </w:pPr>
    </w:p>
    <w:tbl>
      <w:tblPr>
        <w:tblW w:w="11256" w:type="dxa"/>
        <w:tblInd w:w="-1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821"/>
        <w:gridCol w:w="715"/>
        <w:gridCol w:w="500"/>
        <w:gridCol w:w="715"/>
        <w:gridCol w:w="542"/>
        <w:gridCol w:w="715"/>
      </w:tblGrid>
      <w:tr w:rsidR="001F4995" w:rsidRPr="001F4995" w14:paraId="25557080" w14:textId="77777777" w:rsidTr="001F4995">
        <w:trPr>
          <w:trHeight w:val="330"/>
        </w:trPr>
        <w:tc>
          <w:tcPr>
            <w:tcW w:w="11256" w:type="dxa"/>
            <w:gridSpan w:val="11"/>
            <w:noWrap/>
            <w:vAlign w:val="bottom"/>
          </w:tcPr>
          <w:p w14:paraId="0A3B7072" w14:textId="77777777" w:rsidR="001F4995" w:rsidRPr="001F4995" w:rsidRDefault="001F4995" w:rsidP="001F4995">
            <w:pPr>
              <w:spacing w:before="0" w:after="0"/>
              <w:jc w:val="center"/>
              <w:rPr>
                <w:rFonts w:ascii="Times New Roman" w:eastAsia="Times New Roman" w:hAnsi="Times New Roman" w:cs="Times New Roman"/>
                <w:b/>
                <w:bCs/>
                <w:sz w:val="24"/>
                <w:szCs w:val="24"/>
                <w:lang w:eastAsia="de-DE"/>
              </w:rPr>
            </w:pP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t>Kupferhüttenmaterial der Klasse 2 (CUM-2)</w:t>
            </w:r>
          </w:p>
        </w:tc>
      </w:tr>
      <w:tr w:rsidR="001F4995" w:rsidRPr="001F4995" w14:paraId="590C1F99" w14:textId="77777777" w:rsidTr="001F4995">
        <w:trPr>
          <w:trHeight w:val="20"/>
        </w:trPr>
        <w:tc>
          <w:tcPr>
            <w:tcW w:w="4683" w:type="dxa"/>
            <w:gridSpan w:val="2"/>
            <w:vMerge w:val="restart"/>
            <w:shd w:val="clear" w:color="auto" w:fill="auto"/>
            <w:noWrap/>
          </w:tcPr>
          <w:p w14:paraId="59C9AE7C"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Einbauweise</w:t>
            </w:r>
          </w:p>
        </w:tc>
        <w:tc>
          <w:tcPr>
            <w:tcW w:w="6573" w:type="dxa"/>
            <w:gridSpan w:val="9"/>
            <w:shd w:val="clear" w:color="auto" w:fill="auto"/>
            <w:noWrap/>
            <w:vAlign w:val="center"/>
          </w:tcPr>
          <w:p w14:paraId="2937B449"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Eigenschaft der Grundwasserdeckschicht</w:t>
            </w:r>
          </w:p>
        </w:tc>
      </w:tr>
      <w:tr w:rsidR="001F4995" w:rsidRPr="001F4995" w14:paraId="728270CD" w14:textId="77777777" w:rsidTr="001F4995">
        <w:trPr>
          <w:trHeight w:val="20"/>
        </w:trPr>
        <w:tc>
          <w:tcPr>
            <w:tcW w:w="4683" w:type="dxa"/>
            <w:gridSpan w:val="2"/>
            <w:vMerge/>
            <w:shd w:val="clear" w:color="auto" w:fill="auto"/>
            <w:noWrap/>
            <w:vAlign w:val="center"/>
          </w:tcPr>
          <w:p w14:paraId="41250A92" w14:textId="77777777" w:rsidR="001F4995" w:rsidRPr="001F4995" w:rsidRDefault="001F4995" w:rsidP="001F4995">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451362A6"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außerhalb von</w:t>
            </w:r>
          </w:p>
          <w:p w14:paraId="13BC4B74"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c>
          <w:tcPr>
            <w:tcW w:w="3873" w:type="dxa"/>
            <w:gridSpan w:val="6"/>
            <w:shd w:val="clear" w:color="auto" w:fill="auto"/>
            <w:noWrap/>
            <w:vAlign w:val="center"/>
          </w:tcPr>
          <w:p w14:paraId="39A7701E"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innerhalb von</w:t>
            </w:r>
          </w:p>
          <w:p w14:paraId="6784F39B"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r>
      <w:tr w:rsidR="001F4995" w:rsidRPr="001F4995" w14:paraId="738C1758" w14:textId="77777777" w:rsidTr="001F4995">
        <w:trPr>
          <w:trHeight w:val="20"/>
        </w:trPr>
        <w:tc>
          <w:tcPr>
            <w:tcW w:w="4683" w:type="dxa"/>
            <w:gridSpan w:val="2"/>
            <w:vMerge/>
            <w:shd w:val="clear" w:color="auto" w:fill="auto"/>
            <w:noWrap/>
            <w:vAlign w:val="center"/>
          </w:tcPr>
          <w:p w14:paraId="112E4D1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3850B630"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proofErr w:type="spellStart"/>
            <w:r w:rsidRPr="001F4995">
              <w:rPr>
                <w:rFonts w:ascii="Times New Roman" w:eastAsia="Times New Roman" w:hAnsi="Times New Roman" w:cs="Times New Roman"/>
                <w:sz w:val="20"/>
                <w:szCs w:val="20"/>
                <w:lang w:eastAsia="de-DE"/>
              </w:rPr>
              <w:t>un</w:t>
            </w:r>
            <w:proofErr w:type="spellEnd"/>
            <w:r w:rsidRPr="001F4995">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0B6A1DD1"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c>
          <w:tcPr>
            <w:tcW w:w="3873" w:type="dxa"/>
            <w:gridSpan w:val="6"/>
            <w:shd w:val="clear" w:color="auto" w:fill="auto"/>
            <w:noWrap/>
            <w:vAlign w:val="center"/>
          </w:tcPr>
          <w:p w14:paraId="01068E41"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r>
      <w:tr w:rsidR="001F4995" w:rsidRPr="001F4995" w14:paraId="4D3A9D44" w14:textId="77777777" w:rsidTr="001F4995">
        <w:trPr>
          <w:trHeight w:val="20"/>
        </w:trPr>
        <w:tc>
          <w:tcPr>
            <w:tcW w:w="4683" w:type="dxa"/>
            <w:gridSpan w:val="2"/>
            <w:vMerge/>
            <w:shd w:val="clear" w:color="auto" w:fill="auto"/>
            <w:noWrap/>
            <w:vAlign w:val="center"/>
          </w:tcPr>
          <w:p w14:paraId="606892F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26DAE6D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36D5DF0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45D9059A" w14:textId="0B6DFD3D"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31B8AF6D" w14:textId="1598C848"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152EB13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1491" w:type="dxa"/>
            <w:gridSpan w:val="2"/>
            <w:shd w:val="clear" w:color="auto" w:fill="auto"/>
            <w:noWrap/>
            <w:vAlign w:val="center"/>
          </w:tcPr>
          <w:p w14:paraId="3B50F21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2B64C3F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B</w:t>
            </w:r>
          </w:p>
        </w:tc>
        <w:tc>
          <w:tcPr>
            <w:tcW w:w="1212" w:type="dxa"/>
            <w:gridSpan w:val="2"/>
            <w:shd w:val="clear" w:color="auto" w:fill="auto"/>
            <w:noWrap/>
            <w:vAlign w:val="center"/>
          </w:tcPr>
          <w:p w14:paraId="53BE792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Wasservor-</w:t>
            </w:r>
          </w:p>
        </w:tc>
      </w:tr>
      <w:tr w:rsidR="001F4995" w:rsidRPr="001F4995" w14:paraId="552B4D7C" w14:textId="77777777" w:rsidTr="001F4995">
        <w:trPr>
          <w:trHeight w:val="80"/>
        </w:trPr>
        <w:tc>
          <w:tcPr>
            <w:tcW w:w="4683" w:type="dxa"/>
            <w:gridSpan w:val="2"/>
            <w:vMerge/>
            <w:shd w:val="clear" w:color="auto" w:fill="auto"/>
            <w:noWrap/>
            <w:vAlign w:val="center"/>
          </w:tcPr>
          <w:p w14:paraId="5CB01A3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6AEA61A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3CB1544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79FB178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491" w:type="dxa"/>
            <w:gridSpan w:val="2"/>
            <w:shd w:val="clear" w:color="auto" w:fill="auto"/>
            <w:noWrap/>
            <w:vAlign w:val="center"/>
          </w:tcPr>
          <w:p w14:paraId="30C1CFC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164C374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IV</w:t>
            </w:r>
          </w:p>
        </w:tc>
        <w:tc>
          <w:tcPr>
            <w:tcW w:w="1212" w:type="dxa"/>
            <w:gridSpan w:val="2"/>
            <w:shd w:val="clear" w:color="auto" w:fill="auto"/>
            <w:noWrap/>
            <w:vAlign w:val="center"/>
          </w:tcPr>
          <w:p w14:paraId="04F20EB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ranggebiete</w:t>
            </w:r>
          </w:p>
        </w:tc>
      </w:tr>
      <w:tr w:rsidR="001F4995" w:rsidRPr="001F4995" w14:paraId="2A61F4AB" w14:textId="77777777" w:rsidTr="001F4995">
        <w:trPr>
          <w:trHeight w:val="80"/>
        </w:trPr>
        <w:tc>
          <w:tcPr>
            <w:tcW w:w="4683" w:type="dxa"/>
            <w:gridSpan w:val="2"/>
            <w:vMerge/>
            <w:shd w:val="clear" w:color="auto" w:fill="auto"/>
            <w:noWrap/>
            <w:vAlign w:val="center"/>
          </w:tcPr>
          <w:p w14:paraId="7948611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68C0ACE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42B6112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5DBBF87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21" w:type="dxa"/>
            <w:shd w:val="clear" w:color="auto" w:fill="auto"/>
            <w:noWrap/>
            <w:vAlign w:val="center"/>
          </w:tcPr>
          <w:p w14:paraId="0F374F5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57EB5DDF" w14:textId="214831B3"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7B7D26B9" w14:textId="69A754B3"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0B438AE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3935B2E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5C1C93EB" w14:textId="53694B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4F6375F6" w14:textId="0980F86A"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35B1452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6CB7648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52995E92" w14:textId="33C6A85D"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60CDEFDD" w14:textId="6735D7EB"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5777CF8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r>
      <w:tr w:rsidR="001F4995" w:rsidRPr="001F4995" w14:paraId="7A42834B" w14:textId="77777777" w:rsidTr="001F4995">
        <w:trPr>
          <w:trHeight w:val="111"/>
        </w:trPr>
        <w:tc>
          <w:tcPr>
            <w:tcW w:w="4683" w:type="dxa"/>
            <w:gridSpan w:val="2"/>
            <w:vMerge/>
            <w:shd w:val="clear" w:color="auto" w:fill="auto"/>
            <w:noWrap/>
            <w:vAlign w:val="center"/>
          </w:tcPr>
          <w:p w14:paraId="0AF4108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502BAF3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w:t>
            </w:r>
          </w:p>
        </w:tc>
        <w:tc>
          <w:tcPr>
            <w:tcW w:w="664" w:type="dxa"/>
            <w:shd w:val="clear" w:color="auto" w:fill="auto"/>
            <w:noWrap/>
            <w:vAlign w:val="center"/>
          </w:tcPr>
          <w:p w14:paraId="36ECA69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2</w:t>
            </w:r>
          </w:p>
        </w:tc>
        <w:tc>
          <w:tcPr>
            <w:tcW w:w="1185" w:type="dxa"/>
            <w:shd w:val="clear" w:color="auto" w:fill="auto"/>
            <w:noWrap/>
            <w:vAlign w:val="center"/>
          </w:tcPr>
          <w:p w14:paraId="2FBFED1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3</w:t>
            </w:r>
          </w:p>
        </w:tc>
        <w:tc>
          <w:tcPr>
            <w:tcW w:w="1491" w:type="dxa"/>
            <w:gridSpan w:val="2"/>
            <w:shd w:val="clear" w:color="auto" w:fill="auto"/>
            <w:noWrap/>
            <w:vAlign w:val="center"/>
          </w:tcPr>
          <w:p w14:paraId="70F8277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7B0F917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5</w:t>
            </w:r>
          </w:p>
        </w:tc>
        <w:tc>
          <w:tcPr>
            <w:tcW w:w="1212" w:type="dxa"/>
            <w:gridSpan w:val="2"/>
            <w:shd w:val="clear" w:color="auto" w:fill="auto"/>
            <w:noWrap/>
            <w:vAlign w:val="center"/>
          </w:tcPr>
          <w:p w14:paraId="1F4D79B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6</w:t>
            </w:r>
          </w:p>
        </w:tc>
      </w:tr>
      <w:tr w:rsidR="001F4995" w:rsidRPr="001F4995" w14:paraId="19662FEB" w14:textId="77777777" w:rsidTr="001F4995">
        <w:trPr>
          <w:trHeight w:val="20"/>
        </w:trPr>
        <w:tc>
          <w:tcPr>
            <w:tcW w:w="469" w:type="dxa"/>
            <w:shd w:val="clear" w:color="auto" w:fill="auto"/>
            <w:noWrap/>
          </w:tcPr>
          <w:p w14:paraId="64B3C81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w:t>
            </w:r>
          </w:p>
        </w:tc>
        <w:tc>
          <w:tcPr>
            <w:tcW w:w="4214" w:type="dxa"/>
            <w:shd w:val="clear" w:color="auto" w:fill="FFFFFF"/>
          </w:tcPr>
          <w:p w14:paraId="600FC6F0"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584FC1F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6D05C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26CD61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245EA6A6"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E2BE3CE"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4CF3AD7"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D111E4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4C2566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E7A003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754E197" w14:textId="77777777" w:rsidTr="001F4995">
        <w:trPr>
          <w:trHeight w:val="20"/>
        </w:trPr>
        <w:tc>
          <w:tcPr>
            <w:tcW w:w="469" w:type="dxa"/>
            <w:shd w:val="clear" w:color="auto" w:fill="auto"/>
            <w:noWrap/>
          </w:tcPr>
          <w:p w14:paraId="0049153B"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2</w:t>
            </w:r>
          </w:p>
        </w:tc>
        <w:tc>
          <w:tcPr>
            <w:tcW w:w="4214" w:type="dxa"/>
            <w:shd w:val="clear" w:color="auto" w:fill="FFFFFF"/>
          </w:tcPr>
          <w:p w14:paraId="0EC0172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7A451F2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8C8867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FDB864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33BB461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27C69D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9F66C7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DAC3D5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43BA153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4CC93F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A52A657" w14:textId="77777777" w:rsidTr="001F4995">
        <w:trPr>
          <w:trHeight w:val="20"/>
        </w:trPr>
        <w:tc>
          <w:tcPr>
            <w:tcW w:w="469" w:type="dxa"/>
            <w:shd w:val="clear" w:color="auto" w:fill="auto"/>
            <w:noWrap/>
          </w:tcPr>
          <w:p w14:paraId="1E5F318E"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3</w:t>
            </w:r>
          </w:p>
        </w:tc>
        <w:tc>
          <w:tcPr>
            <w:tcW w:w="4214" w:type="dxa"/>
            <w:shd w:val="clear" w:color="auto" w:fill="FFFFFF"/>
          </w:tcPr>
          <w:p w14:paraId="44FCC3F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2FF5C69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2D0B17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B3468C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44A3CE7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B34A2F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D5CC19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A7C5C6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4FF0E5D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7AEDC9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CB45973" w14:textId="77777777" w:rsidTr="001F4995">
        <w:trPr>
          <w:trHeight w:val="20"/>
        </w:trPr>
        <w:tc>
          <w:tcPr>
            <w:tcW w:w="469" w:type="dxa"/>
            <w:shd w:val="clear" w:color="auto" w:fill="auto"/>
            <w:noWrap/>
          </w:tcPr>
          <w:p w14:paraId="0FC424A3"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4</w:t>
            </w:r>
          </w:p>
        </w:tc>
        <w:tc>
          <w:tcPr>
            <w:tcW w:w="4214" w:type="dxa"/>
            <w:shd w:val="clear" w:color="auto" w:fill="FFFFFF"/>
          </w:tcPr>
          <w:p w14:paraId="72BE2A33"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0465CE1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09FB04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93B6E6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1807965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61EC25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51396A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B87139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806F43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DD4184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E272286" w14:textId="77777777" w:rsidTr="001F4995">
        <w:trPr>
          <w:trHeight w:val="20"/>
        </w:trPr>
        <w:tc>
          <w:tcPr>
            <w:tcW w:w="469" w:type="dxa"/>
            <w:shd w:val="clear" w:color="auto" w:fill="auto"/>
            <w:noWrap/>
          </w:tcPr>
          <w:p w14:paraId="7DD85BB4"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5</w:t>
            </w:r>
          </w:p>
        </w:tc>
        <w:tc>
          <w:tcPr>
            <w:tcW w:w="4214" w:type="dxa"/>
            <w:shd w:val="clear" w:color="auto" w:fill="FFFFFF"/>
          </w:tcPr>
          <w:p w14:paraId="7042FAC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549C98C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69D484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AEACB0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0C7B68F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5779A8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86F5CF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34D832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FAD8E2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033CC0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DA6C41F" w14:textId="77777777" w:rsidTr="001F4995">
        <w:trPr>
          <w:trHeight w:val="20"/>
        </w:trPr>
        <w:tc>
          <w:tcPr>
            <w:tcW w:w="469" w:type="dxa"/>
            <w:shd w:val="clear" w:color="auto" w:fill="auto"/>
            <w:noWrap/>
          </w:tcPr>
          <w:p w14:paraId="1E6463C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6</w:t>
            </w:r>
          </w:p>
        </w:tc>
        <w:tc>
          <w:tcPr>
            <w:tcW w:w="4214" w:type="dxa"/>
            <w:shd w:val="clear" w:color="auto" w:fill="FFFFFF"/>
          </w:tcPr>
          <w:p w14:paraId="0C55474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3E9D25A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DBB030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A6F678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1EE36CE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5D693A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3EAE8B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5EEDB7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7676C4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5B0E0A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ACD1424" w14:textId="77777777" w:rsidTr="001F4995">
        <w:trPr>
          <w:trHeight w:val="20"/>
        </w:trPr>
        <w:tc>
          <w:tcPr>
            <w:tcW w:w="469" w:type="dxa"/>
            <w:shd w:val="clear" w:color="auto" w:fill="auto"/>
            <w:noWrap/>
          </w:tcPr>
          <w:p w14:paraId="01BEE39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7</w:t>
            </w:r>
          </w:p>
        </w:tc>
        <w:tc>
          <w:tcPr>
            <w:tcW w:w="4214" w:type="dxa"/>
            <w:shd w:val="clear" w:color="auto" w:fill="FFFFFF"/>
          </w:tcPr>
          <w:p w14:paraId="132D8A9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Schottertragschicht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552ABD4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3ACA91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1DF655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22409FB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43BFDE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C89741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03888E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3E7DB6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0D8088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C92623E" w14:textId="77777777" w:rsidTr="001F4995">
        <w:trPr>
          <w:trHeight w:val="20"/>
        </w:trPr>
        <w:tc>
          <w:tcPr>
            <w:tcW w:w="469" w:type="dxa"/>
            <w:shd w:val="clear" w:color="auto" w:fill="auto"/>
            <w:noWrap/>
          </w:tcPr>
          <w:p w14:paraId="188A79EE"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8</w:t>
            </w:r>
          </w:p>
        </w:tc>
        <w:tc>
          <w:tcPr>
            <w:tcW w:w="4214" w:type="dxa"/>
            <w:shd w:val="clear" w:color="auto" w:fill="FFFFFF"/>
          </w:tcPr>
          <w:p w14:paraId="1374529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Frostschutzschicht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7090338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714C9D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390C94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04865FC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215AEA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4DA60E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8C4AA7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BCCF06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02E557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CE3ADF8" w14:textId="77777777" w:rsidTr="001F4995">
        <w:trPr>
          <w:trHeight w:val="20"/>
        </w:trPr>
        <w:tc>
          <w:tcPr>
            <w:tcW w:w="469" w:type="dxa"/>
            <w:shd w:val="clear" w:color="auto" w:fill="auto"/>
            <w:noWrap/>
          </w:tcPr>
          <w:p w14:paraId="26CFC974"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9</w:t>
            </w:r>
          </w:p>
        </w:tc>
        <w:tc>
          <w:tcPr>
            <w:tcW w:w="4214" w:type="dxa"/>
            <w:shd w:val="clear" w:color="auto" w:fill="FFFFFF"/>
          </w:tcPr>
          <w:p w14:paraId="0C70345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Dämme oder Wälle gemäß Bauweisen A-D nach MTSE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4793E4B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FB9F96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CA2A63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36D02B4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B18465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D4F366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2E6A2E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505169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F409D6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5E2D442" w14:textId="77777777" w:rsidTr="001F4995">
        <w:trPr>
          <w:trHeight w:val="20"/>
        </w:trPr>
        <w:tc>
          <w:tcPr>
            <w:tcW w:w="469" w:type="dxa"/>
            <w:shd w:val="clear" w:color="auto" w:fill="auto"/>
            <w:noWrap/>
          </w:tcPr>
          <w:p w14:paraId="0595E15C"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10</w:t>
            </w:r>
          </w:p>
        </w:tc>
        <w:tc>
          <w:tcPr>
            <w:tcW w:w="4214" w:type="dxa"/>
            <w:shd w:val="clear" w:color="auto" w:fill="FFFFFF"/>
          </w:tcPr>
          <w:p w14:paraId="61F326D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4826DF1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648C03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003799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205C6DC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4EB14B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985F64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346ACF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9658E4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80F169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8AC3244" w14:textId="77777777" w:rsidTr="001F4995">
        <w:trPr>
          <w:trHeight w:val="20"/>
        </w:trPr>
        <w:tc>
          <w:tcPr>
            <w:tcW w:w="469" w:type="dxa"/>
            <w:shd w:val="clear" w:color="auto" w:fill="auto"/>
            <w:noWrap/>
          </w:tcPr>
          <w:p w14:paraId="39F5B84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11</w:t>
            </w:r>
          </w:p>
        </w:tc>
        <w:tc>
          <w:tcPr>
            <w:tcW w:w="4214" w:type="dxa"/>
            <w:shd w:val="clear" w:color="auto" w:fill="FFFFFF"/>
          </w:tcPr>
          <w:p w14:paraId="22AC310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42E17ED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FCC82E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3C7C97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6288AE6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096720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6A1C95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57B5008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55E29F5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720804C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3581890" w14:textId="77777777" w:rsidTr="001F4995">
        <w:trPr>
          <w:trHeight w:val="20"/>
        </w:trPr>
        <w:tc>
          <w:tcPr>
            <w:tcW w:w="469" w:type="dxa"/>
            <w:shd w:val="clear" w:color="auto" w:fill="auto"/>
            <w:noWrap/>
          </w:tcPr>
          <w:p w14:paraId="41112AC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12</w:t>
            </w:r>
          </w:p>
        </w:tc>
        <w:tc>
          <w:tcPr>
            <w:tcW w:w="4214" w:type="dxa"/>
            <w:shd w:val="clear" w:color="auto" w:fill="FFFFFF"/>
          </w:tcPr>
          <w:p w14:paraId="4AA3DAF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Deckschicht ohne Bindemittel</w:t>
            </w:r>
          </w:p>
        </w:tc>
        <w:tc>
          <w:tcPr>
            <w:tcW w:w="851" w:type="dxa"/>
            <w:noWrap/>
            <w:vAlign w:val="center"/>
          </w:tcPr>
          <w:p w14:paraId="0B14A73A" w14:textId="77777777" w:rsidR="001F4995" w:rsidRPr="001F4995" w:rsidRDefault="001F4995" w:rsidP="001F4995">
            <w:pPr>
              <w:spacing w:before="0" w:after="0"/>
              <w:jc w:val="center"/>
              <w:rPr>
                <w:rFonts w:ascii="Times New Roman" w:eastAsia="Times New Roman" w:hAnsi="Times New Roman" w:cs="Times New Roman"/>
                <w:sz w:val="24"/>
                <w:szCs w:val="24"/>
                <w:lang w:val="it-IT"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2601FF5" w14:textId="77777777" w:rsidR="001F4995" w:rsidRPr="001F4995" w:rsidRDefault="001F4995" w:rsidP="001F4995">
            <w:pPr>
              <w:spacing w:before="0" w:after="0"/>
              <w:jc w:val="center"/>
              <w:rPr>
                <w:rFonts w:ascii="Times New Roman" w:eastAsia="Times New Roman" w:hAnsi="Times New Roman" w:cs="Times New Roman"/>
                <w:sz w:val="24"/>
                <w:szCs w:val="24"/>
                <w:lang w:val="it-IT"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CB6C336" w14:textId="77777777" w:rsidR="001F4995" w:rsidRPr="001F4995" w:rsidRDefault="001F4995" w:rsidP="001F4995">
            <w:pPr>
              <w:spacing w:before="0" w:after="0"/>
              <w:jc w:val="center"/>
              <w:rPr>
                <w:rFonts w:ascii="Times New Roman" w:eastAsia="Times New Roman" w:hAnsi="Times New Roman" w:cs="Times New Roman"/>
                <w:sz w:val="24"/>
                <w:szCs w:val="24"/>
                <w:lang w:val="it-IT"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7A6BB3D9" w14:textId="77777777" w:rsidR="001F4995" w:rsidRPr="001F4995" w:rsidRDefault="001F4995" w:rsidP="001F4995">
            <w:pPr>
              <w:spacing w:before="0" w:after="0"/>
              <w:jc w:val="center"/>
              <w:rPr>
                <w:rFonts w:ascii="Times New Roman" w:eastAsia="Times New Roman" w:hAnsi="Times New Roman" w:cs="Times New Roman"/>
                <w:sz w:val="24"/>
                <w:szCs w:val="24"/>
                <w:lang w:val="it-IT" w:eastAsia="de-DE"/>
              </w:rPr>
            </w:pPr>
            <w:r w:rsidRPr="001F4995">
              <w:rPr>
                <w:rFonts w:ascii="Times New Roman" w:eastAsia="Times New Roman" w:hAnsi="Times New Roman" w:cs="Times New Roman"/>
                <w:sz w:val="24"/>
                <w:szCs w:val="24"/>
                <w:lang w:eastAsia="de-DE"/>
              </w:rPr>
              <w:t>-</w:t>
            </w:r>
          </w:p>
        </w:tc>
        <w:tc>
          <w:tcPr>
            <w:tcW w:w="670" w:type="dxa"/>
            <w:vAlign w:val="center"/>
          </w:tcPr>
          <w:p w14:paraId="10DF85BE" w14:textId="77777777" w:rsidR="001F4995" w:rsidRPr="001F4995" w:rsidRDefault="001F4995" w:rsidP="001F4995">
            <w:pPr>
              <w:spacing w:before="0" w:after="0"/>
              <w:jc w:val="center"/>
              <w:rPr>
                <w:rFonts w:ascii="Times New Roman" w:eastAsia="Times New Roman" w:hAnsi="Times New Roman" w:cs="Times New Roman"/>
                <w:sz w:val="24"/>
                <w:szCs w:val="24"/>
                <w:lang w:val="it-IT"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A1A91E1" w14:textId="77777777" w:rsidR="001F4995" w:rsidRPr="001F4995" w:rsidRDefault="001F4995" w:rsidP="001F4995">
            <w:pPr>
              <w:spacing w:before="0" w:after="0"/>
              <w:jc w:val="center"/>
              <w:rPr>
                <w:rFonts w:ascii="Times New Roman" w:eastAsia="Times New Roman" w:hAnsi="Times New Roman" w:cs="Times New Roman"/>
                <w:sz w:val="24"/>
                <w:szCs w:val="24"/>
                <w:lang w:val="it-IT"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185B45F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009918A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0C52E64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BF08B18" w14:textId="77777777" w:rsidTr="001F4995">
        <w:trPr>
          <w:trHeight w:val="20"/>
        </w:trPr>
        <w:tc>
          <w:tcPr>
            <w:tcW w:w="469" w:type="dxa"/>
            <w:shd w:val="clear" w:color="auto" w:fill="auto"/>
            <w:noWrap/>
          </w:tcPr>
          <w:p w14:paraId="45B3468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13</w:t>
            </w:r>
          </w:p>
        </w:tc>
        <w:tc>
          <w:tcPr>
            <w:tcW w:w="4214" w:type="dxa"/>
            <w:shd w:val="clear" w:color="auto" w:fill="FFFFFF"/>
          </w:tcPr>
          <w:p w14:paraId="09A6AFD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5AB5C24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9EABD1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D65D88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1730887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BEFF36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F599CC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2BE0100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4DD49E8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70D1CE9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9FED81E" w14:textId="77777777" w:rsidTr="001F4995">
        <w:trPr>
          <w:trHeight w:val="20"/>
        </w:trPr>
        <w:tc>
          <w:tcPr>
            <w:tcW w:w="469" w:type="dxa"/>
            <w:shd w:val="clear" w:color="auto" w:fill="auto"/>
            <w:noWrap/>
          </w:tcPr>
          <w:p w14:paraId="1614EFC3"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14</w:t>
            </w:r>
          </w:p>
        </w:tc>
        <w:tc>
          <w:tcPr>
            <w:tcW w:w="4214" w:type="dxa"/>
            <w:shd w:val="clear" w:color="auto" w:fill="FFFFFF"/>
          </w:tcPr>
          <w:p w14:paraId="3C3ECFB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Plattenbelägen</w:t>
            </w:r>
          </w:p>
        </w:tc>
        <w:tc>
          <w:tcPr>
            <w:tcW w:w="851" w:type="dxa"/>
            <w:noWrap/>
            <w:vAlign w:val="center"/>
          </w:tcPr>
          <w:p w14:paraId="50B3DBC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F03268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6E9DC9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64C054A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17BCB8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53AE8F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0008CC3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6C8F041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459CC35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B852992" w14:textId="77777777" w:rsidTr="001F4995">
        <w:trPr>
          <w:trHeight w:val="20"/>
        </w:trPr>
        <w:tc>
          <w:tcPr>
            <w:tcW w:w="469" w:type="dxa"/>
            <w:shd w:val="clear" w:color="auto" w:fill="auto"/>
            <w:noWrap/>
          </w:tcPr>
          <w:p w14:paraId="30B5C5E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15</w:t>
            </w:r>
          </w:p>
        </w:tc>
        <w:tc>
          <w:tcPr>
            <w:tcW w:w="4214" w:type="dxa"/>
            <w:shd w:val="clear" w:color="auto" w:fill="FFFFFF"/>
          </w:tcPr>
          <w:p w14:paraId="4874E71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47D2001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E5B89E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8C5C77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56831A8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E9E24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3E68DE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0EDFC47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3981F83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4A1CBCD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0288041" w14:textId="77777777" w:rsidTr="001F4995">
        <w:trPr>
          <w:trHeight w:val="20"/>
        </w:trPr>
        <w:tc>
          <w:tcPr>
            <w:tcW w:w="469" w:type="dxa"/>
            <w:shd w:val="clear" w:color="auto" w:fill="auto"/>
            <w:noWrap/>
          </w:tcPr>
          <w:p w14:paraId="4E9898F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16</w:t>
            </w:r>
          </w:p>
        </w:tc>
        <w:tc>
          <w:tcPr>
            <w:tcW w:w="4214" w:type="dxa"/>
            <w:shd w:val="clear" w:color="auto" w:fill="FFFFFF"/>
          </w:tcPr>
          <w:p w14:paraId="4F31D84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4644239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F16505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614F67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7D3F28E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B11670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5A9950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35C6737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1948CB9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18B62EA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B875990" w14:textId="77777777" w:rsidTr="001F4995">
        <w:trPr>
          <w:trHeight w:val="208"/>
        </w:trPr>
        <w:tc>
          <w:tcPr>
            <w:tcW w:w="469" w:type="dxa"/>
            <w:shd w:val="clear" w:color="auto" w:fill="auto"/>
            <w:noWrap/>
          </w:tcPr>
          <w:p w14:paraId="4CCD114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17</w:t>
            </w:r>
          </w:p>
        </w:tc>
        <w:tc>
          <w:tcPr>
            <w:tcW w:w="4214" w:type="dxa"/>
            <w:shd w:val="clear" w:color="auto" w:fill="FFFFFF"/>
          </w:tcPr>
          <w:p w14:paraId="721DD96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7E2AAFE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6ABA05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132041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821" w:type="dxa"/>
            <w:noWrap/>
            <w:vAlign w:val="center"/>
          </w:tcPr>
          <w:p w14:paraId="36D3B6D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319C00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DE7A9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7B69E33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283F2C6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1A96F02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bl>
    <w:p w14:paraId="13FF3F8D" w14:textId="2105A74F" w:rsidR="001F4995" w:rsidRPr="008D0377" w:rsidRDefault="001F4995" w:rsidP="001F4995">
      <w:pPr>
        <w:pStyle w:val="berschrift1"/>
      </w:pPr>
      <w:r>
        <w:br w:type="page"/>
      </w:r>
      <w:r w:rsidRPr="008D0377">
        <w:lastRenderedPageBreak/>
        <w:t>Tabelle 21: Gießereirestsand (GRS)</w:t>
      </w:r>
    </w:p>
    <w:p w14:paraId="4235B467" w14:textId="77777777" w:rsidR="001F4995" w:rsidRPr="001F4995" w:rsidRDefault="001F4995" w:rsidP="001F4995">
      <w:pPr>
        <w:pStyle w:val="Text"/>
      </w:pPr>
    </w:p>
    <w:tbl>
      <w:tblPr>
        <w:tblW w:w="11002" w:type="dxa"/>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567"/>
        <w:gridCol w:w="715"/>
        <w:gridCol w:w="500"/>
        <w:gridCol w:w="715"/>
        <w:gridCol w:w="542"/>
        <w:gridCol w:w="715"/>
      </w:tblGrid>
      <w:tr w:rsidR="001F4995" w:rsidRPr="001F4995" w14:paraId="17863487" w14:textId="77777777" w:rsidTr="001F4995">
        <w:trPr>
          <w:trHeight w:val="330"/>
        </w:trPr>
        <w:tc>
          <w:tcPr>
            <w:tcW w:w="11002" w:type="dxa"/>
            <w:gridSpan w:val="11"/>
            <w:noWrap/>
            <w:vAlign w:val="bottom"/>
          </w:tcPr>
          <w:p w14:paraId="2156BC65" w14:textId="77777777" w:rsidR="001F4995" w:rsidRPr="001F4995" w:rsidRDefault="001F4995" w:rsidP="001F4995">
            <w:pPr>
              <w:spacing w:before="0" w:after="0"/>
              <w:jc w:val="center"/>
              <w:rPr>
                <w:rFonts w:ascii="Times New Roman" w:eastAsia="Times New Roman" w:hAnsi="Times New Roman" w:cs="Times New Roman"/>
                <w:b/>
                <w:bCs/>
                <w:sz w:val="24"/>
                <w:szCs w:val="24"/>
                <w:lang w:eastAsia="de-DE"/>
              </w:rPr>
            </w:pP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t>Gießereirestsand (GRS)</w:t>
            </w:r>
          </w:p>
        </w:tc>
      </w:tr>
      <w:tr w:rsidR="001F4995" w:rsidRPr="001F4995" w14:paraId="6BF7401E" w14:textId="77777777" w:rsidTr="001F4995">
        <w:trPr>
          <w:trHeight w:val="20"/>
        </w:trPr>
        <w:tc>
          <w:tcPr>
            <w:tcW w:w="4683" w:type="dxa"/>
            <w:gridSpan w:val="2"/>
            <w:vMerge w:val="restart"/>
            <w:shd w:val="clear" w:color="auto" w:fill="auto"/>
            <w:noWrap/>
          </w:tcPr>
          <w:p w14:paraId="1299DD9C"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Einbauweise</w:t>
            </w:r>
          </w:p>
        </w:tc>
        <w:tc>
          <w:tcPr>
            <w:tcW w:w="6319" w:type="dxa"/>
            <w:gridSpan w:val="9"/>
            <w:shd w:val="clear" w:color="auto" w:fill="auto"/>
            <w:noWrap/>
            <w:vAlign w:val="center"/>
          </w:tcPr>
          <w:p w14:paraId="33D776D9"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Eigenschaft der Grundwasserdeckschicht</w:t>
            </w:r>
          </w:p>
        </w:tc>
      </w:tr>
      <w:tr w:rsidR="001F4995" w:rsidRPr="001F4995" w14:paraId="4B5A3C26" w14:textId="77777777" w:rsidTr="001F4995">
        <w:trPr>
          <w:trHeight w:val="20"/>
        </w:trPr>
        <w:tc>
          <w:tcPr>
            <w:tcW w:w="4683" w:type="dxa"/>
            <w:gridSpan w:val="2"/>
            <w:vMerge/>
            <w:shd w:val="clear" w:color="auto" w:fill="auto"/>
            <w:noWrap/>
            <w:vAlign w:val="center"/>
          </w:tcPr>
          <w:p w14:paraId="07639E36" w14:textId="77777777" w:rsidR="001F4995" w:rsidRPr="001F4995" w:rsidRDefault="001F4995" w:rsidP="001F4995">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13B932E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außerhalb von</w:t>
            </w:r>
          </w:p>
          <w:p w14:paraId="42E2344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Wasserschutzbereichen</w:t>
            </w:r>
          </w:p>
        </w:tc>
        <w:tc>
          <w:tcPr>
            <w:tcW w:w="3619" w:type="dxa"/>
            <w:gridSpan w:val="6"/>
            <w:shd w:val="clear" w:color="auto" w:fill="auto"/>
            <w:noWrap/>
            <w:vAlign w:val="center"/>
          </w:tcPr>
          <w:p w14:paraId="7AFCBE1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innerhalb von</w:t>
            </w:r>
          </w:p>
          <w:p w14:paraId="4D1575E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Wasserschutzbereichen</w:t>
            </w:r>
          </w:p>
        </w:tc>
      </w:tr>
      <w:tr w:rsidR="001F4995" w:rsidRPr="001F4995" w14:paraId="6754B8CD" w14:textId="77777777" w:rsidTr="001F4995">
        <w:trPr>
          <w:trHeight w:val="20"/>
        </w:trPr>
        <w:tc>
          <w:tcPr>
            <w:tcW w:w="4683" w:type="dxa"/>
            <w:gridSpan w:val="2"/>
            <w:vMerge/>
            <w:shd w:val="clear" w:color="auto" w:fill="auto"/>
            <w:noWrap/>
            <w:vAlign w:val="center"/>
          </w:tcPr>
          <w:p w14:paraId="5FC24DF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3C36574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proofErr w:type="spellStart"/>
            <w:r w:rsidRPr="001F4995">
              <w:rPr>
                <w:rFonts w:ascii="Times New Roman" w:eastAsia="Times New Roman" w:hAnsi="Times New Roman" w:cs="Times New Roman"/>
                <w:sz w:val="24"/>
                <w:szCs w:val="24"/>
                <w:lang w:eastAsia="de-DE"/>
              </w:rPr>
              <w:t>un</w:t>
            </w:r>
            <w:proofErr w:type="spellEnd"/>
            <w:r w:rsidRPr="001F4995">
              <w:rPr>
                <w:rFonts w:ascii="Times New Roman" w:eastAsia="Times New Roman" w:hAnsi="Times New Roman" w:cs="Times New Roman"/>
                <w:sz w:val="24"/>
                <w:szCs w:val="24"/>
                <w:lang w:eastAsia="de-DE"/>
              </w:rPr>
              <w:t>-günstig</w:t>
            </w:r>
          </w:p>
        </w:tc>
        <w:tc>
          <w:tcPr>
            <w:tcW w:w="1849" w:type="dxa"/>
            <w:gridSpan w:val="2"/>
            <w:shd w:val="clear" w:color="auto" w:fill="auto"/>
            <w:noWrap/>
            <w:vAlign w:val="center"/>
          </w:tcPr>
          <w:p w14:paraId="0BBFD28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günstig</w:t>
            </w:r>
          </w:p>
        </w:tc>
        <w:tc>
          <w:tcPr>
            <w:tcW w:w="3619" w:type="dxa"/>
            <w:gridSpan w:val="6"/>
            <w:shd w:val="clear" w:color="auto" w:fill="auto"/>
            <w:noWrap/>
            <w:vAlign w:val="center"/>
          </w:tcPr>
          <w:p w14:paraId="58FC6FA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günstig</w:t>
            </w:r>
          </w:p>
        </w:tc>
      </w:tr>
      <w:tr w:rsidR="001F4995" w:rsidRPr="001F4995" w14:paraId="16756785" w14:textId="77777777" w:rsidTr="001F4995">
        <w:trPr>
          <w:trHeight w:val="20"/>
        </w:trPr>
        <w:tc>
          <w:tcPr>
            <w:tcW w:w="4683" w:type="dxa"/>
            <w:gridSpan w:val="2"/>
            <w:vMerge/>
            <w:shd w:val="clear" w:color="auto" w:fill="auto"/>
            <w:noWrap/>
            <w:vAlign w:val="center"/>
          </w:tcPr>
          <w:p w14:paraId="38428DD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6C47D36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1A8725D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4DC44F59" w14:textId="17A92DF0"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7F24EEC8" w14:textId="50540250"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46E96C9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1237" w:type="dxa"/>
            <w:gridSpan w:val="2"/>
            <w:shd w:val="clear" w:color="auto" w:fill="auto"/>
            <w:noWrap/>
            <w:vAlign w:val="center"/>
          </w:tcPr>
          <w:p w14:paraId="03F8838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6FDB7AC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B</w:t>
            </w:r>
          </w:p>
        </w:tc>
        <w:tc>
          <w:tcPr>
            <w:tcW w:w="1212" w:type="dxa"/>
            <w:gridSpan w:val="2"/>
            <w:shd w:val="clear" w:color="auto" w:fill="auto"/>
            <w:noWrap/>
            <w:vAlign w:val="center"/>
          </w:tcPr>
          <w:p w14:paraId="520149B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Wasservor-</w:t>
            </w:r>
          </w:p>
        </w:tc>
      </w:tr>
      <w:tr w:rsidR="001F4995" w:rsidRPr="001F4995" w14:paraId="4BD60828" w14:textId="77777777" w:rsidTr="001F4995">
        <w:trPr>
          <w:trHeight w:val="80"/>
        </w:trPr>
        <w:tc>
          <w:tcPr>
            <w:tcW w:w="4683" w:type="dxa"/>
            <w:gridSpan w:val="2"/>
            <w:vMerge/>
            <w:shd w:val="clear" w:color="auto" w:fill="auto"/>
            <w:noWrap/>
            <w:vAlign w:val="center"/>
          </w:tcPr>
          <w:p w14:paraId="311106B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753BC3E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10D6F61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21ACB32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237" w:type="dxa"/>
            <w:gridSpan w:val="2"/>
            <w:shd w:val="clear" w:color="auto" w:fill="auto"/>
            <w:noWrap/>
            <w:vAlign w:val="center"/>
          </w:tcPr>
          <w:p w14:paraId="7961488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2428B58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IV</w:t>
            </w:r>
          </w:p>
        </w:tc>
        <w:tc>
          <w:tcPr>
            <w:tcW w:w="1212" w:type="dxa"/>
            <w:gridSpan w:val="2"/>
            <w:shd w:val="clear" w:color="auto" w:fill="auto"/>
            <w:noWrap/>
            <w:vAlign w:val="center"/>
          </w:tcPr>
          <w:p w14:paraId="48C86BA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ranggebiete</w:t>
            </w:r>
          </w:p>
        </w:tc>
      </w:tr>
      <w:tr w:rsidR="001F4995" w:rsidRPr="001F4995" w14:paraId="7ABDFEDB" w14:textId="77777777" w:rsidTr="001F4995">
        <w:trPr>
          <w:trHeight w:val="80"/>
        </w:trPr>
        <w:tc>
          <w:tcPr>
            <w:tcW w:w="4683" w:type="dxa"/>
            <w:gridSpan w:val="2"/>
            <w:vMerge/>
            <w:shd w:val="clear" w:color="auto" w:fill="auto"/>
            <w:noWrap/>
            <w:vAlign w:val="center"/>
          </w:tcPr>
          <w:p w14:paraId="6D03CC5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45C3B97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00AFE92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778F15A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567" w:type="dxa"/>
            <w:shd w:val="clear" w:color="auto" w:fill="auto"/>
            <w:noWrap/>
            <w:vAlign w:val="center"/>
          </w:tcPr>
          <w:p w14:paraId="473E041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312F4E01" w14:textId="41E9A4C2"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7ED054ED" w14:textId="3B627D52"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1956FCC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392B97A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5865170A" w14:textId="4C6E7A45"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3931B7C5" w14:textId="45558DD8"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4363D1F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6779C81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45FD12E3" w14:textId="7E2F7D11"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18CA58B9" w14:textId="7EDE0110"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25BA64E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r>
      <w:tr w:rsidR="001F4995" w:rsidRPr="001F4995" w14:paraId="0C8385CB" w14:textId="77777777" w:rsidTr="001F4995">
        <w:trPr>
          <w:trHeight w:val="111"/>
        </w:trPr>
        <w:tc>
          <w:tcPr>
            <w:tcW w:w="4683" w:type="dxa"/>
            <w:gridSpan w:val="2"/>
            <w:vMerge/>
            <w:shd w:val="clear" w:color="auto" w:fill="auto"/>
            <w:noWrap/>
            <w:vAlign w:val="center"/>
          </w:tcPr>
          <w:p w14:paraId="65E70AF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6B9BDBA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w:t>
            </w:r>
          </w:p>
        </w:tc>
        <w:tc>
          <w:tcPr>
            <w:tcW w:w="664" w:type="dxa"/>
            <w:shd w:val="clear" w:color="auto" w:fill="auto"/>
            <w:noWrap/>
            <w:vAlign w:val="center"/>
          </w:tcPr>
          <w:p w14:paraId="554570A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2</w:t>
            </w:r>
          </w:p>
        </w:tc>
        <w:tc>
          <w:tcPr>
            <w:tcW w:w="1185" w:type="dxa"/>
            <w:shd w:val="clear" w:color="auto" w:fill="auto"/>
            <w:noWrap/>
            <w:vAlign w:val="center"/>
          </w:tcPr>
          <w:p w14:paraId="640077E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3</w:t>
            </w:r>
          </w:p>
        </w:tc>
        <w:tc>
          <w:tcPr>
            <w:tcW w:w="1237" w:type="dxa"/>
            <w:gridSpan w:val="2"/>
            <w:shd w:val="clear" w:color="auto" w:fill="auto"/>
            <w:noWrap/>
            <w:vAlign w:val="center"/>
          </w:tcPr>
          <w:p w14:paraId="01040D8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13884B5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5</w:t>
            </w:r>
          </w:p>
        </w:tc>
        <w:tc>
          <w:tcPr>
            <w:tcW w:w="1212" w:type="dxa"/>
            <w:gridSpan w:val="2"/>
            <w:shd w:val="clear" w:color="auto" w:fill="auto"/>
            <w:noWrap/>
            <w:vAlign w:val="center"/>
          </w:tcPr>
          <w:p w14:paraId="6EBE104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6</w:t>
            </w:r>
          </w:p>
        </w:tc>
      </w:tr>
      <w:tr w:rsidR="001F4995" w:rsidRPr="001F4995" w14:paraId="12569864" w14:textId="77777777" w:rsidTr="001F4995">
        <w:trPr>
          <w:trHeight w:val="20"/>
        </w:trPr>
        <w:tc>
          <w:tcPr>
            <w:tcW w:w="469" w:type="dxa"/>
            <w:shd w:val="clear" w:color="auto" w:fill="auto"/>
            <w:noWrap/>
          </w:tcPr>
          <w:p w14:paraId="2CB080B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w:t>
            </w:r>
          </w:p>
        </w:tc>
        <w:tc>
          <w:tcPr>
            <w:tcW w:w="4214" w:type="dxa"/>
            <w:shd w:val="clear" w:color="auto" w:fill="FFFFFF"/>
          </w:tcPr>
          <w:p w14:paraId="0A466FE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4B40BE9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DDBE15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75FF16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46BD353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3AE6FC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603942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257EBC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41FDB11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C7FEA9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4971B6E" w14:textId="77777777" w:rsidTr="001F4995">
        <w:trPr>
          <w:trHeight w:val="20"/>
        </w:trPr>
        <w:tc>
          <w:tcPr>
            <w:tcW w:w="469" w:type="dxa"/>
            <w:shd w:val="clear" w:color="auto" w:fill="auto"/>
            <w:noWrap/>
          </w:tcPr>
          <w:p w14:paraId="1F20F46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2</w:t>
            </w:r>
          </w:p>
        </w:tc>
        <w:tc>
          <w:tcPr>
            <w:tcW w:w="4214" w:type="dxa"/>
            <w:shd w:val="clear" w:color="auto" w:fill="FFFFFF"/>
          </w:tcPr>
          <w:p w14:paraId="4E4C85C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68B5213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7C954B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1C2C5D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382DBF0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E05255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6753E6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AE72B0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216A042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B2D515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822C56E" w14:textId="77777777" w:rsidTr="001F4995">
        <w:trPr>
          <w:trHeight w:val="20"/>
        </w:trPr>
        <w:tc>
          <w:tcPr>
            <w:tcW w:w="469" w:type="dxa"/>
            <w:shd w:val="clear" w:color="auto" w:fill="auto"/>
            <w:noWrap/>
          </w:tcPr>
          <w:p w14:paraId="0403F8B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3</w:t>
            </w:r>
          </w:p>
        </w:tc>
        <w:tc>
          <w:tcPr>
            <w:tcW w:w="4214" w:type="dxa"/>
            <w:shd w:val="clear" w:color="auto" w:fill="FFFFFF"/>
          </w:tcPr>
          <w:p w14:paraId="276A6A3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3878931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4B0E46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136281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65ACE5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4F8D57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921467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C98103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10B35D3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C0C8A4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0F0795A" w14:textId="77777777" w:rsidTr="001F4995">
        <w:trPr>
          <w:trHeight w:val="20"/>
        </w:trPr>
        <w:tc>
          <w:tcPr>
            <w:tcW w:w="469" w:type="dxa"/>
            <w:shd w:val="clear" w:color="auto" w:fill="auto"/>
            <w:noWrap/>
          </w:tcPr>
          <w:p w14:paraId="08FCC071"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4</w:t>
            </w:r>
          </w:p>
        </w:tc>
        <w:tc>
          <w:tcPr>
            <w:tcW w:w="4214" w:type="dxa"/>
            <w:shd w:val="clear" w:color="auto" w:fill="FFFFFF"/>
          </w:tcPr>
          <w:p w14:paraId="636F5A5C"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41EA54D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5C47DC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E1A7A2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08CC5CB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30CD35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E14465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ADB1EA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33336BC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6BA378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226E236" w14:textId="77777777" w:rsidTr="001F4995">
        <w:trPr>
          <w:trHeight w:val="20"/>
        </w:trPr>
        <w:tc>
          <w:tcPr>
            <w:tcW w:w="469" w:type="dxa"/>
            <w:shd w:val="clear" w:color="auto" w:fill="auto"/>
            <w:noWrap/>
          </w:tcPr>
          <w:p w14:paraId="646C469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5</w:t>
            </w:r>
          </w:p>
        </w:tc>
        <w:tc>
          <w:tcPr>
            <w:tcW w:w="4214" w:type="dxa"/>
            <w:shd w:val="clear" w:color="auto" w:fill="FFFFFF"/>
          </w:tcPr>
          <w:p w14:paraId="28DCE0F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3CAFB3A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B8C0FE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74A923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52D73F0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6992E6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D9711B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70" w:type="dxa"/>
            <w:vAlign w:val="center"/>
          </w:tcPr>
          <w:p w14:paraId="078F9EE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542" w:type="dxa"/>
            <w:noWrap/>
            <w:vAlign w:val="center"/>
          </w:tcPr>
          <w:p w14:paraId="2BD0D73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70" w:type="dxa"/>
            <w:vAlign w:val="center"/>
          </w:tcPr>
          <w:p w14:paraId="05DC5EA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r>
      <w:tr w:rsidR="001F4995" w:rsidRPr="001F4995" w14:paraId="0B925EE7" w14:textId="77777777" w:rsidTr="001F4995">
        <w:trPr>
          <w:trHeight w:val="20"/>
        </w:trPr>
        <w:tc>
          <w:tcPr>
            <w:tcW w:w="469" w:type="dxa"/>
            <w:shd w:val="clear" w:color="auto" w:fill="auto"/>
            <w:noWrap/>
          </w:tcPr>
          <w:p w14:paraId="58C1136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6</w:t>
            </w:r>
          </w:p>
        </w:tc>
        <w:tc>
          <w:tcPr>
            <w:tcW w:w="4214" w:type="dxa"/>
            <w:shd w:val="clear" w:color="auto" w:fill="FFFFFF"/>
          </w:tcPr>
          <w:p w14:paraId="02120B8C"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0951A50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C347C4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490508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4F6E241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F6B952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D45046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BC7C9F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0A9B4EF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3310B7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8B497FE" w14:textId="77777777" w:rsidTr="001F4995">
        <w:trPr>
          <w:trHeight w:val="20"/>
        </w:trPr>
        <w:tc>
          <w:tcPr>
            <w:tcW w:w="469" w:type="dxa"/>
            <w:shd w:val="clear" w:color="auto" w:fill="auto"/>
            <w:noWrap/>
          </w:tcPr>
          <w:p w14:paraId="094F8902"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7</w:t>
            </w:r>
          </w:p>
        </w:tc>
        <w:tc>
          <w:tcPr>
            <w:tcW w:w="4214" w:type="dxa"/>
            <w:shd w:val="clear" w:color="auto" w:fill="FFFFFF"/>
          </w:tcPr>
          <w:p w14:paraId="4B47C7F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Schottertragschicht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1BCF2CC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5F6476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41F1F1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38F80D1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F1C235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584D2F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39D379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6169DBF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52788B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1D9A139" w14:textId="77777777" w:rsidTr="001F4995">
        <w:trPr>
          <w:trHeight w:val="20"/>
        </w:trPr>
        <w:tc>
          <w:tcPr>
            <w:tcW w:w="469" w:type="dxa"/>
            <w:shd w:val="clear" w:color="auto" w:fill="auto"/>
            <w:noWrap/>
          </w:tcPr>
          <w:p w14:paraId="5337B80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8</w:t>
            </w:r>
          </w:p>
        </w:tc>
        <w:tc>
          <w:tcPr>
            <w:tcW w:w="4214" w:type="dxa"/>
            <w:shd w:val="clear" w:color="auto" w:fill="FFFFFF"/>
          </w:tcPr>
          <w:p w14:paraId="1B9AB1D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Frostschutzschicht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18A556C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9FEE9A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357ACC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358D003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D4E7D0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720163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5021D1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2D23E48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5023C8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EA1EF78" w14:textId="77777777" w:rsidTr="001F4995">
        <w:trPr>
          <w:trHeight w:val="20"/>
        </w:trPr>
        <w:tc>
          <w:tcPr>
            <w:tcW w:w="469" w:type="dxa"/>
            <w:shd w:val="clear" w:color="auto" w:fill="auto"/>
            <w:noWrap/>
          </w:tcPr>
          <w:p w14:paraId="250AE3CC"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9</w:t>
            </w:r>
          </w:p>
        </w:tc>
        <w:tc>
          <w:tcPr>
            <w:tcW w:w="4214" w:type="dxa"/>
            <w:shd w:val="clear" w:color="auto" w:fill="FFFFFF"/>
          </w:tcPr>
          <w:p w14:paraId="2DD1C5A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Dämme oder Wälle gemäß Bauweisen A-D nach MTSE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6398688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8EE696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D4F031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7B356AC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B4F538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D4525A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0C28B4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6265F63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CA26FA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4EF8334" w14:textId="77777777" w:rsidTr="001F4995">
        <w:trPr>
          <w:trHeight w:val="20"/>
        </w:trPr>
        <w:tc>
          <w:tcPr>
            <w:tcW w:w="469" w:type="dxa"/>
            <w:shd w:val="clear" w:color="auto" w:fill="auto"/>
            <w:noWrap/>
          </w:tcPr>
          <w:p w14:paraId="256CC96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10</w:t>
            </w:r>
          </w:p>
        </w:tc>
        <w:tc>
          <w:tcPr>
            <w:tcW w:w="4214" w:type="dxa"/>
            <w:shd w:val="clear" w:color="auto" w:fill="FFFFFF"/>
          </w:tcPr>
          <w:p w14:paraId="5977432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4F589EC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5D080E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AECF4E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6F7B3DF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605320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05D15C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E1947F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6AEA8C1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30D6BD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55CF42F" w14:textId="77777777" w:rsidTr="001F4995">
        <w:trPr>
          <w:trHeight w:val="20"/>
        </w:trPr>
        <w:tc>
          <w:tcPr>
            <w:tcW w:w="469" w:type="dxa"/>
            <w:shd w:val="clear" w:color="auto" w:fill="auto"/>
            <w:noWrap/>
          </w:tcPr>
          <w:p w14:paraId="2389492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11</w:t>
            </w:r>
          </w:p>
        </w:tc>
        <w:tc>
          <w:tcPr>
            <w:tcW w:w="4214" w:type="dxa"/>
            <w:shd w:val="clear" w:color="auto" w:fill="FFFFFF"/>
          </w:tcPr>
          <w:p w14:paraId="64C7CF9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60744BD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88F665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05586D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4C220C1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137AEF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040324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9D624B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474A4BA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846209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E1C9551" w14:textId="77777777" w:rsidTr="001F4995">
        <w:trPr>
          <w:trHeight w:val="20"/>
        </w:trPr>
        <w:tc>
          <w:tcPr>
            <w:tcW w:w="469" w:type="dxa"/>
            <w:shd w:val="clear" w:color="auto" w:fill="auto"/>
            <w:noWrap/>
          </w:tcPr>
          <w:p w14:paraId="5A1072C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12</w:t>
            </w:r>
          </w:p>
        </w:tc>
        <w:tc>
          <w:tcPr>
            <w:tcW w:w="4214" w:type="dxa"/>
            <w:shd w:val="clear" w:color="auto" w:fill="FFFFFF"/>
          </w:tcPr>
          <w:p w14:paraId="441150D5"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Deckschicht ohne Bindemittel</w:t>
            </w:r>
          </w:p>
        </w:tc>
        <w:tc>
          <w:tcPr>
            <w:tcW w:w="851" w:type="dxa"/>
            <w:noWrap/>
            <w:vAlign w:val="center"/>
          </w:tcPr>
          <w:p w14:paraId="6756C8D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7644C5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DD20DE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6E6B743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B57198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77B5A6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624940F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2F4E527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6ABEA06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1AE9E97" w14:textId="77777777" w:rsidTr="001F4995">
        <w:trPr>
          <w:trHeight w:val="20"/>
        </w:trPr>
        <w:tc>
          <w:tcPr>
            <w:tcW w:w="469" w:type="dxa"/>
            <w:shd w:val="clear" w:color="auto" w:fill="auto"/>
            <w:noWrap/>
          </w:tcPr>
          <w:p w14:paraId="19990E9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13</w:t>
            </w:r>
          </w:p>
        </w:tc>
        <w:tc>
          <w:tcPr>
            <w:tcW w:w="4214" w:type="dxa"/>
            <w:shd w:val="clear" w:color="auto" w:fill="FFFFFF"/>
          </w:tcPr>
          <w:p w14:paraId="1FD2236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5BA5111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68E788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1185" w:type="dxa"/>
            <w:noWrap/>
            <w:vAlign w:val="center"/>
          </w:tcPr>
          <w:p w14:paraId="02B38C1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567" w:type="dxa"/>
            <w:noWrap/>
            <w:vAlign w:val="center"/>
          </w:tcPr>
          <w:p w14:paraId="3D124A8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1C15C9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20A8F0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A1F09B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542" w:type="dxa"/>
            <w:noWrap/>
            <w:vAlign w:val="center"/>
          </w:tcPr>
          <w:p w14:paraId="33C59FF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670" w:type="dxa"/>
            <w:vAlign w:val="center"/>
          </w:tcPr>
          <w:p w14:paraId="3F963CF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r>
      <w:tr w:rsidR="001F4995" w:rsidRPr="001F4995" w14:paraId="095506DF" w14:textId="77777777" w:rsidTr="001F4995">
        <w:trPr>
          <w:trHeight w:val="20"/>
        </w:trPr>
        <w:tc>
          <w:tcPr>
            <w:tcW w:w="469" w:type="dxa"/>
            <w:shd w:val="clear" w:color="auto" w:fill="auto"/>
            <w:noWrap/>
          </w:tcPr>
          <w:p w14:paraId="2306B0D1"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14</w:t>
            </w:r>
          </w:p>
        </w:tc>
        <w:tc>
          <w:tcPr>
            <w:tcW w:w="4214" w:type="dxa"/>
            <w:shd w:val="clear" w:color="auto" w:fill="FFFFFF"/>
          </w:tcPr>
          <w:p w14:paraId="52BA10F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Plattenbelägen</w:t>
            </w:r>
          </w:p>
        </w:tc>
        <w:tc>
          <w:tcPr>
            <w:tcW w:w="851" w:type="dxa"/>
            <w:noWrap/>
            <w:vAlign w:val="center"/>
          </w:tcPr>
          <w:p w14:paraId="472A298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786F5C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1185" w:type="dxa"/>
            <w:noWrap/>
            <w:vAlign w:val="center"/>
          </w:tcPr>
          <w:p w14:paraId="4F90C5A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567" w:type="dxa"/>
            <w:noWrap/>
            <w:vAlign w:val="center"/>
          </w:tcPr>
          <w:p w14:paraId="7FFBDED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CA03D3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A59248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8D9FAE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542" w:type="dxa"/>
            <w:noWrap/>
            <w:vAlign w:val="center"/>
          </w:tcPr>
          <w:p w14:paraId="1D7C00F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c>
          <w:tcPr>
            <w:tcW w:w="670" w:type="dxa"/>
            <w:vAlign w:val="center"/>
          </w:tcPr>
          <w:p w14:paraId="393D8CF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3)</w:t>
            </w:r>
          </w:p>
        </w:tc>
      </w:tr>
      <w:tr w:rsidR="001F4995" w:rsidRPr="001F4995" w14:paraId="22A939A9" w14:textId="77777777" w:rsidTr="001F4995">
        <w:trPr>
          <w:trHeight w:val="20"/>
        </w:trPr>
        <w:tc>
          <w:tcPr>
            <w:tcW w:w="469" w:type="dxa"/>
            <w:shd w:val="clear" w:color="auto" w:fill="auto"/>
            <w:noWrap/>
          </w:tcPr>
          <w:p w14:paraId="1DF53C28"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15</w:t>
            </w:r>
          </w:p>
        </w:tc>
        <w:tc>
          <w:tcPr>
            <w:tcW w:w="4214" w:type="dxa"/>
            <w:shd w:val="clear" w:color="auto" w:fill="FFFFFF"/>
          </w:tcPr>
          <w:p w14:paraId="6411854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0F32B7D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7C415D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4)</w:t>
            </w:r>
          </w:p>
        </w:tc>
        <w:tc>
          <w:tcPr>
            <w:tcW w:w="1185" w:type="dxa"/>
            <w:noWrap/>
            <w:vAlign w:val="center"/>
          </w:tcPr>
          <w:p w14:paraId="2886A54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4)</w:t>
            </w:r>
          </w:p>
        </w:tc>
        <w:tc>
          <w:tcPr>
            <w:tcW w:w="567" w:type="dxa"/>
            <w:noWrap/>
            <w:vAlign w:val="center"/>
          </w:tcPr>
          <w:p w14:paraId="5080971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0326EC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9D0C56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932A74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4)</w:t>
            </w:r>
          </w:p>
        </w:tc>
        <w:tc>
          <w:tcPr>
            <w:tcW w:w="542" w:type="dxa"/>
            <w:noWrap/>
            <w:vAlign w:val="center"/>
          </w:tcPr>
          <w:p w14:paraId="674785D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4)</w:t>
            </w:r>
          </w:p>
        </w:tc>
        <w:tc>
          <w:tcPr>
            <w:tcW w:w="670" w:type="dxa"/>
            <w:vAlign w:val="center"/>
          </w:tcPr>
          <w:p w14:paraId="3DE5598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4)</w:t>
            </w:r>
          </w:p>
        </w:tc>
      </w:tr>
      <w:tr w:rsidR="001F4995" w:rsidRPr="001F4995" w14:paraId="770F1911" w14:textId="77777777" w:rsidTr="001F4995">
        <w:trPr>
          <w:trHeight w:val="20"/>
        </w:trPr>
        <w:tc>
          <w:tcPr>
            <w:tcW w:w="469" w:type="dxa"/>
            <w:shd w:val="clear" w:color="auto" w:fill="auto"/>
            <w:noWrap/>
          </w:tcPr>
          <w:p w14:paraId="5115CE27"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16</w:t>
            </w:r>
          </w:p>
        </w:tc>
        <w:tc>
          <w:tcPr>
            <w:tcW w:w="4214" w:type="dxa"/>
            <w:shd w:val="clear" w:color="auto" w:fill="FFFFFF"/>
          </w:tcPr>
          <w:p w14:paraId="4C928C2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2D169F4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7E9906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5)</w:t>
            </w:r>
          </w:p>
        </w:tc>
        <w:tc>
          <w:tcPr>
            <w:tcW w:w="1185" w:type="dxa"/>
            <w:noWrap/>
            <w:vAlign w:val="center"/>
          </w:tcPr>
          <w:p w14:paraId="3656AEC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5)</w:t>
            </w:r>
          </w:p>
        </w:tc>
        <w:tc>
          <w:tcPr>
            <w:tcW w:w="567" w:type="dxa"/>
            <w:noWrap/>
            <w:vAlign w:val="center"/>
          </w:tcPr>
          <w:p w14:paraId="367C6BA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E39B6B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72338E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D4C1A5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5)</w:t>
            </w:r>
          </w:p>
        </w:tc>
        <w:tc>
          <w:tcPr>
            <w:tcW w:w="542" w:type="dxa"/>
            <w:noWrap/>
            <w:vAlign w:val="center"/>
          </w:tcPr>
          <w:p w14:paraId="7B9B5C8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5)</w:t>
            </w:r>
          </w:p>
        </w:tc>
        <w:tc>
          <w:tcPr>
            <w:tcW w:w="670" w:type="dxa"/>
            <w:vAlign w:val="center"/>
          </w:tcPr>
          <w:p w14:paraId="123ADBC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5)</w:t>
            </w:r>
          </w:p>
        </w:tc>
      </w:tr>
      <w:tr w:rsidR="001F4995" w:rsidRPr="001F4995" w14:paraId="44B3603B" w14:textId="77777777" w:rsidTr="001F4995">
        <w:trPr>
          <w:trHeight w:val="208"/>
        </w:trPr>
        <w:tc>
          <w:tcPr>
            <w:tcW w:w="469" w:type="dxa"/>
            <w:shd w:val="clear" w:color="auto" w:fill="auto"/>
            <w:noWrap/>
          </w:tcPr>
          <w:p w14:paraId="194199F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17</w:t>
            </w:r>
          </w:p>
        </w:tc>
        <w:tc>
          <w:tcPr>
            <w:tcW w:w="4214" w:type="dxa"/>
            <w:shd w:val="clear" w:color="auto" w:fill="FFFFFF"/>
          </w:tcPr>
          <w:p w14:paraId="04BC44B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45A4EBD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2F9266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6)</w:t>
            </w:r>
          </w:p>
        </w:tc>
        <w:tc>
          <w:tcPr>
            <w:tcW w:w="1185" w:type="dxa"/>
            <w:noWrap/>
            <w:vAlign w:val="center"/>
          </w:tcPr>
          <w:p w14:paraId="0B43CC5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6)</w:t>
            </w:r>
          </w:p>
        </w:tc>
        <w:tc>
          <w:tcPr>
            <w:tcW w:w="567" w:type="dxa"/>
            <w:noWrap/>
            <w:vAlign w:val="center"/>
          </w:tcPr>
          <w:p w14:paraId="4303B81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0B94B6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F8F79F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E473C7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6)</w:t>
            </w:r>
          </w:p>
        </w:tc>
        <w:tc>
          <w:tcPr>
            <w:tcW w:w="542" w:type="dxa"/>
            <w:noWrap/>
            <w:vAlign w:val="center"/>
          </w:tcPr>
          <w:p w14:paraId="2DE6B17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6)</w:t>
            </w:r>
          </w:p>
        </w:tc>
        <w:tc>
          <w:tcPr>
            <w:tcW w:w="670" w:type="dxa"/>
            <w:vAlign w:val="center"/>
          </w:tcPr>
          <w:p w14:paraId="0631EF3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6)</w:t>
            </w:r>
          </w:p>
        </w:tc>
      </w:tr>
    </w:tbl>
    <w:p w14:paraId="307FA14F"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1) Asphalttragschicht (teilwasserdurchlässig) unter Pflasterdecken und Plattenbelägen ist nicht zulässig.</w:t>
      </w:r>
    </w:p>
    <w:p w14:paraId="2B5C206D"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2) Zulässig, wenn Arsen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20 µg/l,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55 µg/l und Fluorid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1,1 mg/l.</w:t>
      </w:r>
    </w:p>
    <w:p w14:paraId="0854CF71"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3) Zulässig, wenn Arsen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35 µg/l,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90 µg/l und Fluorid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1,1 mg/l.</w:t>
      </w:r>
    </w:p>
    <w:p w14:paraId="38A6CD5C"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4) Zulässig, wenn Arsen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55 µg/l,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180 µg/l und Fluorid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1,1 mg/l.</w:t>
      </w:r>
    </w:p>
    <w:p w14:paraId="72211BCF" w14:textId="77777777" w:rsidR="001F4995" w:rsidRPr="001F4995" w:rsidRDefault="001F4995" w:rsidP="001F4995">
      <w:pPr>
        <w:tabs>
          <w:tab w:val="left" w:pos="142"/>
        </w:tabs>
        <w:spacing w:before="0" w:after="0"/>
        <w:ind w:left="142" w:hanging="142"/>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5) </w:t>
      </w:r>
      <w:proofErr w:type="gramStart"/>
      <w:r w:rsidRPr="001F4995">
        <w:rPr>
          <w:rFonts w:ascii="Times New Roman" w:eastAsia="Times New Roman" w:hAnsi="Times New Roman" w:cs="Times New Roman"/>
          <w:sz w:val="16"/>
          <w:szCs w:val="16"/>
          <w:lang w:eastAsia="de-DE"/>
        </w:rPr>
        <w:t>Zulässig</w:t>
      </w:r>
      <w:proofErr w:type="gramEnd"/>
      <w:r w:rsidRPr="001F4995">
        <w:rPr>
          <w:rFonts w:ascii="Times New Roman" w:eastAsia="Times New Roman" w:hAnsi="Times New Roman" w:cs="Times New Roman"/>
          <w:sz w:val="16"/>
          <w:szCs w:val="16"/>
          <w:lang w:eastAsia="de-DE"/>
        </w:rPr>
        <w:t xml:space="preserve"> wenn „K“ und Fluorid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1,9 mg/l, oder wenn Arsen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40 µg/l,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120 µg/l und Fluorid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1,1 mg/l.</w:t>
      </w:r>
    </w:p>
    <w:p w14:paraId="7B34C8C9" w14:textId="77777777" w:rsidR="001F4995" w:rsidRPr="001F4995" w:rsidRDefault="001F4995" w:rsidP="001F4995">
      <w:pPr>
        <w:tabs>
          <w:tab w:val="left" w:pos="142"/>
        </w:tabs>
        <w:spacing w:before="0" w:after="0"/>
        <w:ind w:left="142" w:hanging="142"/>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6) </w:t>
      </w:r>
      <w:proofErr w:type="gramStart"/>
      <w:r w:rsidRPr="001F4995">
        <w:rPr>
          <w:rFonts w:ascii="Times New Roman" w:eastAsia="Times New Roman" w:hAnsi="Times New Roman" w:cs="Times New Roman"/>
          <w:sz w:val="16"/>
          <w:szCs w:val="16"/>
          <w:lang w:eastAsia="de-DE"/>
        </w:rPr>
        <w:t>Zulässig</w:t>
      </w:r>
      <w:proofErr w:type="gramEnd"/>
      <w:r w:rsidRPr="001F4995">
        <w:rPr>
          <w:rFonts w:ascii="Times New Roman" w:eastAsia="Times New Roman" w:hAnsi="Times New Roman" w:cs="Times New Roman"/>
          <w:sz w:val="16"/>
          <w:szCs w:val="16"/>
          <w:lang w:eastAsia="de-DE"/>
        </w:rPr>
        <w:t xml:space="preserve"> wenn „M“ und Fluorid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1,9 mg/l, oder wenn Arsen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40 µg/l, Vanadium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120 µg/l und Fluorid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1,1 mg/l.</w:t>
      </w:r>
    </w:p>
    <w:p w14:paraId="69D92A0D" w14:textId="4F2877FC" w:rsidR="001F4995" w:rsidRPr="001F4995" w:rsidRDefault="001F4995" w:rsidP="001F4995">
      <w:pPr>
        <w:pStyle w:val="berschrift1"/>
      </w:pPr>
      <w:r>
        <w:rPr>
          <w:rFonts w:ascii="Century" w:eastAsia="Times New Roman" w:hAnsi="Century" w:cs="Times New Roman"/>
          <w:sz w:val="24"/>
          <w:szCs w:val="20"/>
          <w:lang w:eastAsia="de-DE"/>
        </w:rPr>
        <w:br w:type="page"/>
      </w:r>
      <w:r w:rsidRPr="008D0377">
        <w:lastRenderedPageBreak/>
        <w:t>Tabelle 22: Schmelzkammergranulat aus der Feuerung von Steinkohle (SKG)</w:t>
      </w:r>
    </w:p>
    <w:p w14:paraId="4B2F2B7C" w14:textId="77777777" w:rsidR="001F4995" w:rsidRPr="001F4995" w:rsidRDefault="001F4995" w:rsidP="001F4995">
      <w:pPr>
        <w:keepNext/>
        <w:spacing w:before="0" w:after="200"/>
        <w:jc w:val="left"/>
        <w:rPr>
          <w:rFonts w:ascii="Times New Roman" w:eastAsia="Calibri" w:hAnsi="Times New Roman" w:cs="Times New Roman"/>
          <w:b/>
          <w:sz w:val="18"/>
          <w:szCs w:val="18"/>
        </w:rPr>
      </w:pPr>
    </w:p>
    <w:tbl>
      <w:tblPr>
        <w:tblW w:w="11002" w:type="dxa"/>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567"/>
        <w:gridCol w:w="715"/>
        <w:gridCol w:w="500"/>
        <w:gridCol w:w="715"/>
        <w:gridCol w:w="542"/>
        <w:gridCol w:w="715"/>
      </w:tblGrid>
      <w:tr w:rsidR="001F4995" w:rsidRPr="001F4995" w14:paraId="0F22F5BC" w14:textId="77777777" w:rsidTr="001F4995">
        <w:trPr>
          <w:trHeight w:val="330"/>
        </w:trPr>
        <w:tc>
          <w:tcPr>
            <w:tcW w:w="11002" w:type="dxa"/>
            <w:gridSpan w:val="11"/>
            <w:noWrap/>
            <w:vAlign w:val="bottom"/>
          </w:tcPr>
          <w:p w14:paraId="6BA40A10" w14:textId="77777777" w:rsidR="001F4995" w:rsidRPr="001F4995" w:rsidRDefault="001F4995" w:rsidP="001F4995">
            <w:pPr>
              <w:spacing w:before="0" w:after="0"/>
              <w:jc w:val="center"/>
              <w:rPr>
                <w:rFonts w:ascii="Times New Roman" w:eastAsia="Times New Roman" w:hAnsi="Times New Roman" w:cs="Times New Roman"/>
                <w:b/>
                <w:bCs/>
                <w:sz w:val="24"/>
                <w:szCs w:val="24"/>
                <w:lang w:eastAsia="de-DE"/>
              </w:rPr>
            </w:pP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bCs/>
                <w:sz w:val="24"/>
                <w:szCs w:val="24"/>
                <w:lang w:eastAsia="de-DE"/>
              </w:rPr>
              <w:t xml:space="preserve">Schmelzkammergranulat aus der Feuerung von Steinkohle (SKG) </w:t>
            </w:r>
          </w:p>
        </w:tc>
      </w:tr>
      <w:tr w:rsidR="001F4995" w:rsidRPr="001F4995" w14:paraId="14F57C19" w14:textId="77777777" w:rsidTr="001F4995">
        <w:trPr>
          <w:trHeight w:val="20"/>
        </w:trPr>
        <w:tc>
          <w:tcPr>
            <w:tcW w:w="4683" w:type="dxa"/>
            <w:gridSpan w:val="2"/>
            <w:vMerge w:val="restart"/>
            <w:shd w:val="clear" w:color="auto" w:fill="auto"/>
            <w:noWrap/>
          </w:tcPr>
          <w:p w14:paraId="4B39F2C1"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Einbauweise</w:t>
            </w:r>
          </w:p>
        </w:tc>
        <w:tc>
          <w:tcPr>
            <w:tcW w:w="6319" w:type="dxa"/>
            <w:gridSpan w:val="9"/>
            <w:shd w:val="clear" w:color="auto" w:fill="auto"/>
            <w:noWrap/>
            <w:vAlign w:val="center"/>
          </w:tcPr>
          <w:p w14:paraId="0922BE91"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Eigenschaft der Grundwasserdeckschicht</w:t>
            </w:r>
          </w:p>
        </w:tc>
      </w:tr>
      <w:tr w:rsidR="001F4995" w:rsidRPr="001F4995" w14:paraId="09088060" w14:textId="77777777" w:rsidTr="001F4995">
        <w:trPr>
          <w:trHeight w:val="20"/>
        </w:trPr>
        <w:tc>
          <w:tcPr>
            <w:tcW w:w="4683" w:type="dxa"/>
            <w:gridSpan w:val="2"/>
            <w:vMerge/>
            <w:shd w:val="clear" w:color="auto" w:fill="auto"/>
            <w:noWrap/>
            <w:vAlign w:val="center"/>
          </w:tcPr>
          <w:p w14:paraId="28A68022" w14:textId="77777777" w:rsidR="001F4995" w:rsidRPr="001F4995" w:rsidRDefault="001F4995" w:rsidP="001F4995">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168E62E8"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außerhalb von</w:t>
            </w:r>
          </w:p>
          <w:p w14:paraId="6F752DDA"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c>
          <w:tcPr>
            <w:tcW w:w="3619" w:type="dxa"/>
            <w:gridSpan w:val="6"/>
            <w:shd w:val="clear" w:color="auto" w:fill="auto"/>
            <w:noWrap/>
            <w:vAlign w:val="center"/>
          </w:tcPr>
          <w:p w14:paraId="7D6D00A6"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innerhalb von</w:t>
            </w:r>
          </w:p>
          <w:p w14:paraId="59BED544"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r>
      <w:tr w:rsidR="001F4995" w:rsidRPr="001F4995" w14:paraId="6BA840AD" w14:textId="77777777" w:rsidTr="001F4995">
        <w:trPr>
          <w:trHeight w:val="20"/>
        </w:trPr>
        <w:tc>
          <w:tcPr>
            <w:tcW w:w="4683" w:type="dxa"/>
            <w:gridSpan w:val="2"/>
            <w:vMerge/>
            <w:shd w:val="clear" w:color="auto" w:fill="auto"/>
            <w:noWrap/>
            <w:vAlign w:val="center"/>
          </w:tcPr>
          <w:p w14:paraId="2631A13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5902999D"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proofErr w:type="spellStart"/>
            <w:r w:rsidRPr="001F4995">
              <w:rPr>
                <w:rFonts w:ascii="Times New Roman" w:eastAsia="Times New Roman" w:hAnsi="Times New Roman" w:cs="Times New Roman"/>
                <w:sz w:val="20"/>
                <w:szCs w:val="20"/>
                <w:lang w:eastAsia="de-DE"/>
              </w:rPr>
              <w:t>un</w:t>
            </w:r>
            <w:proofErr w:type="spellEnd"/>
            <w:r w:rsidRPr="001F4995">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53CC05AF"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c>
          <w:tcPr>
            <w:tcW w:w="3619" w:type="dxa"/>
            <w:gridSpan w:val="6"/>
            <w:shd w:val="clear" w:color="auto" w:fill="auto"/>
            <w:noWrap/>
            <w:vAlign w:val="center"/>
          </w:tcPr>
          <w:p w14:paraId="5502E8C2"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r>
      <w:tr w:rsidR="001F4995" w:rsidRPr="001F4995" w14:paraId="5E63BAA6" w14:textId="77777777" w:rsidTr="001F4995">
        <w:trPr>
          <w:trHeight w:val="20"/>
        </w:trPr>
        <w:tc>
          <w:tcPr>
            <w:tcW w:w="4683" w:type="dxa"/>
            <w:gridSpan w:val="2"/>
            <w:vMerge/>
            <w:shd w:val="clear" w:color="auto" w:fill="auto"/>
            <w:noWrap/>
            <w:vAlign w:val="center"/>
          </w:tcPr>
          <w:p w14:paraId="30C623C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3C56AD8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644B1A8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3044D59A" w14:textId="25DBC7D0"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5BC34FC2" w14:textId="7B8D39EB"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6ED7A50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1237" w:type="dxa"/>
            <w:gridSpan w:val="2"/>
            <w:shd w:val="clear" w:color="auto" w:fill="auto"/>
            <w:noWrap/>
            <w:vAlign w:val="center"/>
          </w:tcPr>
          <w:p w14:paraId="61E22E4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3D15E05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B</w:t>
            </w:r>
          </w:p>
        </w:tc>
        <w:tc>
          <w:tcPr>
            <w:tcW w:w="1212" w:type="dxa"/>
            <w:gridSpan w:val="2"/>
            <w:shd w:val="clear" w:color="auto" w:fill="auto"/>
            <w:noWrap/>
            <w:vAlign w:val="center"/>
          </w:tcPr>
          <w:p w14:paraId="0B4B2F5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Wasservor-</w:t>
            </w:r>
          </w:p>
        </w:tc>
      </w:tr>
      <w:tr w:rsidR="001F4995" w:rsidRPr="001F4995" w14:paraId="1E7C396B" w14:textId="77777777" w:rsidTr="001F4995">
        <w:trPr>
          <w:trHeight w:val="80"/>
        </w:trPr>
        <w:tc>
          <w:tcPr>
            <w:tcW w:w="4683" w:type="dxa"/>
            <w:gridSpan w:val="2"/>
            <w:vMerge/>
            <w:shd w:val="clear" w:color="auto" w:fill="auto"/>
            <w:noWrap/>
            <w:vAlign w:val="center"/>
          </w:tcPr>
          <w:p w14:paraId="32FC6C4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18D321A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76BE1A0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75F9074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237" w:type="dxa"/>
            <w:gridSpan w:val="2"/>
            <w:shd w:val="clear" w:color="auto" w:fill="auto"/>
            <w:noWrap/>
            <w:vAlign w:val="center"/>
          </w:tcPr>
          <w:p w14:paraId="6D9A454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52609E1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IV</w:t>
            </w:r>
          </w:p>
        </w:tc>
        <w:tc>
          <w:tcPr>
            <w:tcW w:w="1212" w:type="dxa"/>
            <w:gridSpan w:val="2"/>
            <w:shd w:val="clear" w:color="auto" w:fill="auto"/>
            <w:noWrap/>
            <w:vAlign w:val="center"/>
          </w:tcPr>
          <w:p w14:paraId="5F9CD3F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ranggebiete</w:t>
            </w:r>
          </w:p>
        </w:tc>
      </w:tr>
      <w:tr w:rsidR="001F4995" w:rsidRPr="001F4995" w14:paraId="3754782E" w14:textId="77777777" w:rsidTr="001F4995">
        <w:trPr>
          <w:trHeight w:val="80"/>
        </w:trPr>
        <w:tc>
          <w:tcPr>
            <w:tcW w:w="4683" w:type="dxa"/>
            <w:gridSpan w:val="2"/>
            <w:vMerge/>
            <w:shd w:val="clear" w:color="auto" w:fill="auto"/>
            <w:noWrap/>
            <w:vAlign w:val="center"/>
          </w:tcPr>
          <w:p w14:paraId="1EB3886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68858D2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6685A71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306778C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567" w:type="dxa"/>
            <w:shd w:val="clear" w:color="auto" w:fill="auto"/>
            <w:noWrap/>
            <w:vAlign w:val="center"/>
          </w:tcPr>
          <w:p w14:paraId="0C91C50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4F3FBF95" w14:textId="73F3F7E2"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5BA59982" w14:textId="7179A1B1"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7AFEFD0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233D9F2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0E0E87A3" w14:textId="623D0899"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5E76391A" w14:textId="5A7FB4D1"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78797FD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6829924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1DDD725B" w14:textId="70488A98"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5378C840" w14:textId="29F9CCCD"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5BA72C1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r>
      <w:tr w:rsidR="001F4995" w:rsidRPr="001F4995" w14:paraId="3DED1DA9" w14:textId="77777777" w:rsidTr="001F4995">
        <w:trPr>
          <w:trHeight w:val="111"/>
        </w:trPr>
        <w:tc>
          <w:tcPr>
            <w:tcW w:w="4683" w:type="dxa"/>
            <w:gridSpan w:val="2"/>
            <w:vMerge/>
            <w:shd w:val="clear" w:color="auto" w:fill="auto"/>
            <w:noWrap/>
            <w:vAlign w:val="center"/>
          </w:tcPr>
          <w:p w14:paraId="3E934B2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33B7448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w:t>
            </w:r>
          </w:p>
        </w:tc>
        <w:tc>
          <w:tcPr>
            <w:tcW w:w="664" w:type="dxa"/>
            <w:shd w:val="clear" w:color="auto" w:fill="auto"/>
            <w:noWrap/>
            <w:vAlign w:val="center"/>
          </w:tcPr>
          <w:p w14:paraId="18CDBB3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2</w:t>
            </w:r>
          </w:p>
        </w:tc>
        <w:tc>
          <w:tcPr>
            <w:tcW w:w="1185" w:type="dxa"/>
            <w:shd w:val="clear" w:color="auto" w:fill="auto"/>
            <w:noWrap/>
            <w:vAlign w:val="center"/>
          </w:tcPr>
          <w:p w14:paraId="2793758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3</w:t>
            </w:r>
          </w:p>
        </w:tc>
        <w:tc>
          <w:tcPr>
            <w:tcW w:w="1237" w:type="dxa"/>
            <w:gridSpan w:val="2"/>
            <w:shd w:val="clear" w:color="auto" w:fill="auto"/>
            <w:noWrap/>
            <w:vAlign w:val="center"/>
          </w:tcPr>
          <w:p w14:paraId="5F10D2B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2370E7C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5</w:t>
            </w:r>
          </w:p>
        </w:tc>
        <w:tc>
          <w:tcPr>
            <w:tcW w:w="1212" w:type="dxa"/>
            <w:gridSpan w:val="2"/>
            <w:shd w:val="clear" w:color="auto" w:fill="auto"/>
            <w:noWrap/>
            <w:vAlign w:val="center"/>
          </w:tcPr>
          <w:p w14:paraId="3D77F48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6</w:t>
            </w:r>
          </w:p>
        </w:tc>
      </w:tr>
      <w:tr w:rsidR="001F4995" w:rsidRPr="001F4995" w14:paraId="4729FD5D" w14:textId="77777777" w:rsidTr="001F4995">
        <w:trPr>
          <w:trHeight w:val="20"/>
        </w:trPr>
        <w:tc>
          <w:tcPr>
            <w:tcW w:w="469" w:type="dxa"/>
            <w:shd w:val="clear" w:color="auto" w:fill="auto"/>
            <w:noWrap/>
          </w:tcPr>
          <w:p w14:paraId="4C97B9D4"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w:t>
            </w:r>
          </w:p>
        </w:tc>
        <w:tc>
          <w:tcPr>
            <w:tcW w:w="4214" w:type="dxa"/>
            <w:shd w:val="clear" w:color="auto" w:fill="FFFFFF"/>
          </w:tcPr>
          <w:p w14:paraId="73C0E74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4A74C8B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D45B49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62D7B4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shd w:val="clear" w:color="auto" w:fill="auto"/>
            <w:noWrap/>
            <w:vAlign w:val="center"/>
          </w:tcPr>
          <w:p w14:paraId="49DEAFF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F10EBC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4732C7E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22AC36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D9716E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85605D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C9B2A48" w14:textId="77777777" w:rsidTr="001F4995">
        <w:trPr>
          <w:trHeight w:val="20"/>
        </w:trPr>
        <w:tc>
          <w:tcPr>
            <w:tcW w:w="469" w:type="dxa"/>
            <w:shd w:val="clear" w:color="auto" w:fill="auto"/>
            <w:noWrap/>
          </w:tcPr>
          <w:p w14:paraId="30E9BBD7"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2</w:t>
            </w:r>
          </w:p>
        </w:tc>
        <w:tc>
          <w:tcPr>
            <w:tcW w:w="4214" w:type="dxa"/>
            <w:shd w:val="clear" w:color="auto" w:fill="FFFFFF"/>
          </w:tcPr>
          <w:p w14:paraId="11D805E5"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2766CD0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DD541A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944FDB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16C5F8A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3DFCCD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BC34A1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DFD843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51C4CB6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5BCF1F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81D5B3F" w14:textId="77777777" w:rsidTr="001F4995">
        <w:trPr>
          <w:trHeight w:val="20"/>
        </w:trPr>
        <w:tc>
          <w:tcPr>
            <w:tcW w:w="469" w:type="dxa"/>
            <w:shd w:val="clear" w:color="auto" w:fill="auto"/>
            <w:noWrap/>
          </w:tcPr>
          <w:p w14:paraId="27B1E3A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3</w:t>
            </w:r>
          </w:p>
        </w:tc>
        <w:tc>
          <w:tcPr>
            <w:tcW w:w="4214" w:type="dxa"/>
            <w:shd w:val="clear" w:color="auto" w:fill="FFFFFF"/>
          </w:tcPr>
          <w:p w14:paraId="6E781D5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1109927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7453B7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606582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6C71DFC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7A209D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E605A6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1788DA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8DE81D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B2867A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76BBBAB" w14:textId="77777777" w:rsidTr="001F4995">
        <w:trPr>
          <w:trHeight w:val="20"/>
        </w:trPr>
        <w:tc>
          <w:tcPr>
            <w:tcW w:w="469" w:type="dxa"/>
            <w:shd w:val="clear" w:color="auto" w:fill="auto"/>
            <w:noWrap/>
          </w:tcPr>
          <w:p w14:paraId="394230BE"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4</w:t>
            </w:r>
          </w:p>
        </w:tc>
        <w:tc>
          <w:tcPr>
            <w:tcW w:w="4214" w:type="dxa"/>
            <w:shd w:val="clear" w:color="auto" w:fill="FFFFFF"/>
          </w:tcPr>
          <w:p w14:paraId="3B54ACFC"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3A7D0FB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AD0ED5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C2D36B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1D98A8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480570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A96529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3EB88E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DEEFCA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45F4F2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2A1DDCA" w14:textId="77777777" w:rsidTr="001F4995">
        <w:trPr>
          <w:trHeight w:val="20"/>
        </w:trPr>
        <w:tc>
          <w:tcPr>
            <w:tcW w:w="469" w:type="dxa"/>
            <w:shd w:val="clear" w:color="auto" w:fill="auto"/>
            <w:noWrap/>
          </w:tcPr>
          <w:p w14:paraId="2B0B73A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5</w:t>
            </w:r>
          </w:p>
        </w:tc>
        <w:tc>
          <w:tcPr>
            <w:tcW w:w="4214" w:type="dxa"/>
            <w:shd w:val="clear" w:color="auto" w:fill="FFFFFF"/>
          </w:tcPr>
          <w:p w14:paraId="7161848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4526BA6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9C9456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978474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5654288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5A33E1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2921F6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ACA54B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F206B6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9C4815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1DC7342" w14:textId="77777777" w:rsidTr="001F4995">
        <w:trPr>
          <w:trHeight w:val="20"/>
        </w:trPr>
        <w:tc>
          <w:tcPr>
            <w:tcW w:w="469" w:type="dxa"/>
            <w:shd w:val="clear" w:color="auto" w:fill="auto"/>
            <w:noWrap/>
          </w:tcPr>
          <w:p w14:paraId="06C64E4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6</w:t>
            </w:r>
          </w:p>
        </w:tc>
        <w:tc>
          <w:tcPr>
            <w:tcW w:w="4214" w:type="dxa"/>
            <w:shd w:val="clear" w:color="auto" w:fill="FFFFFF"/>
          </w:tcPr>
          <w:p w14:paraId="00B6912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76EA587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750668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27B4A1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4ED68C3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7CE838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898EFE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E38D95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5F6F00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D639F2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8285FEA" w14:textId="77777777" w:rsidTr="001F4995">
        <w:trPr>
          <w:trHeight w:val="20"/>
        </w:trPr>
        <w:tc>
          <w:tcPr>
            <w:tcW w:w="469" w:type="dxa"/>
            <w:shd w:val="clear" w:color="auto" w:fill="auto"/>
            <w:noWrap/>
          </w:tcPr>
          <w:p w14:paraId="513E5C47"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7</w:t>
            </w:r>
          </w:p>
        </w:tc>
        <w:tc>
          <w:tcPr>
            <w:tcW w:w="4214" w:type="dxa"/>
            <w:shd w:val="clear" w:color="auto" w:fill="FFFFFF"/>
          </w:tcPr>
          <w:p w14:paraId="6066FD90"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Schottertragschicht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6A1A5B1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0269DF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487B1B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54B9021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892BD1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06D222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5C4033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BBD298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2EF0F3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48874CF" w14:textId="77777777" w:rsidTr="001F4995">
        <w:trPr>
          <w:trHeight w:val="20"/>
        </w:trPr>
        <w:tc>
          <w:tcPr>
            <w:tcW w:w="469" w:type="dxa"/>
            <w:shd w:val="clear" w:color="auto" w:fill="auto"/>
            <w:noWrap/>
          </w:tcPr>
          <w:p w14:paraId="1FF47C3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8</w:t>
            </w:r>
          </w:p>
        </w:tc>
        <w:tc>
          <w:tcPr>
            <w:tcW w:w="4214" w:type="dxa"/>
            <w:shd w:val="clear" w:color="auto" w:fill="FFFFFF"/>
          </w:tcPr>
          <w:p w14:paraId="014ED6A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Frostschutzschicht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488E6C4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ADC0FC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755DE2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0438FD2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954795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8C0C77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6B1028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FBB279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9EAECB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CBE3F44" w14:textId="77777777" w:rsidTr="001F4995">
        <w:trPr>
          <w:trHeight w:val="20"/>
        </w:trPr>
        <w:tc>
          <w:tcPr>
            <w:tcW w:w="469" w:type="dxa"/>
            <w:shd w:val="clear" w:color="auto" w:fill="auto"/>
            <w:noWrap/>
          </w:tcPr>
          <w:p w14:paraId="11F60FD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9</w:t>
            </w:r>
          </w:p>
        </w:tc>
        <w:tc>
          <w:tcPr>
            <w:tcW w:w="4214" w:type="dxa"/>
            <w:shd w:val="clear" w:color="auto" w:fill="FFFFFF"/>
          </w:tcPr>
          <w:p w14:paraId="27CAF23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Dämme oder Wälle gemäß Bauweisen A-D nach MTSE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2FBA0D0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F92AD7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915ABF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1F72CE4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25FCEA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087051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6DA9D2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1BCB55D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2A9877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58C9302" w14:textId="77777777" w:rsidTr="001F4995">
        <w:trPr>
          <w:trHeight w:val="20"/>
        </w:trPr>
        <w:tc>
          <w:tcPr>
            <w:tcW w:w="469" w:type="dxa"/>
            <w:shd w:val="clear" w:color="auto" w:fill="auto"/>
            <w:noWrap/>
          </w:tcPr>
          <w:p w14:paraId="498DCA2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10</w:t>
            </w:r>
          </w:p>
        </w:tc>
        <w:tc>
          <w:tcPr>
            <w:tcW w:w="4214" w:type="dxa"/>
            <w:shd w:val="clear" w:color="auto" w:fill="FFFFFF"/>
          </w:tcPr>
          <w:p w14:paraId="5F91FC35"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7E85719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064979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E19140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732196D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AA4E1E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27BBB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FC8A02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EB4430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47CDF3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B0AA765" w14:textId="77777777" w:rsidTr="001F4995">
        <w:trPr>
          <w:trHeight w:val="20"/>
        </w:trPr>
        <w:tc>
          <w:tcPr>
            <w:tcW w:w="469" w:type="dxa"/>
            <w:shd w:val="clear" w:color="auto" w:fill="auto"/>
            <w:noWrap/>
          </w:tcPr>
          <w:p w14:paraId="1CF06C8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11</w:t>
            </w:r>
          </w:p>
        </w:tc>
        <w:tc>
          <w:tcPr>
            <w:tcW w:w="4214" w:type="dxa"/>
            <w:shd w:val="clear" w:color="auto" w:fill="FFFFFF"/>
          </w:tcPr>
          <w:p w14:paraId="4E801E6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241A56F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1861E0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13A375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216A3E8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3ECA74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8DAA63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72747C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8F94ED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F51AA9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3EC5AE6" w14:textId="77777777" w:rsidTr="001F4995">
        <w:trPr>
          <w:trHeight w:val="20"/>
        </w:trPr>
        <w:tc>
          <w:tcPr>
            <w:tcW w:w="469" w:type="dxa"/>
            <w:shd w:val="clear" w:color="auto" w:fill="auto"/>
            <w:noWrap/>
          </w:tcPr>
          <w:p w14:paraId="22C4922E"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12</w:t>
            </w:r>
          </w:p>
        </w:tc>
        <w:tc>
          <w:tcPr>
            <w:tcW w:w="4214" w:type="dxa"/>
            <w:shd w:val="clear" w:color="auto" w:fill="FFFFFF"/>
          </w:tcPr>
          <w:p w14:paraId="6A28A2E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Deckschicht ohne Bindemittel</w:t>
            </w:r>
          </w:p>
        </w:tc>
        <w:tc>
          <w:tcPr>
            <w:tcW w:w="851" w:type="dxa"/>
            <w:noWrap/>
            <w:vAlign w:val="center"/>
          </w:tcPr>
          <w:p w14:paraId="33FF9BD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009777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639089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450A71B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CB9B84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BDE344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687ACF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2E03ED5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7B488A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936FBD5" w14:textId="77777777" w:rsidTr="001F4995">
        <w:trPr>
          <w:trHeight w:val="20"/>
        </w:trPr>
        <w:tc>
          <w:tcPr>
            <w:tcW w:w="469" w:type="dxa"/>
            <w:shd w:val="clear" w:color="auto" w:fill="auto"/>
            <w:noWrap/>
          </w:tcPr>
          <w:p w14:paraId="6D67DB4E"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13</w:t>
            </w:r>
          </w:p>
        </w:tc>
        <w:tc>
          <w:tcPr>
            <w:tcW w:w="4214" w:type="dxa"/>
            <w:shd w:val="clear" w:color="auto" w:fill="FFFFFF"/>
          </w:tcPr>
          <w:p w14:paraId="4455308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13347CB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FA277F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6E10AA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3261C2C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B79B1D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6A880B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95FA16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4C00F4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71845B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008EA15" w14:textId="77777777" w:rsidTr="001F4995">
        <w:trPr>
          <w:trHeight w:val="20"/>
        </w:trPr>
        <w:tc>
          <w:tcPr>
            <w:tcW w:w="469" w:type="dxa"/>
            <w:shd w:val="clear" w:color="auto" w:fill="auto"/>
            <w:noWrap/>
          </w:tcPr>
          <w:p w14:paraId="0D67F45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14</w:t>
            </w:r>
          </w:p>
        </w:tc>
        <w:tc>
          <w:tcPr>
            <w:tcW w:w="4214" w:type="dxa"/>
            <w:shd w:val="clear" w:color="auto" w:fill="FFFFFF"/>
          </w:tcPr>
          <w:p w14:paraId="681699C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Plattenbelägen</w:t>
            </w:r>
          </w:p>
        </w:tc>
        <w:tc>
          <w:tcPr>
            <w:tcW w:w="851" w:type="dxa"/>
            <w:noWrap/>
            <w:vAlign w:val="center"/>
          </w:tcPr>
          <w:p w14:paraId="461578A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0C1611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5B6E72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64CEB2A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8A8E20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1F3D7D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2AC673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5B016CF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0BE4FD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1212D3F" w14:textId="77777777" w:rsidTr="001F4995">
        <w:trPr>
          <w:trHeight w:val="20"/>
        </w:trPr>
        <w:tc>
          <w:tcPr>
            <w:tcW w:w="469" w:type="dxa"/>
            <w:shd w:val="clear" w:color="auto" w:fill="auto"/>
            <w:noWrap/>
          </w:tcPr>
          <w:p w14:paraId="7108E358"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15</w:t>
            </w:r>
          </w:p>
        </w:tc>
        <w:tc>
          <w:tcPr>
            <w:tcW w:w="4214" w:type="dxa"/>
            <w:shd w:val="clear" w:color="auto" w:fill="FFFFFF"/>
          </w:tcPr>
          <w:p w14:paraId="7D069E4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01F211D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EA2F9B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D52931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33E186E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E01834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B15B3C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A9DA3E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2CA5452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B5BF05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1A75119" w14:textId="77777777" w:rsidTr="001F4995">
        <w:trPr>
          <w:trHeight w:val="20"/>
        </w:trPr>
        <w:tc>
          <w:tcPr>
            <w:tcW w:w="469" w:type="dxa"/>
            <w:shd w:val="clear" w:color="auto" w:fill="auto"/>
            <w:noWrap/>
          </w:tcPr>
          <w:p w14:paraId="20D1C7B2"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16</w:t>
            </w:r>
          </w:p>
        </w:tc>
        <w:tc>
          <w:tcPr>
            <w:tcW w:w="4214" w:type="dxa"/>
            <w:shd w:val="clear" w:color="auto" w:fill="FFFFFF"/>
          </w:tcPr>
          <w:p w14:paraId="2AE6AA3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6E1DD74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9D9897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97AF0F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7C7A4A8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A8A1C5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F6E4D3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593EF9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75B8D2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E4329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9A994F8" w14:textId="77777777" w:rsidTr="001F4995">
        <w:trPr>
          <w:trHeight w:val="208"/>
        </w:trPr>
        <w:tc>
          <w:tcPr>
            <w:tcW w:w="469" w:type="dxa"/>
            <w:shd w:val="clear" w:color="auto" w:fill="auto"/>
            <w:noWrap/>
          </w:tcPr>
          <w:p w14:paraId="4ADF0BB1"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17</w:t>
            </w:r>
          </w:p>
        </w:tc>
        <w:tc>
          <w:tcPr>
            <w:tcW w:w="4214" w:type="dxa"/>
            <w:shd w:val="clear" w:color="auto" w:fill="FFFFFF"/>
          </w:tcPr>
          <w:p w14:paraId="69D0567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789148C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8A0D8D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DAADFD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2F5AC03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78D71F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8593AF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236E3D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ECFF3C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AC8852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bl>
    <w:p w14:paraId="5B0C2674" w14:textId="5E8FF010" w:rsidR="001F4995" w:rsidRPr="008D0377" w:rsidRDefault="001F4995" w:rsidP="001F4995">
      <w:pPr>
        <w:pStyle w:val="berschrift1"/>
      </w:pPr>
      <w:r>
        <w:rPr>
          <w:lang w:eastAsia="de-DE"/>
        </w:rPr>
        <w:br w:type="page"/>
      </w:r>
      <w:r w:rsidRPr="008D0377">
        <w:lastRenderedPageBreak/>
        <w:t>Tabelle 23: Steinkohlenkesselasche (SKA</w:t>
      </w:r>
    </w:p>
    <w:p w14:paraId="7C2C25A0" w14:textId="77777777" w:rsidR="001F4995" w:rsidRPr="001F4995" w:rsidRDefault="001F4995" w:rsidP="001F4995">
      <w:pPr>
        <w:pStyle w:val="Text"/>
      </w:pPr>
    </w:p>
    <w:tbl>
      <w:tblPr>
        <w:tblW w:w="11439" w:type="dxa"/>
        <w:tblInd w:w="-1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700"/>
        <w:gridCol w:w="1185"/>
        <w:gridCol w:w="780"/>
        <w:gridCol w:w="715"/>
        <w:gridCol w:w="500"/>
        <w:gridCol w:w="715"/>
        <w:gridCol w:w="700"/>
        <w:gridCol w:w="715"/>
      </w:tblGrid>
      <w:tr w:rsidR="001F4995" w:rsidRPr="001F4995" w14:paraId="248A53AE" w14:textId="77777777" w:rsidTr="001F4995">
        <w:trPr>
          <w:trHeight w:val="330"/>
        </w:trPr>
        <w:tc>
          <w:tcPr>
            <w:tcW w:w="11439" w:type="dxa"/>
            <w:gridSpan w:val="11"/>
            <w:noWrap/>
            <w:vAlign w:val="bottom"/>
          </w:tcPr>
          <w:p w14:paraId="44AC6422"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t>Steinkohlenkesselasche (SKA)</w:t>
            </w:r>
          </w:p>
        </w:tc>
      </w:tr>
      <w:tr w:rsidR="001F4995" w:rsidRPr="001F4995" w14:paraId="0BC2470F" w14:textId="77777777" w:rsidTr="001F4995">
        <w:trPr>
          <w:trHeight w:val="20"/>
        </w:trPr>
        <w:tc>
          <w:tcPr>
            <w:tcW w:w="4683" w:type="dxa"/>
            <w:gridSpan w:val="2"/>
            <w:vMerge w:val="restart"/>
            <w:shd w:val="clear" w:color="auto" w:fill="auto"/>
            <w:noWrap/>
          </w:tcPr>
          <w:p w14:paraId="69B90031"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Einbauweise</w:t>
            </w:r>
          </w:p>
        </w:tc>
        <w:tc>
          <w:tcPr>
            <w:tcW w:w="6756" w:type="dxa"/>
            <w:gridSpan w:val="9"/>
            <w:shd w:val="clear" w:color="auto" w:fill="auto"/>
            <w:noWrap/>
            <w:vAlign w:val="center"/>
          </w:tcPr>
          <w:p w14:paraId="79494AAA"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Eigenschaft der Grundwasserdeckschicht</w:t>
            </w:r>
          </w:p>
        </w:tc>
      </w:tr>
      <w:tr w:rsidR="001F4995" w:rsidRPr="001F4995" w14:paraId="67B6782C" w14:textId="77777777" w:rsidTr="001F4995">
        <w:trPr>
          <w:trHeight w:val="20"/>
        </w:trPr>
        <w:tc>
          <w:tcPr>
            <w:tcW w:w="4683" w:type="dxa"/>
            <w:gridSpan w:val="2"/>
            <w:vMerge/>
            <w:shd w:val="clear" w:color="auto" w:fill="auto"/>
            <w:noWrap/>
            <w:vAlign w:val="center"/>
          </w:tcPr>
          <w:p w14:paraId="372CC21F" w14:textId="77777777" w:rsidR="001F4995" w:rsidRPr="001F4995" w:rsidRDefault="001F4995" w:rsidP="001F4995">
            <w:pPr>
              <w:spacing w:before="0" w:after="0"/>
              <w:jc w:val="center"/>
              <w:rPr>
                <w:rFonts w:ascii="Times New Roman" w:eastAsia="Times New Roman" w:hAnsi="Times New Roman" w:cs="Times New Roman"/>
                <w:sz w:val="20"/>
                <w:szCs w:val="24"/>
                <w:lang w:eastAsia="de-DE"/>
              </w:rPr>
            </w:pPr>
          </w:p>
        </w:tc>
        <w:tc>
          <w:tcPr>
            <w:tcW w:w="2736" w:type="dxa"/>
            <w:gridSpan w:val="3"/>
            <w:shd w:val="clear" w:color="auto" w:fill="auto"/>
            <w:noWrap/>
            <w:vAlign w:val="center"/>
          </w:tcPr>
          <w:p w14:paraId="4B1FF787"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außerhalb von</w:t>
            </w:r>
          </w:p>
          <w:p w14:paraId="2467CED6"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c>
          <w:tcPr>
            <w:tcW w:w="4020" w:type="dxa"/>
            <w:gridSpan w:val="6"/>
            <w:shd w:val="clear" w:color="auto" w:fill="auto"/>
            <w:noWrap/>
            <w:vAlign w:val="center"/>
          </w:tcPr>
          <w:p w14:paraId="3D76A496"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innerhalb von</w:t>
            </w:r>
          </w:p>
          <w:p w14:paraId="0B94D4DA"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r>
      <w:tr w:rsidR="001F4995" w:rsidRPr="001F4995" w14:paraId="3938A08A" w14:textId="77777777" w:rsidTr="001F4995">
        <w:trPr>
          <w:trHeight w:val="20"/>
        </w:trPr>
        <w:tc>
          <w:tcPr>
            <w:tcW w:w="4683" w:type="dxa"/>
            <w:gridSpan w:val="2"/>
            <w:vMerge/>
            <w:shd w:val="clear" w:color="auto" w:fill="auto"/>
            <w:noWrap/>
            <w:vAlign w:val="center"/>
          </w:tcPr>
          <w:p w14:paraId="5E2D2D0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0625B88B"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proofErr w:type="spellStart"/>
            <w:r w:rsidRPr="001F4995">
              <w:rPr>
                <w:rFonts w:ascii="Times New Roman" w:eastAsia="Times New Roman" w:hAnsi="Times New Roman" w:cs="Times New Roman"/>
                <w:sz w:val="20"/>
                <w:szCs w:val="20"/>
                <w:lang w:eastAsia="de-DE"/>
              </w:rPr>
              <w:t>un</w:t>
            </w:r>
            <w:proofErr w:type="spellEnd"/>
            <w:r w:rsidRPr="001F4995">
              <w:rPr>
                <w:rFonts w:ascii="Times New Roman" w:eastAsia="Times New Roman" w:hAnsi="Times New Roman" w:cs="Times New Roman"/>
                <w:sz w:val="20"/>
                <w:szCs w:val="20"/>
                <w:lang w:eastAsia="de-DE"/>
              </w:rPr>
              <w:t>-günstig</w:t>
            </w:r>
          </w:p>
        </w:tc>
        <w:tc>
          <w:tcPr>
            <w:tcW w:w="1885" w:type="dxa"/>
            <w:gridSpan w:val="2"/>
            <w:shd w:val="clear" w:color="auto" w:fill="auto"/>
            <w:noWrap/>
            <w:vAlign w:val="center"/>
          </w:tcPr>
          <w:p w14:paraId="70257327"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c>
          <w:tcPr>
            <w:tcW w:w="4020" w:type="dxa"/>
            <w:gridSpan w:val="6"/>
            <w:shd w:val="clear" w:color="auto" w:fill="auto"/>
            <w:noWrap/>
            <w:vAlign w:val="center"/>
          </w:tcPr>
          <w:p w14:paraId="67BF8405"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r>
      <w:tr w:rsidR="001F4995" w:rsidRPr="001F4995" w14:paraId="4D977A4A" w14:textId="77777777" w:rsidTr="001F4995">
        <w:trPr>
          <w:trHeight w:val="20"/>
        </w:trPr>
        <w:tc>
          <w:tcPr>
            <w:tcW w:w="4683" w:type="dxa"/>
            <w:gridSpan w:val="2"/>
            <w:vMerge/>
            <w:shd w:val="clear" w:color="auto" w:fill="auto"/>
            <w:noWrap/>
            <w:vAlign w:val="center"/>
          </w:tcPr>
          <w:p w14:paraId="4C73971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09790A3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700" w:type="dxa"/>
            <w:vMerge w:val="restart"/>
            <w:shd w:val="clear" w:color="auto" w:fill="auto"/>
            <w:noWrap/>
            <w:vAlign w:val="center"/>
          </w:tcPr>
          <w:p w14:paraId="038A32F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67D28DD7" w14:textId="6F329762"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139855F6" w14:textId="02E66C50"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5626849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1450" w:type="dxa"/>
            <w:gridSpan w:val="2"/>
            <w:shd w:val="clear" w:color="auto" w:fill="auto"/>
            <w:noWrap/>
            <w:vAlign w:val="center"/>
          </w:tcPr>
          <w:p w14:paraId="1EB8DCD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34FBD02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B</w:t>
            </w:r>
          </w:p>
        </w:tc>
        <w:tc>
          <w:tcPr>
            <w:tcW w:w="1400" w:type="dxa"/>
            <w:gridSpan w:val="2"/>
            <w:shd w:val="clear" w:color="auto" w:fill="auto"/>
            <w:noWrap/>
            <w:vAlign w:val="center"/>
          </w:tcPr>
          <w:p w14:paraId="3B6C878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Wasservor-</w:t>
            </w:r>
          </w:p>
        </w:tc>
      </w:tr>
      <w:tr w:rsidR="001F4995" w:rsidRPr="001F4995" w14:paraId="373A944D" w14:textId="77777777" w:rsidTr="001F4995">
        <w:trPr>
          <w:trHeight w:val="80"/>
        </w:trPr>
        <w:tc>
          <w:tcPr>
            <w:tcW w:w="4683" w:type="dxa"/>
            <w:gridSpan w:val="2"/>
            <w:vMerge/>
            <w:shd w:val="clear" w:color="auto" w:fill="auto"/>
            <w:noWrap/>
            <w:vAlign w:val="center"/>
          </w:tcPr>
          <w:p w14:paraId="473B509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498F4CF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700" w:type="dxa"/>
            <w:vMerge/>
            <w:shd w:val="clear" w:color="auto" w:fill="auto"/>
            <w:noWrap/>
            <w:vAlign w:val="center"/>
          </w:tcPr>
          <w:p w14:paraId="19880AE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131706B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450" w:type="dxa"/>
            <w:gridSpan w:val="2"/>
            <w:shd w:val="clear" w:color="auto" w:fill="auto"/>
            <w:noWrap/>
            <w:vAlign w:val="center"/>
          </w:tcPr>
          <w:p w14:paraId="7569D9F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78DCEFF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IV</w:t>
            </w:r>
          </w:p>
        </w:tc>
        <w:tc>
          <w:tcPr>
            <w:tcW w:w="1400" w:type="dxa"/>
            <w:gridSpan w:val="2"/>
            <w:shd w:val="clear" w:color="auto" w:fill="auto"/>
            <w:noWrap/>
            <w:vAlign w:val="center"/>
          </w:tcPr>
          <w:p w14:paraId="4EEEB8F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ranggebiete</w:t>
            </w:r>
          </w:p>
        </w:tc>
      </w:tr>
      <w:tr w:rsidR="001F4995" w:rsidRPr="001F4995" w14:paraId="3A32D3D7" w14:textId="77777777" w:rsidTr="001F4995">
        <w:trPr>
          <w:trHeight w:val="80"/>
        </w:trPr>
        <w:tc>
          <w:tcPr>
            <w:tcW w:w="4683" w:type="dxa"/>
            <w:gridSpan w:val="2"/>
            <w:vMerge/>
            <w:shd w:val="clear" w:color="auto" w:fill="auto"/>
            <w:noWrap/>
            <w:vAlign w:val="center"/>
          </w:tcPr>
          <w:p w14:paraId="5D582D2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1AC83F0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700" w:type="dxa"/>
            <w:vMerge/>
            <w:shd w:val="clear" w:color="auto" w:fill="auto"/>
            <w:noWrap/>
            <w:vAlign w:val="center"/>
          </w:tcPr>
          <w:p w14:paraId="0F27BD6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029AC11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780" w:type="dxa"/>
            <w:shd w:val="clear" w:color="auto" w:fill="auto"/>
            <w:noWrap/>
            <w:vAlign w:val="center"/>
          </w:tcPr>
          <w:p w14:paraId="05ED3AB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78F21EEC" w14:textId="5CD5E724"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7B994D84" w14:textId="1511451F"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433FB35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7DD1051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56BC8145" w14:textId="5295761A"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18B8061E" w14:textId="4AE093FE"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66CF5C6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700" w:type="dxa"/>
            <w:shd w:val="clear" w:color="auto" w:fill="auto"/>
            <w:noWrap/>
            <w:vAlign w:val="center"/>
          </w:tcPr>
          <w:p w14:paraId="3C18BB6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700" w:type="dxa"/>
            <w:shd w:val="clear" w:color="auto" w:fill="auto"/>
            <w:vAlign w:val="center"/>
          </w:tcPr>
          <w:p w14:paraId="1BDA2C0C" w14:textId="249A5B3B"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1BD882BB" w14:textId="50AAA5BF"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5C1C068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r>
      <w:tr w:rsidR="001F4995" w:rsidRPr="001F4995" w14:paraId="5D7E342C" w14:textId="77777777" w:rsidTr="001F4995">
        <w:trPr>
          <w:trHeight w:val="111"/>
        </w:trPr>
        <w:tc>
          <w:tcPr>
            <w:tcW w:w="4683" w:type="dxa"/>
            <w:gridSpan w:val="2"/>
            <w:vMerge/>
            <w:shd w:val="clear" w:color="auto" w:fill="auto"/>
            <w:noWrap/>
            <w:vAlign w:val="center"/>
          </w:tcPr>
          <w:p w14:paraId="4AF5A96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4D71E85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w:t>
            </w:r>
          </w:p>
        </w:tc>
        <w:tc>
          <w:tcPr>
            <w:tcW w:w="700" w:type="dxa"/>
            <w:shd w:val="clear" w:color="auto" w:fill="auto"/>
            <w:noWrap/>
            <w:vAlign w:val="center"/>
          </w:tcPr>
          <w:p w14:paraId="25EBCD8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2</w:t>
            </w:r>
          </w:p>
        </w:tc>
        <w:tc>
          <w:tcPr>
            <w:tcW w:w="1185" w:type="dxa"/>
            <w:shd w:val="clear" w:color="auto" w:fill="auto"/>
            <w:noWrap/>
            <w:vAlign w:val="center"/>
          </w:tcPr>
          <w:p w14:paraId="62380E5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3</w:t>
            </w:r>
          </w:p>
        </w:tc>
        <w:tc>
          <w:tcPr>
            <w:tcW w:w="1450" w:type="dxa"/>
            <w:gridSpan w:val="2"/>
            <w:shd w:val="clear" w:color="auto" w:fill="auto"/>
            <w:noWrap/>
            <w:vAlign w:val="center"/>
          </w:tcPr>
          <w:p w14:paraId="1B8B84E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5275CB6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5</w:t>
            </w:r>
          </w:p>
        </w:tc>
        <w:tc>
          <w:tcPr>
            <w:tcW w:w="1400" w:type="dxa"/>
            <w:gridSpan w:val="2"/>
            <w:shd w:val="clear" w:color="auto" w:fill="auto"/>
            <w:noWrap/>
            <w:vAlign w:val="center"/>
          </w:tcPr>
          <w:p w14:paraId="0C0957E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6</w:t>
            </w:r>
          </w:p>
        </w:tc>
      </w:tr>
      <w:tr w:rsidR="001F4995" w:rsidRPr="001F4995" w14:paraId="474032B9" w14:textId="77777777" w:rsidTr="001F4995">
        <w:trPr>
          <w:trHeight w:val="20"/>
        </w:trPr>
        <w:tc>
          <w:tcPr>
            <w:tcW w:w="469" w:type="dxa"/>
            <w:shd w:val="clear" w:color="auto" w:fill="auto"/>
            <w:noWrap/>
          </w:tcPr>
          <w:p w14:paraId="4DA47478"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w:t>
            </w:r>
          </w:p>
        </w:tc>
        <w:tc>
          <w:tcPr>
            <w:tcW w:w="4214" w:type="dxa"/>
            <w:shd w:val="clear" w:color="auto" w:fill="FFFFFF"/>
          </w:tcPr>
          <w:p w14:paraId="3914FC6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7524E3D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noWrap/>
            <w:vAlign w:val="center"/>
          </w:tcPr>
          <w:p w14:paraId="2344E3A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4DE5AF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015421F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3A742E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2BEEA7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135CC4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noWrap/>
            <w:vAlign w:val="center"/>
          </w:tcPr>
          <w:p w14:paraId="47EBB23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vAlign w:val="center"/>
          </w:tcPr>
          <w:p w14:paraId="3820393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6E57F94" w14:textId="77777777" w:rsidTr="001F4995">
        <w:trPr>
          <w:trHeight w:val="20"/>
        </w:trPr>
        <w:tc>
          <w:tcPr>
            <w:tcW w:w="469" w:type="dxa"/>
            <w:shd w:val="clear" w:color="auto" w:fill="auto"/>
            <w:noWrap/>
          </w:tcPr>
          <w:p w14:paraId="04E6B61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2</w:t>
            </w:r>
          </w:p>
        </w:tc>
        <w:tc>
          <w:tcPr>
            <w:tcW w:w="4214" w:type="dxa"/>
            <w:shd w:val="clear" w:color="auto" w:fill="FFFFFF"/>
          </w:tcPr>
          <w:p w14:paraId="21E3F310"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40F05F7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noWrap/>
            <w:vAlign w:val="center"/>
          </w:tcPr>
          <w:p w14:paraId="608B29F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5D63C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16CF7AD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0A7700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282918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6164DC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noWrap/>
            <w:vAlign w:val="center"/>
          </w:tcPr>
          <w:p w14:paraId="20B27B5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vAlign w:val="center"/>
          </w:tcPr>
          <w:p w14:paraId="7A31E32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97C4CBB" w14:textId="77777777" w:rsidTr="001F4995">
        <w:trPr>
          <w:trHeight w:val="20"/>
        </w:trPr>
        <w:tc>
          <w:tcPr>
            <w:tcW w:w="469" w:type="dxa"/>
            <w:shd w:val="clear" w:color="auto" w:fill="auto"/>
            <w:noWrap/>
          </w:tcPr>
          <w:p w14:paraId="0D5C3433"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3</w:t>
            </w:r>
          </w:p>
        </w:tc>
        <w:tc>
          <w:tcPr>
            <w:tcW w:w="4214" w:type="dxa"/>
            <w:shd w:val="clear" w:color="auto" w:fill="FFFFFF"/>
          </w:tcPr>
          <w:p w14:paraId="254B3D6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5280619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noWrap/>
            <w:vAlign w:val="center"/>
          </w:tcPr>
          <w:p w14:paraId="222C429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703237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6E74AE8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D58352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BFBF75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C4D1DE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noWrap/>
            <w:vAlign w:val="center"/>
          </w:tcPr>
          <w:p w14:paraId="1580D11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vAlign w:val="center"/>
          </w:tcPr>
          <w:p w14:paraId="09E2B66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972B13E" w14:textId="77777777" w:rsidTr="001F4995">
        <w:trPr>
          <w:trHeight w:val="20"/>
        </w:trPr>
        <w:tc>
          <w:tcPr>
            <w:tcW w:w="469" w:type="dxa"/>
            <w:shd w:val="clear" w:color="auto" w:fill="auto"/>
            <w:noWrap/>
          </w:tcPr>
          <w:p w14:paraId="10988E6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4</w:t>
            </w:r>
          </w:p>
        </w:tc>
        <w:tc>
          <w:tcPr>
            <w:tcW w:w="4214" w:type="dxa"/>
            <w:shd w:val="clear" w:color="auto" w:fill="FFFFFF"/>
          </w:tcPr>
          <w:p w14:paraId="479CEC6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6A25E81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noWrap/>
            <w:vAlign w:val="center"/>
          </w:tcPr>
          <w:p w14:paraId="4B4658F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4CF803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0777070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C54E50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FE3A08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A912FA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noWrap/>
            <w:vAlign w:val="center"/>
          </w:tcPr>
          <w:p w14:paraId="6EDF169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vAlign w:val="center"/>
          </w:tcPr>
          <w:p w14:paraId="7F72FD7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F8351F4" w14:textId="77777777" w:rsidTr="001F4995">
        <w:trPr>
          <w:trHeight w:val="20"/>
        </w:trPr>
        <w:tc>
          <w:tcPr>
            <w:tcW w:w="469" w:type="dxa"/>
            <w:shd w:val="clear" w:color="auto" w:fill="auto"/>
            <w:noWrap/>
          </w:tcPr>
          <w:p w14:paraId="400690D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5</w:t>
            </w:r>
          </w:p>
        </w:tc>
        <w:tc>
          <w:tcPr>
            <w:tcW w:w="4214" w:type="dxa"/>
            <w:shd w:val="clear" w:color="auto" w:fill="FFFFFF"/>
          </w:tcPr>
          <w:p w14:paraId="56EF183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Asphalttragschicht</w:t>
            </w:r>
            <w:r w:rsidRPr="001F4995">
              <w:rPr>
                <w:rFonts w:ascii="Times New Roman" w:eastAsia="Times New Roman" w:hAnsi="Times New Roman" w:cs="Times New Roman"/>
                <w:sz w:val="18"/>
                <w:szCs w:val="18"/>
                <w:vertAlign w:val="superscript"/>
                <w:lang w:eastAsia="de-DE"/>
              </w:rPr>
              <w:t>1)</w:t>
            </w:r>
            <w:r w:rsidRPr="001F4995">
              <w:rPr>
                <w:rFonts w:ascii="Times New Roman" w:eastAsia="Times New Roman" w:hAnsi="Times New Roman" w:cs="Times New Roman"/>
                <w:sz w:val="18"/>
                <w:szCs w:val="18"/>
                <w:lang w:eastAsia="de-DE"/>
              </w:rPr>
              <w:t xml:space="preserve"> (teilwasserdurchlässig) unter Pflasterdecken und Plattenbelägen, Tragschicht hydraulisch gebunden (Dränbeton) unter Pflaster und Platten</w:t>
            </w:r>
          </w:p>
        </w:tc>
        <w:tc>
          <w:tcPr>
            <w:tcW w:w="851" w:type="dxa"/>
            <w:noWrap/>
            <w:vAlign w:val="center"/>
          </w:tcPr>
          <w:p w14:paraId="2D80D1D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noWrap/>
            <w:vAlign w:val="center"/>
          </w:tcPr>
          <w:p w14:paraId="41FF197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280ED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572FD02D"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0522E2E"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BC280C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FD2A1D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noWrap/>
            <w:vAlign w:val="center"/>
          </w:tcPr>
          <w:p w14:paraId="4E9694C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vAlign w:val="center"/>
          </w:tcPr>
          <w:p w14:paraId="01D5BB6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160C1E2" w14:textId="77777777" w:rsidTr="001F4995">
        <w:trPr>
          <w:trHeight w:val="20"/>
        </w:trPr>
        <w:tc>
          <w:tcPr>
            <w:tcW w:w="469" w:type="dxa"/>
            <w:shd w:val="clear" w:color="auto" w:fill="auto"/>
            <w:noWrap/>
          </w:tcPr>
          <w:p w14:paraId="6BEC014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6</w:t>
            </w:r>
          </w:p>
        </w:tc>
        <w:tc>
          <w:tcPr>
            <w:tcW w:w="4214" w:type="dxa"/>
            <w:shd w:val="clear" w:color="auto" w:fill="FFFFFF"/>
          </w:tcPr>
          <w:p w14:paraId="57FA6A3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3CC8D2C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noWrap/>
            <w:vAlign w:val="center"/>
          </w:tcPr>
          <w:p w14:paraId="7F4C367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9D1BF2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6E9F323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C56CCF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901D6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69A63C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noWrap/>
            <w:vAlign w:val="center"/>
          </w:tcPr>
          <w:p w14:paraId="5BF33D1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vAlign w:val="center"/>
          </w:tcPr>
          <w:p w14:paraId="1D7C374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4F04F1D" w14:textId="77777777" w:rsidTr="001F4995">
        <w:trPr>
          <w:trHeight w:val="20"/>
        </w:trPr>
        <w:tc>
          <w:tcPr>
            <w:tcW w:w="469" w:type="dxa"/>
            <w:shd w:val="clear" w:color="auto" w:fill="auto"/>
            <w:noWrap/>
          </w:tcPr>
          <w:p w14:paraId="37FACBF3"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7</w:t>
            </w:r>
          </w:p>
        </w:tc>
        <w:tc>
          <w:tcPr>
            <w:tcW w:w="4214" w:type="dxa"/>
            <w:shd w:val="clear" w:color="auto" w:fill="FFFFFF"/>
          </w:tcPr>
          <w:p w14:paraId="2B6F02B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Schottertragschicht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5CC9083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noWrap/>
            <w:vAlign w:val="center"/>
          </w:tcPr>
          <w:p w14:paraId="274D13F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3042A2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61D2B75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BD0913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B60F56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1B3504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noWrap/>
            <w:vAlign w:val="center"/>
          </w:tcPr>
          <w:p w14:paraId="271A8D4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vAlign w:val="center"/>
          </w:tcPr>
          <w:p w14:paraId="40ABABF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65491BC" w14:textId="77777777" w:rsidTr="001F4995">
        <w:trPr>
          <w:trHeight w:val="20"/>
        </w:trPr>
        <w:tc>
          <w:tcPr>
            <w:tcW w:w="469" w:type="dxa"/>
            <w:shd w:val="clear" w:color="auto" w:fill="auto"/>
            <w:noWrap/>
          </w:tcPr>
          <w:p w14:paraId="6217CA19"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8</w:t>
            </w:r>
          </w:p>
        </w:tc>
        <w:tc>
          <w:tcPr>
            <w:tcW w:w="4214" w:type="dxa"/>
            <w:shd w:val="clear" w:color="auto" w:fill="FFFFFF"/>
          </w:tcPr>
          <w:p w14:paraId="45B1149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Frostschutzschicht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3570F50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noWrap/>
            <w:vAlign w:val="center"/>
          </w:tcPr>
          <w:p w14:paraId="4975ACA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26DF7C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0FC6ACF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3E5366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B64BE4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02E4476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noWrap/>
            <w:vAlign w:val="center"/>
          </w:tcPr>
          <w:p w14:paraId="0A93978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vAlign w:val="center"/>
          </w:tcPr>
          <w:p w14:paraId="5B27F0F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3E30E45" w14:textId="77777777" w:rsidTr="001F4995">
        <w:trPr>
          <w:trHeight w:val="20"/>
        </w:trPr>
        <w:tc>
          <w:tcPr>
            <w:tcW w:w="469" w:type="dxa"/>
            <w:shd w:val="clear" w:color="auto" w:fill="auto"/>
            <w:noWrap/>
          </w:tcPr>
          <w:p w14:paraId="1567AB9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9</w:t>
            </w:r>
          </w:p>
        </w:tc>
        <w:tc>
          <w:tcPr>
            <w:tcW w:w="4214" w:type="dxa"/>
            <w:shd w:val="clear" w:color="auto" w:fill="FFFFFF"/>
          </w:tcPr>
          <w:p w14:paraId="452DC473"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Dämme oder Wälle gemäß Bauweisen A-D nach MTSE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07D6436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noWrap/>
            <w:vAlign w:val="center"/>
          </w:tcPr>
          <w:p w14:paraId="41E46EC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37BAB0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6A5C1ADB"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A7F272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B0D52E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932B5B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noWrap/>
            <w:vAlign w:val="center"/>
          </w:tcPr>
          <w:p w14:paraId="697338F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vAlign w:val="center"/>
          </w:tcPr>
          <w:p w14:paraId="045CB6F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F9B9AB7" w14:textId="77777777" w:rsidTr="001F4995">
        <w:trPr>
          <w:trHeight w:val="20"/>
        </w:trPr>
        <w:tc>
          <w:tcPr>
            <w:tcW w:w="469" w:type="dxa"/>
            <w:shd w:val="clear" w:color="auto" w:fill="auto"/>
            <w:noWrap/>
          </w:tcPr>
          <w:p w14:paraId="68A75B4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10</w:t>
            </w:r>
          </w:p>
        </w:tc>
        <w:tc>
          <w:tcPr>
            <w:tcW w:w="4214" w:type="dxa"/>
            <w:shd w:val="clear" w:color="auto" w:fill="FFFFFF"/>
          </w:tcPr>
          <w:p w14:paraId="7765E0D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1A6FE32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noWrap/>
            <w:vAlign w:val="center"/>
          </w:tcPr>
          <w:p w14:paraId="516A7F5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DA36E6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01CFBB7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958824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38BA04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E90F8F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noWrap/>
            <w:vAlign w:val="center"/>
          </w:tcPr>
          <w:p w14:paraId="2AAC240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auto"/>
            <w:vAlign w:val="center"/>
          </w:tcPr>
          <w:p w14:paraId="28EEE38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98E255A" w14:textId="77777777" w:rsidTr="001F4995">
        <w:trPr>
          <w:trHeight w:val="20"/>
        </w:trPr>
        <w:tc>
          <w:tcPr>
            <w:tcW w:w="469" w:type="dxa"/>
            <w:shd w:val="clear" w:color="auto" w:fill="auto"/>
            <w:noWrap/>
          </w:tcPr>
          <w:p w14:paraId="3F8B552B"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11</w:t>
            </w:r>
          </w:p>
        </w:tc>
        <w:tc>
          <w:tcPr>
            <w:tcW w:w="4214" w:type="dxa"/>
            <w:shd w:val="clear" w:color="auto" w:fill="FFFFFF"/>
          </w:tcPr>
          <w:p w14:paraId="5F4F21A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79CB8F2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noWrap/>
            <w:vAlign w:val="center"/>
          </w:tcPr>
          <w:p w14:paraId="1140034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FCA2CC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6A24CFC4"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1438D9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79C79B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08F6CF8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noWrap/>
            <w:vAlign w:val="center"/>
          </w:tcPr>
          <w:p w14:paraId="7F844AA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vAlign w:val="center"/>
          </w:tcPr>
          <w:p w14:paraId="1130D5F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F422702" w14:textId="77777777" w:rsidTr="001F4995">
        <w:trPr>
          <w:trHeight w:val="20"/>
        </w:trPr>
        <w:tc>
          <w:tcPr>
            <w:tcW w:w="469" w:type="dxa"/>
            <w:shd w:val="clear" w:color="auto" w:fill="auto"/>
            <w:noWrap/>
          </w:tcPr>
          <w:p w14:paraId="7D3BAA62"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12</w:t>
            </w:r>
          </w:p>
        </w:tc>
        <w:tc>
          <w:tcPr>
            <w:tcW w:w="4214" w:type="dxa"/>
            <w:shd w:val="clear" w:color="auto" w:fill="FFFFFF"/>
          </w:tcPr>
          <w:p w14:paraId="750476B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Deckschicht ohne Bindemittel</w:t>
            </w:r>
          </w:p>
        </w:tc>
        <w:tc>
          <w:tcPr>
            <w:tcW w:w="851" w:type="dxa"/>
            <w:noWrap/>
            <w:vAlign w:val="center"/>
          </w:tcPr>
          <w:p w14:paraId="474C750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noWrap/>
            <w:vAlign w:val="center"/>
          </w:tcPr>
          <w:p w14:paraId="5B332A5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4EC5BC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0A895A5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25B001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82029D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54F1AD4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noWrap/>
            <w:vAlign w:val="center"/>
          </w:tcPr>
          <w:p w14:paraId="5691D2B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vAlign w:val="center"/>
          </w:tcPr>
          <w:p w14:paraId="334D805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9BAE428" w14:textId="77777777" w:rsidTr="001F4995">
        <w:trPr>
          <w:trHeight w:val="20"/>
        </w:trPr>
        <w:tc>
          <w:tcPr>
            <w:tcW w:w="469" w:type="dxa"/>
            <w:shd w:val="clear" w:color="auto" w:fill="auto"/>
            <w:noWrap/>
          </w:tcPr>
          <w:p w14:paraId="67DF4C8B"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13</w:t>
            </w:r>
          </w:p>
        </w:tc>
        <w:tc>
          <w:tcPr>
            <w:tcW w:w="4214" w:type="dxa"/>
            <w:shd w:val="clear" w:color="auto" w:fill="FFFFFF"/>
          </w:tcPr>
          <w:p w14:paraId="7C88620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1724EE0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noWrap/>
            <w:vAlign w:val="center"/>
          </w:tcPr>
          <w:p w14:paraId="7ECD1DF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E049F1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3258457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F6CE53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FA1DDF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4FCD6A7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noWrap/>
            <w:vAlign w:val="center"/>
          </w:tcPr>
          <w:p w14:paraId="1679CB8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vAlign w:val="center"/>
          </w:tcPr>
          <w:p w14:paraId="5982607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2BA4F6E" w14:textId="77777777" w:rsidTr="001F4995">
        <w:trPr>
          <w:trHeight w:val="20"/>
        </w:trPr>
        <w:tc>
          <w:tcPr>
            <w:tcW w:w="469" w:type="dxa"/>
            <w:shd w:val="clear" w:color="auto" w:fill="auto"/>
            <w:noWrap/>
          </w:tcPr>
          <w:p w14:paraId="11CFBE3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14</w:t>
            </w:r>
          </w:p>
        </w:tc>
        <w:tc>
          <w:tcPr>
            <w:tcW w:w="4214" w:type="dxa"/>
            <w:shd w:val="clear" w:color="auto" w:fill="FFFFFF"/>
          </w:tcPr>
          <w:p w14:paraId="69C0AB7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Plattenbelägen</w:t>
            </w:r>
          </w:p>
        </w:tc>
        <w:tc>
          <w:tcPr>
            <w:tcW w:w="851" w:type="dxa"/>
            <w:noWrap/>
            <w:vAlign w:val="center"/>
          </w:tcPr>
          <w:p w14:paraId="1F7F585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noWrap/>
            <w:vAlign w:val="center"/>
          </w:tcPr>
          <w:p w14:paraId="736BCB9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96ECB4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7A79583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C39B4E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CDEF9F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4129052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noWrap/>
            <w:vAlign w:val="center"/>
          </w:tcPr>
          <w:p w14:paraId="5DB668A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vAlign w:val="center"/>
          </w:tcPr>
          <w:p w14:paraId="39DA9CB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0678677" w14:textId="77777777" w:rsidTr="001F4995">
        <w:trPr>
          <w:trHeight w:val="20"/>
        </w:trPr>
        <w:tc>
          <w:tcPr>
            <w:tcW w:w="469" w:type="dxa"/>
            <w:shd w:val="clear" w:color="auto" w:fill="auto"/>
            <w:noWrap/>
          </w:tcPr>
          <w:p w14:paraId="1085DE9E"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15</w:t>
            </w:r>
          </w:p>
        </w:tc>
        <w:tc>
          <w:tcPr>
            <w:tcW w:w="4214" w:type="dxa"/>
            <w:shd w:val="clear" w:color="auto" w:fill="FFFFFF"/>
          </w:tcPr>
          <w:p w14:paraId="7ABA1AF4"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50A8EE6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noWrap/>
            <w:vAlign w:val="center"/>
          </w:tcPr>
          <w:p w14:paraId="7BCE2D9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FB8140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43E6566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68D3D7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37B600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4F200B7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noWrap/>
            <w:vAlign w:val="center"/>
          </w:tcPr>
          <w:p w14:paraId="1B64B80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vAlign w:val="center"/>
          </w:tcPr>
          <w:p w14:paraId="01F5090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38BE2CC" w14:textId="77777777" w:rsidTr="001F4995">
        <w:trPr>
          <w:trHeight w:val="20"/>
        </w:trPr>
        <w:tc>
          <w:tcPr>
            <w:tcW w:w="469" w:type="dxa"/>
            <w:shd w:val="clear" w:color="auto" w:fill="auto"/>
            <w:noWrap/>
          </w:tcPr>
          <w:p w14:paraId="0E9E5CE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16</w:t>
            </w:r>
          </w:p>
        </w:tc>
        <w:tc>
          <w:tcPr>
            <w:tcW w:w="4214" w:type="dxa"/>
            <w:shd w:val="clear" w:color="auto" w:fill="FFFFFF"/>
          </w:tcPr>
          <w:p w14:paraId="6C5FA47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2C358E8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noWrap/>
            <w:vAlign w:val="center"/>
          </w:tcPr>
          <w:p w14:paraId="1DA9792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1185" w:type="dxa"/>
            <w:noWrap/>
            <w:vAlign w:val="center"/>
          </w:tcPr>
          <w:p w14:paraId="0998C7A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780" w:type="dxa"/>
            <w:noWrap/>
            <w:vAlign w:val="center"/>
          </w:tcPr>
          <w:p w14:paraId="452FEAE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A541B6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500" w:type="dxa"/>
            <w:noWrap/>
            <w:vAlign w:val="center"/>
          </w:tcPr>
          <w:p w14:paraId="67AB223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2B4B965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700" w:type="dxa"/>
            <w:shd w:val="clear" w:color="auto" w:fill="FFFFFF"/>
            <w:noWrap/>
            <w:vAlign w:val="center"/>
          </w:tcPr>
          <w:p w14:paraId="0DD3F1C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c>
          <w:tcPr>
            <w:tcW w:w="700" w:type="dxa"/>
            <w:shd w:val="clear" w:color="auto" w:fill="FFFFFF"/>
            <w:vAlign w:val="center"/>
          </w:tcPr>
          <w:p w14:paraId="16EE6B0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2)</w:t>
            </w:r>
          </w:p>
        </w:tc>
      </w:tr>
      <w:tr w:rsidR="001F4995" w:rsidRPr="001F4995" w14:paraId="0A74E194" w14:textId="77777777" w:rsidTr="001F4995">
        <w:trPr>
          <w:trHeight w:val="208"/>
        </w:trPr>
        <w:tc>
          <w:tcPr>
            <w:tcW w:w="469" w:type="dxa"/>
            <w:shd w:val="clear" w:color="auto" w:fill="auto"/>
            <w:noWrap/>
          </w:tcPr>
          <w:p w14:paraId="3888995B"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17</w:t>
            </w:r>
          </w:p>
        </w:tc>
        <w:tc>
          <w:tcPr>
            <w:tcW w:w="4214" w:type="dxa"/>
            <w:shd w:val="clear" w:color="auto" w:fill="FFFFFF"/>
          </w:tcPr>
          <w:p w14:paraId="6B700B74"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4474415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noWrap/>
            <w:vAlign w:val="center"/>
          </w:tcPr>
          <w:p w14:paraId="3AFBD5D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A4853A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73BE1BB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F3AF4F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3D51A6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516387E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noWrap/>
            <w:vAlign w:val="center"/>
          </w:tcPr>
          <w:p w14:paraId="7260E39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00" w:type="dxa"/>
            <w:shd w:val="clear" w:color="auto" w:fill="FFFFFF"/>
            <w:vAlign w:val="center"/>
          </w:tcPr>
          <w:p w14:paraId="0A08B0D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bl>
    <w:p w14:paraId="40FEAA74"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1) SKA ist für Asphalttragschichten nicht relevant.</w:t>
      </w:r>
    </w:p>
    <w:p w14:paraId="04DE0D1E" w14:textId="77777777" w:rsidR="001F4995" w:rsidRPr="001F4995" w:rsidRDefault="001F4995" w:rsidP="001F4995">
      <w:pPr>
        <w:spacing w:before="0" w:after="0"/>
        <w:ind w:left="142" w:hanging="142"/>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2) </w:t>
      </w:r>
      <w:proofErr w:type="gramStart"/>
      <w:r w:rsidRPr="001F4995">
        <w:rPr>
          <w:rFonts w:ascii="Times New Roman" w:eastAsia="Times New Roman" w:hAnsi="Times New Roman" w:cs="Times New Roman"/>
          <w:sz w:val="16"/>
          <w:szCs w:val="16"/>
          <w:lang w:eastAsia="de-DE"/>
        </w:rPr>
        <w:t>Zulässig</w:t>
      </w:r>
      <w:proofErr w:type="gramEnd"/>
      <w:r w:rsidRPr="001F4995">
        <w:rPr>
          <w:rFonts w:ascii="Times New Roman" w:eastAsia="Times New Roman" w:hAnsi="Times New Roman" w:cs="Times New Roman"/>
          <w:sz w:val="16"/>
          <w:szCs w:val="16"/>
          <w:lang w:eastAsia="de-DE"/>
        </w:rPr>
        <w:t xml:space="preserve"> wenn „K“ und Molybdän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220 µg/l. </w:t>
      </w:r>
    </w:p>
    <w:p w14:paraId="7577D3DC" w14:textId="52F976C5" w:rsidR="001F4995" w:rsidRPr="008D0377" w:rsidRDefault="001F4995" w:rsidP="001F4995">
      <w:pPr>
        <w:pStyle w:val="berschrift1"/>
      </w:pPr>
      <w:r>
        <w:rPr>
          <w:rFonts w:ascii="Calibri" w:eastAsia="Calibri" w:hAnsi="Calibri" w:cs="Times New Roman"/>
          <w:sz w:val="24"/>
          <w:szCs w:val="20"/>
          <w:lang w:eastAsia="de-DE"/>
        </w:rPr>
        <w:br w:type="page"/>
      </w:r>
      <w:r w:rsidRPr="008D0377">
        <w:lastRenderedPageBreak/>
        <w:t>Tabelle 24: Steinkohlenflugasche (SFA)</w:t>
      </w:r>
    </w:p>
    <w:p w14:paraId="11079277" w14:textId="77777777" w:rsidR="001F4995" w:rsidRPr="001F4995" w:rsidRDefault="001F4995" w:rsidP="001F4995">
      <w:pPr>
        <w:pStyle w:val="Text"/>
      </w:pPr>
    </w:p>
    <w:tbl>
      <w:tblPr>
        <w:tblW w:w="11002" w:type="dxa"/>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567"/>
        <w:gridCol w:w="715"/>
        <w:gridCol w:w="500"/>
        <w:gridCol w:w="715"/>
        <w:gridCol w:w="542"/>
        <w:gridCol w:w="715"/>
      </w:tblGrid>
      <w:tr w:rsidR="001F4995" w:rsidRPr="001F4995" w14:paraId="61B4F537" w14:textId="77777777" w:rsidTr="001F4995">
        <w:trPr>
          <w:trHeight w:val="330"/>
        </w:trPr>
        <w:tc>
          <w:tcPr>
            <w:tcW w:w="11002" w:type="dxa"/>
            <w:gridSpan w:val="11"/>
            <w:noWrap/>
            <w:vAlign w:val="bottom"/>
          </w:tcPr>
          <w:p w14:paraId="6A8A964D" w14:textId="77777777" w:rsidR="001F4995" w:rsidRPr="001F4995" w:rsidRDefault="001F4995" w:rsidP="001F4995">
            <w:pPr>
              <w:spacing w:before="0" w:after="0"/>
              <w:jc w:val="center"/>
              <w:rPr>
                <w:rFonts w:ascii="Times New Roman" w:eastAsia="Times New Roman" w:hAnsi="Times New Roman" w:cs="Times New Roman"/>
                <w:b/>
                <w:bCs/>
                <w:sz w:val="24"/>
                <w:szCs w:val="24"/>
                <w:lang w:eastAsia="de-DE"/>
              </w:rPr>
            </w:pP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t>Steinkohlenflugasche (SFA)</w:t>
            </w:r>
          </w:p>
        </w:tc>
      </w:tr>
      <w:tr w:rsidR="001F4995" w:rsidRPr="001F4995" w14:paraId="43C5492E" w14:textId="77777777" w:rsidTr="001F4995">
        <w:trPr>
          <w:trHeight w:val="20"/>
        </w:trPr>
        <w:tc>
          <w:tcPr>
            <w:tcW w:w="4683" w:type="dxa"/>
            <w:gridSpan w:val="2"/>
            <w:vMerge w:val="restart"/>
            <w:shd w:val="clear" w:color="auto" w:fill="auto"/>
            <w:noWrap/>
          </w:tcPr>
          <w:p w14:paraId="763038BC"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Einbauweise</w:t>
            </w:r>
          </w:p>
        </w:tc>
        <w:tc>
          <w:tcPr>
            <w:tcW w:w="6319" w:type="dxa"/>
            <w:gridSpan w:val="9"/>
            <w:shd w:val="clear" w:color="auto" w:fill="auto"/>
            <w:noWrap/>
            <w:vAlign w:val="center"/>
          </w:tcPr>
          <w:p w14:paraId="32FD8ADF"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Eigenschaft der Grundwasserdeckschicht</w:t>
            </w:r>
          </w:p>
        </w:tc>
      </w:tr>
      <w:tr w:rsidR="001F4995" w:rsidRPr="001F4995" w14:paraId="2F44F2CE" w14:textId="77777777" w:rsidTr="001F4995">
        <w:trPr>
          <w:trHeight w:val="20"/>
        </w:trPr>
        <w:tc>
          <w:tcPr>
            <w:tcW w:w="4683" w:type="dxa"/>
            <w:gridSpan w:val="2"/>
            <w:vMerge/>
            <w:shd w:val="clear" w:color="auto" w:fill="auto"/>
            <w:noWrap/>
            <w:vAlign w:val="center"/>
          </w:tcPr>
          <w:p w14:paraId="02953E16" w14:textId="77777777" w:rsidR="001F4995" w:rsidRPr="001F4995" w:rsidRDefault="001F4995" w:rsidP="001F4995">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327B7356"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außerhalb von</w:t>
            </w:r>
          </w:p>
          <w:p w14:paraId="45047D91"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c>
          <w:tcPr>
            <w:tcW w:w="3619" w:type="dxa"/>
            <w:gridSpan w:val="6"/>
            <w:shd w:val="clear" w:color="auto" w:fill="auto"/>
            <w:noWrap/>
            <w:vAlign w:val="center"/>
          </w:tcPr>
          <w:p w14:paraId="5851ED8E"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innerhalb von</w:t>
            </w:r>
          </w:p>
          <w:p w14:paraId="5A133E2C"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r>
      <w:tr w:rsidR="001F4995" w:rsidRPr="001F4995" w14:paraId="5B4CF0F9" w14:textId="77777777" w:rsidTr="001F4995">
        <w:trPr>
          <w:trHeight w:val="20"/>
        </w:trPr>
        <w:tc>
          <w:tcPr>
            <w:tcW w:w="4683" w:type="dxa"/>
            <w:gridSpan w:val="2"/>
            <w:vMerge/>
            <w:shd w:val="clear" w:color="auto" w:fill="auto"/>
            <w:noWrap/>
            <w:vAlign w:val="center"/>
          </w:tcPr>
          <w:p w14:paraId="032393F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06F131DF"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proofErr w:type="spellStart"/>
            <w:r w:rsidRPr="001F4995">
              <w:rPr>
                <w:rFonts w:ascii="Times New Roman" w:eastAsia="Times New Roman" w:hAnsi="Times New Roman" w:cs="Times New Roman"/>
                <w:sz w:val="20"/>
                <w:szCs w:val="20"/>
                <w:lang w:eastAsia="de-DE"/>
              </w:rPr>
              <w:t>un</w:t>
            </w:r>
            <w:proofErr w:type="spellEnd"/>
            <w:r w:rsidRPr="001F4995">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6E12ED23"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c>
          <w:tcPr>
            <w:tcW w:w="3619" w:type="dxa"/>
            <w:gridSpan w:val="6"/>
            <w:shd w:val="clear" w:color="auto" w:fill="auto"/>
            <w:noWrap/>
            <w:vAlign w:val="center"/>
          </w:tcPr>
          <w:p w14:paraId="6720403A"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r>
      <w:tr w:rsidR="001F4995" w:rsidRPr="001F4995" w14:paraId="06FA4E87" w14:textId="77777777" w:rsidTr="001F4995">
        <w:trPr>
          <w:trHeight w:val="20"/>
        </w:trPr>
        <w:tc>
          <w:tcPr>
            <w:tcW w:w="4683" w:type="dxa"/>
            <w:gridSpan w:val="2"/>
            <w:vMerge/>
            <w:shd w:val="clear" w:color="auto" w:fill="auto"/>
            <w:noWrap/>
            <w:vAlign w:val="center"/>
          </w:tcPr>
          <w:p w14:paraId="31C55C9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7B7F034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52AD612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6075155E" w14:textId="3DA57CE2"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06C1AF30" w14:textId="10B4C48B"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4F6A777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1237" w:type="dxa"/>
            <w:gridSpan w:val="2"/>
            <w:shd w:val="clear" w:color="auto" w:fill="auto"/>
            <w:noWrap/>
            <w:vAlign w:val="center"/>
          </w:tcPr>
          <w:p w14:paraId="4275DE7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3EE3FA4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B</w:t>
            </w:r>
          </w:p>
        </w:tc>
        <w:tc>
          <w:tcPr>
            <w:tcW w:w="1212" w:type="dxa"/>
            <w:gridSpan w:val="2"/>
            <w:shd w:val="clear" w:color="auto" w:fill="auto"/>
            <w:noWrap/>
            <w:vAlign w:val="center"/>
          </w:tcPr>
          <w:p w14:paraId="4B0481F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Wasservor-</w:t>
            </w:r>
          </w:p>
        </w:tc>
      </w:tr>
      <w:tr w:rsidR="001F4995" w:rsidRPr="001F4995" w14:paraId="2EA0E1C7" w14:textId="77777777" w:rsidTr="001F4995">
        <w:trPr>
          <w:trHeight w:val="80"/>
        </w:trPr>
        <w:tc>
          <w:tcPr>
            <w:tcW w:w="4683" w:type="dxa"/>
            <w:gridSpan w:val="2"/>
            <w:vMerge/>
            <w:shd w:val="clear" w:color="auto" w:fill="auto"/>
            <w:noWrap/>
            <w:vAlign w:val="center"/>
          </w:tcPr>
          <w:p w14:paraId="4BA33F3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50BC5D2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654F2C1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295A3BC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237" w:type="dxa"/>
            <w:gridSpan w:val="2"/>
            <w:shd w:val="clear" w:color="auto" w:fill="auto"/>
            <w:noWrap/>
            <w:vAlign w:val="center"/>
          </w:tcPr>
          <w:p w14:paraId="05B5071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0CDD81C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IV</w:t>
            </w:r>
          </w:p>
        </w:tc>
        <w:tc>
          <w:tcPr>
            <w:tcW w:w="1212" w:type="dxa"/>
            <w:gridSpan w:val="2"/>
            <w:shd w:val="clear" w:color="auto" w:fill="auto"/>
            <w:noWrap/>
            <w:vAlign w:val="center"/>
          </w:tcPr>
          <w:p w14:paraId="28C87E4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ranggebiete</w:t>
            </w:r>
          </w:p>
        </w:tc>
      </w:tr>
      <w:tr w:rsidR="001F4995" w:rsidRPr="001F4995" w14:paraId="073793F9" w14:textId="77777777" w:rsidTr="001F4995">
        <w:trPr>
          <w:trHeight w:val="80"/>
        </w:trPr>
        <w:tc>
          <w:tcPr>
            <w:tcW w:w="4683" w:type="dxa"/>
            <w:gridSpan w:val="2"/>
            <w:vMerge/>
            <w:shd w:val="clear" w:color="auto" w:fill="auto"/>
            <w:noWrap/>
            <w:vAlign w:val="center"/>
          </w:tcPr>
          <w:p w14:paraId="6D02586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0E070BD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3F5EF50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38EADBE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567" w:type="dxa"/>
            <w:shd w:val="clear" w:color="auto" w:fill="auto"/>
            <w:noWrap/>
            <w:vAlign w:val="center"/>
          </w:tcPr>
          <w:p w14:paraId="2503A01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1720498D" w14:textId="01E4C531"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4CB2617E" w14:textId="406DA139"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7252EC3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723E260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55466942" w14:textId="48CED8EE"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0940ED29" w14:textId="42650F68"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1AD6EBC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421F04E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3B0B2DAA" w14:textId="3A0CE6AB"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36E3AB40" w14:textId="1BF9F874"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572D7D9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r>
      <w:tr w:rsidR="001F4995" w:rsidRPr="001F4995" w14:paraId="4BC2BB47" w14:textId="77777777" w:rsidTr="001F4995">
        <w:trPr>
          <w:trHeight w:val="111"/>
        </w:trPr>
        <w:tc>
          <w:tcPr>
            <w:tcW w:w="4683" w:type="dxa"/>
            <w:gridSpan w:val="2"/>
            <w:vMerge/>
            <w:shd w:val="clear" w:color="auto" w:fill="auto"/>
            <w:noWrap/>
            <w:vAlign w:val="center"/>
          </w:tcPr>
          <w:p w14:paraId="7A347EE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4AF6A1F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w:t>
            </w:r>
          </w:p>
        </w:tc>
        <w:tc>
          <w:tcPr>
            <w:tcW w:w="664" w:type="dxa"/>
            <w:shd w:val="clear" w:color="auto" w:fill="auto"/>
            <w:noWrap/>
            <w:vAlign w:val="center"/>
          </w:tcPr>
          <w:p w14:paraId="72B0666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2</w:t>
            </w:r>
          </w:p>
        </w:tc>
        <w:tc>
          <w:tcPr>
            <w:tcW w:w="1185" w:type="dxa"/>
            <w:shd w:val="clear" w:color="auto" w:fill="auto"/>
            <w:noWrap/>
            <w:vAlign w:val="center"/>
          </w:tcPr>
          <w:p w14:paraId="7455904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3</w:t>
            </w:r>
          </w:p>
        </w:tc>
        <w:tc>
          <w:tcPr>
            <w:tcW w:w="1237" w:type="dxa"/>
            <w:gridSpan w:val="2"/>
            <w:shd w:val="clear" w:color="auto" w:fill="auto"/>
            <w:noWrap/>
            <w:vAlign w:val="center"/>
          </w:tcPr>
          <w:p w14:paraId="118CCE3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61D0909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5</w:t>
            </w:r>
          </w:p>
        </w:tc>
        <w:tc>
          <w:tcPr>
            <w:tcW w:w="1212" w:type="dxa"/>
            <w:gridSpan w:val="2"/>
            <w:shd w:val="clear" w:color="auto" w:fill="auto"/>
            <w:noWrap/>
            <w:vAlign w:val="center"/>
          </w:tcPr>
          <w:p w14:paraId="1946CA1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6</w:t>
            </w:r>
          </w:p>
        </w:tc>
      </w:tr>
      <w:tr w:rsidR="001F4995" w:rsidRPr="001F4995" w14:paraId="5A9E61FB" w14:textId="77777777" w:rsidTr="001F4995">
        <w:trPr>
          <w:trHeight w:val="20"/>
        </w:trPr>
        <w:tc>
          <w:tcPr>
            <w:tcW w:w="469" w:type="dxa"/>
            <w:shd w:val="clear" w:color="auto" w:fill="auto"/>
            <w:noWrap/>
          </w:tcPr>
          <w:p w14:paraId="0897691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w:t>
            </w:r>
          </w:p>
        </w:tc>
        <w:tc>
          <w:tcPr>
            <w:tcW w:w="4214" w:type="dxa"/>
            <w:shd w:val="clear" w:color="auto" w:fill="FFFFFF"/>
          </w:tcPr>
          <w:p w14:paraId="33A83A9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57DD013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484313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E61A29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shd w:val="clear" w:color="auto" w:fill="auto"/>
            <w:noWrap/>
            <w:vAlign w:val="center"/>
          </w:tcPr>
          <w:p w14:paraId="32A836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A3AFCE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shd w:val="clear" w:color="auto" w:fill="auto"/>
            <w:noWrap/>
            <w:vAlign w:val="center"/>
          </w:tcPr>
          <w:p w14:paraId="4404352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078FFD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CFC156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DCCF34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4ECC72C" w14:textId="77777777" w:rsidTr="001F4995">
        <w:trPr>
          <w:trHeight w:val="20"/>
        </w:trPr>
        <w:tc>
          <w:tcPr>
            <w:tcW w:w="469" w:type="dxa"/>
            <w:shd w:val="clear" w:color="auto" w:fill="auto"/>
            <w:noWrap/>
          </w:tcPr>
          <w:p w14:paraId="0921BCF1"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2</w:t>
            </w:r>
          </w:p>
        </w:tc>
        <w:tc>
          <w:tcPr>
            <w:tcW w:w="4214" w:type="dxa"/>
            <w:shd w:val="clear" w:color="auto" w:fill="FFFFFF"/>
          </w:tcPr>
          <w:p w14:paraId="6E5A2C7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14688C9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9E5B7D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CCACE8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1B61206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825CF35"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D8B2DB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F66DE3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6867B80C"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E0C9CE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59B7902" w14:textId="77777777" w:rsidTr="001F4995">
        <w:trPr>
          <w:trHeight w:val="20"/>
        </w:trPr>
        <w:tc>
          <w:tcPr>
            <w:tcW w:w="469" w:type="dxa"/>
            <w:shd w:val="clear" w:color="auto" w:fill="auto"/>
            <w:noWrap/>
          </w:tcPr>
          <w:p w14:paraId="3AA1E117"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3</w:t>
            </w:r>
          </w:p>
        </w:tc>
        <w:tc>
          <w:tcPr>
            <w:tcW w:w="4214" w:type="dxa"/>
            <w:shd w:val="clear" w:color="auto" w:fill="FFFFFF"/>
          </w:tcPr>
          <w:p w14:paraId="6F44FDC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44C9A87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751CFE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8A19A7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1AB0E23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EE316EC"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8F3256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2EE360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679ACBE8" w14:textId="77777777" w:rsidR="001F4995" w:rsidRPr="001F4995" w:rsidRDefault="001F4995" w:rsidP="001F4995">
            <w:pPr>
              <w:spacing w:before="0" w:after="0"/>
              <w:jc w:val="center"/>
              <w:rPr>
                <w:rFonts w:ascii="Times New Roman" w:eastAsia="Times New Roman" w:hAnsi="Times New Roman" w:cs="Times New Roman"/>
                <w:strike/>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88D73A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FA80926" w14:textId="77777777" w:rsidTr="001F4995">
        <w:trPr>
          <w:trHeight w:val="20"/>
        </w:trPr>
        <w:tc>
          <w:tcPr>
            <w:tcW w:w="469" w:type="dxa"/>
            <w:shd w:val="clear" w:color="auto" w:fill="auto"/>
            <w:noWrap/>
          </w:tcPr>
          <w:p w14:paraId="587E0E4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4</w:t>
            </w:r>
          </w:p>
        </w:tc>
        <w:tc>
          <w:tcPr>
            <w:tcW w:w="4214" w:type="dxa"/>
            <w:shd w:val="clear" w:color="auto" w:fill="FFFFFF"/>
          </w:tcPr>
          <w:p w14:paraId="76F7923C"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12B2081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2EC998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9CB3EC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6533B3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B85AE1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2739FE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8CA906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1E12825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71EB23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8D376ED" w14:textId="77777777" w:rsidTr="001F4995">
        <w:trPr>
          <w:trHeight w:val="20"/>
        </w:trPr>
        <w:tc>
          <w:tcPr>
            <w:tcW w:w="469" w:type="dxa"/>
            <w:shd w:val="clear" w:color="auto" w:fill="auto"/>
            <w:noWrap/>
          </w:tcPr>
          <w:p w14:paraId="6C73EBD7"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5</w:t>
            </w:r>
          </w:p>
        </w:tc>
        <w:tc>
          <w:tcPr>
            <w:tcW w:w="4214" w:type="dxa"/>
            <w:shd w:val="clear" w:color="auto" w:fill="FFFFFF"/>
          </w:tcPr>
          <w:p w14:paraId="362B8CD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3FC6158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D35A41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DE475A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408227B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C3B4D9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A1D2C3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C3726C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6AD8965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20C317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00689BB" w14:textId="77777777" w:rsidTr="001F4995">
        <w:trPr>
          <w:trHeight w:val="20"/>
        </w:trPr>
        <w:tc>
          <w:tcPr>
            <w:tcW w:w="469" w:type="dxa"/>
            <w:shd w:val="clear" w:color="auto" w:fill="auto"/>
            <w:noWrap/>
          </w:tcPr>
          <w:p w14:paraId="63865F3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6</w:t>
            </w:r>
          </w:p>
        </w:tc>
        <w:tc>
          <w:tcPr>
            <w:tcW w:w="4214" w:type="dxa"/>
            <w:shd w:val="clear" w:color="auto" w:fill="FFFFFF"/>
          </w:tcPr>
          <w:p w14:paraId="35001B1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601C5E8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B644A9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18DACD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032C79D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C4BF13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872CF2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78331F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1F2190A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5B8078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365874C" w14:textId="77777777" w:rsidTr="001F4995">
        <w:trPr>
          <w:trHeight w:val="20"/>
        </w:trPr>
        <w:tc>
          <w:tcPr>
            <w:tcW w:w="469" w:type="dxa"/>
            <w:shd w:val="clear" w:color="auto" w:fill="auto"/>
            <w:noWrap/>
          </w:tcPr>
          <w:p w14:paraId="75DEBF2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7</w:t>
            </w:r>
          </w:p>
        </w:tc>
        <w:tc>
          <w:tcPr>
            <w:tcW w:w="4214" w:type="dxa"/>
            <w:shd w:val="clear" w:color="auto" w:fill="FFFFFF"/>
          </w:tcPr>
          <w:p w14:paraId="7D57E413"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Schottertragschicht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2FD5B40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tcPr>
          <w:p w14:paraId="34672AA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tcPr>
          <w:p w14:paraId="74DC53E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tcPr>
          <w:p w14:paraId="438AF1A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tcPr>
          <w:p w14:paraId="446634F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tcPr>
          <w:p w14:paraId="200ACDA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tcPr>
          <w:p w14:paraId="597F9AE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tcPr>
          <w:p w14:paraId="0F65EAE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tcPr>
          <w:p w14:paraId="53F1841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6F24F12" w14:textId="77777777" w:rsidTr="001F4995">
        <w:trPr>
          <w:trHeight w:val="20"/>
        </w:trPr>
        <w:tc>
          <w:tcPr>
            <w:tcW w:w="469" w:type="dxa"/>
            <w:shd w:val="clear" w:color="auto" w:fill="auto"/>
            <w:noWrap/>
          </w:tcPr>
          <w:p w14:paraId="1904751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8</w:t>
            </w:r>
          </w:p>
        </w:tc>
        <w:tc>
          <w:tcPr>
            <w:tcW w:w="4214" w:type="dxa"/>
            <w:shd w:val="clear" w:color="auto" w:fill="FFFFFF"/>
          </w:tcPr>
          <w:p w14:paraId="5B0D687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Frostschutzschicht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2C6CBCE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296A09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79B71B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3166171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4902A7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9B8F22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72F09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127FEDF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0D92F2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3F55064" w14:textId="77777777" w:rsidTr="001F4995">
        <w:trPr>
          <w:trHeight w:val="20"/>
        </w:trPr>
        <w:tc>
          <w:tcPr>
            <w:tcW w:w="469" w:type="dxa"/>
            <w:shd w:val="clear" w:color="auto" w:fill="auto"/>
            <w:noWrap/>
          </w:tcPr>
          <w:p w14:paraId="08D03AF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9</w:t>
            </w:r>
          </w:p>
        </w:tc>
        <w:tc>
          <w:tcPr>
            <w:tcW w:w="4214" w:type="dxa"/>
            <w:shd w:val="clear" w:color="auto" w:fill="FFFFFF"/>
          </w:tcPr>
          <w:p w14:paraId="3772A58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Dämme oder Wälle gemäß Bauweisen A-D nach MTSE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4445857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A1EC48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966711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7A0E725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744BF9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377750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8D2421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153E92C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C9179A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E4F3F6C" w14:textId="77777777" w:rsidTr="001F4995">
        <w:trPr>
          <w:trHeight w:val="20"/>
        </w:trPr>
        <w:tc>
          <w:tcPr>
            <w:tcW w:w="469" w:type="dxa"/>
            <w:shd w:val="clear" w:color="auto" w:fill="auto"/>
            <w:noWrap/>
          </w:tcPr>
          <w:p w14:paraId="4519D9C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10</w:t>
            </w:r>
          </w:p>
        </w:tc>
        <w:tc>
          <w:tcPr>
            <w:tcW w:w="4214" w:type="dxa"/>
            <w:shd w:val="clear" w:color="auto" w:fill="FFFFFF"/>
          </w:tcPr>
          <w:p w14:paraId="0BC586A3"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33CAC3A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4C1A0F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349B4E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0DAE7F4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A5498F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A7CDFA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39BB0E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46DE551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A738F5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26F7B9F" w14:textId="77777777" w:rsidTr="001F4995">
        <w:trPr>
          <w:trHeight w:val="20"/>
        </w:trPr>
        <w:tc>
          <w:tcPr>
            <w:tcW w:w="469" w:type="dxa"/>
            <w:shd w:val="clear" w:color="auto" w:fill="auto"/>
            <w:noWrap/>
          </w:tcPr>
          <w:p w14:paraId="6140CFE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11</w:t>
            </w:r>
          </w:p>
        </w:tc>
        <w:tc>
          <w:tcPr>
            <w:tcW w:w="4214" w:type="dxa"/>
            <w:shd w:val="clear" w:color="auto" w:fill="FFFFFF"/>
          </w:tcPr>
          <w:p w14:paraId="0E749734"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29D967E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tcPr>
          <w:p w14:paraId="1473E3B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tcPr>
          <w:p w14:paraId="3CF45C7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tcPr>
          <w:p w14:paraId="058C31C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tcPr>
          <w:p w14:paraId="6E5E4C0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tcPr>
          <w:p w14:paraId="32976CE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tcPr>
          <w:p w14:paraId="7638C06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tcPr>
          <w:p w14:paraId="7A398F3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tcPr>
          <w:p w14:paraId="0D376D7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7C00EF4" w14:textId="77777777" w:rsidTr="001F4995">
        <w:trPr>
          <w:trHeight w:val="20"/>
        </w:trPr>
        <w:tc>
          <w:tcPr>
            <w:tcW w:w="469" w:type="dxa"/>
            <w:shd w:val="clear" w:color="auto" w:fill="auto"/>
            <w:noWrap/>
          </w:tcPr>
          <w:p w14:paraId="29E6533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12</w:t>
            </w:r>
          </w:p>
        </w:tc>
        <w:tc>
          <w:tcPr>
            <w:tcW w:w="4214" w:type="dxa"/>
            <w:shd w:val="clear" w:color="auto" w:fill="FFFFFF"/>
          </w:tcPr>
          <w:p w14:paraId="041401C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Deckschicht ohne Bindemittel</w:t>
            </w:r>
          </w:p>
        </w:tc>
        <w:tc>
          <w:tcPr>
            <w:tcW w:w="851" w:type="dxa"/>
            <w:noWrap/>
            <w:vAlign w:val="center"/>
          </w:tcPr>
          <w:p w14:paraId="0E953F7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tcPr>
          <w:p w14:paraId="0EB0314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tcPr>
          <w:p w14:paraId="185EB54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tcPr>
          <w:p w14:paraId="045E1C4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tcPr>
          <w:p w14:paraId="296F5FF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tcPr>
          <w:p w14:paraId="30C1DCA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tcPr>
          <w:p w14:paraId="183ABC8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tcPr>
          <w:p w14:paraId="2060247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tcPr>
          <w:p w14:paraId="2362FE3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92000B3" w14:textId="77777777" w:rsidTr="001F4995">
        <w:trPr>
          <w:trHeight w:val="20"/>
        </w:trPr>
        <w:tc>
          <w:tcPr>
            <w:tcW w:w="469" w:type="dxa"/>
            <w:shd w:val="clear" w:color="auto" w:fill="auto"/>
            <w:noWrap/>
          </w:tcPr>
          <w:p w14:paraId="0E0A613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13</w:t>
            </w:r>
          </w:p>
        </w:tc>
        <w:tc>
          <w:tcPr>
            <w:tcW w:w="4214" w:type="dxa"/>
            <w:shd w:val="clear" w:color="auto" w:fill="FFFFFF"/>
          </w:tcPr>
          <w:p w14:paraId="3F41164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3F00C00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AD4317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979DF3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33763EE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A5783D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A69FF8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F7E081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2109067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24AC2C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E08719B" w14:textId="77777777" w:rsidTr="001F4995">
        <w:trPr>
          <w:trHeight w:val="20"/>
        </w:trPr>
        <w:tc>
          <w:tcPr>
            <w:tcW w:w="469" w:type="dxa"/>
            <w:shd w:val="clear" w:color="auto" w:fill="auto"/>
            <w:noWrap/>
          </w:tcPr>
          <w:p w14:paraId="1BC79EC8"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14</w:t>
            </w:r>
          </w:p>
        </w:tc>
        <w:tc>
          <w:tcPr>
            <w:tcW w:w="4214" w:type="dxa"/>
            <w:shd w:val="clear" w:color="auto" w:fill="FFFFFF"/>
          </w:tcPr>
          <w:p w14:paraId="54232AA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Plattenbelägen</w:t>
            </w:r>
          </w:p>
        </w:tc>
        <w:tc>
          <w:tcPr>
            <w:tcW w:w="851" w:type="dxa"/>
            <w:noWrap/>
            <w:vAlign w:val="center"/>
          </w:tcPr>
          <w:p w14:paraId="642769B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71025D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187989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69F4E41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2E02CE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D26E01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76F0A0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79E163B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6BA8EE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DD4919E" w14:textId="77777777" w:rsidTr="001F4995">
        <w:trPr>
          <w:trHeight w:val="20"/>
        </w:trPr>
        <w:tc>
          <w:tcPr>
            <w:tcW w:w="469" w:type="dxa"/>
            <w:shd w:val="clear" w:color="auto" w:fill="auto"/>
            <w:noWrap/>
          </w:tcPr>
          <w:p w14:paraId="34FB2AA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15</w:t>
            </w:r>
          </w:p>
        </w:tc>
        <w:tc>
          <w:tcPr>
            <w:tcW w:w="4214" w:type="dxa"/>
            <w:shd w:val="clear" w:color="auto" w:fill="FFFFFF"/>
          </w:tcPr>
          <w:p w14:paraId="22A0900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04C329D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E285B1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D3B809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6EC0BE4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35178A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78E48B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887F77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232E1E9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B57AEA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B1F56F9" w14:textId="77777777" w:rsidTr="001F4995">
        <w:trPr>
          <w:trHeight w:val="20"/>
        </w:trPr>
        <w:tc>
          <w:tcPr>
            <w:tcW w:w="469" w:type="dxa"/>
            <w:shd w:val="clear" w:color="auto" w:fill="auto"/>
            <w:noWrap/>
          </w:tcPr>
          <w:p w14:paraId="4EE3166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16</w:t>
            </w:r>
          </w:p>
        </w:tc>
        <w:tc>
          <w:tcPr>
            <w:tcW w:w="4214" w:type="dxa"/>
            <w:shd w:val="clear" w:color="auto" w:fill="FFFFFF"/>
          </w:tcPr>
          <w:p w14:paraId="78DFCD4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3CD3F94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B0F382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1EA8A8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1DD0829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32F44E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774606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6A28E7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153FE5D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F61199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B4E0ACE" w14:textId="77777777" w:rsidTr="001F4995">
        <w:trPr>
          <w:trHeight w:val="208"/>
        </w:trPr>
        <w:tc>
          <w:tcPr>
            <w:tcW w:w="469" w:type="dxa"/>
            <w:shd w:val="clear" w:color="auto" w:fill="auto"/>
            <w:noWrap/>
          </w:tcPr>
          <w:p w14:paraId="5C58733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17</w:t>
            </w:r>
          </w:p>
        </w:tc>
        <w:tc>
          <w:tcPr>
            <w:tcW w:w="4214" w:type="dxa"/>
            <w:shd w:val="clear" w:color="auto" w:fill="FFFFFF"/>
          </w:tcPr>
          <w:p w14:paraId="4849AA6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4D1AF09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D8C62B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DB2DC9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41C67BB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6848E3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650CE6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50B8AD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56DABEE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0DBCCD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bl>
    <w:p w14:paraId="08B04B2A" w14:textId="474E3F0E" w:rsidR="001F4995" w:rsidRPr="008D0377" w:rsidRDefault="001F4995" w:rsidP="001F4995">
      <w:pPr>
        <w:pStyle w:val="berschrift1"/>
      </w:pPr>
      <w:r>
        <w:rPr>
          <w:lang w:eastAsia="de-DE"/>
        </w:rPr>
        <w:br w:type="page"/>
      </w:r>
      <w:r w:rsidRPr="008D0377">
        <w:lastRenderedPageBreak/>
        <w:t>Tabelle 25: Braunkohlenflugasche (BFA)</w:t>
      </w:r>
    </w:p>
    <w:p w14:paraId="6E40423A" w14:textId="77777777" w:rsidR="001F4995" w:rsidRPr="001F4995" w:rsidRDefault="001F4995" w:rsidP="001F4995">
      <w:pPr>
        <w:keepNext/>
        <w:spacing w:before="0" w:after="200"/>
        <w:jc w:val="left"/>
        <w:rPr>
          <w:rFonts w:ascii="Times New Roman" w:eastAsia="Calibri" w:hAnsi="Times New Roman" w:cs="Times New Roman"/>
          <w:b/>
          <w:sz w:val="18"/>
          <w:szCs w:val="18"/>
        </w:rPr>
      </w:pPr>
    </w:p>
    <w:tbl>
      <w:tblPr>
        <w:tblW w:w="11042" w:type="dxa"/>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607"/>
        <w:gridCol w:w="715"/>
        <w:gridCol w:w="500"/>
        <w:gridCol w:w="715"/>
        <w:gridCol w:w="542"/>
        <w:gridCol w:w="715"/>
      </w:tblGrid>
      <w:tr w:rsidR="001F4995" w:rsidRPr="001F4995" w14:paraId="679DA312" w14:textId="77777777" w:rsidTr="001F4995">
        <w:trPr>
          <w:trHeight w:val="330"/>
        </w:trPr>
        <w:tc>
          <w:tcPr>
            <w:tcW w:w="11042" w:type="dxa"/>
            <w:gridSpan w:val="11"/>
            <w:noWrap/>
            <w:vAlign w:val="bottom"/>
          </w:tcPr>
          <w:p w14:paraId="32399F36" w14:textId="77777777" w:rsidR="001F4995" w:rsidRPr="001F4995" w:rsidRDefault="001F4995" w:rsidP="001F4995">
            <w:pPr>
              <w:spacing w:before="0" w:after="0"/>
              <w:jc w:val="center"/>
              <w:rPr>
                <w:rFonts w:ascii="Times New Roman" w:eastAsia="Times New Roman" w:hAnsi="Times New Roman" w:cs="Times New Roman"/>
                <w:b/>
                <w:bCs/>
                <w:sz w:val="24"/>
                <w:szCs w:val="24"/>
                <w:lang w:eastAsia="de-DE"/>
              </w:rPr>
            </w:pP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t>Braunkohlenflugasche (BFA)</w:t>
            </w:r>
          </w:p>
        </w:tc>
      </w:tr>
      <w:tr w:rsidR="001F4995" w:rsidRPr="001F4995" w14:paraId="4C837AD8" w14:textId="77777777" w:rsidTr="001F4995">
        <w:trPr>
          <w:trHeight w:val="20"/>
        </w:trPr>
        <w:tc>
          <w:tcPr>
            <w:tcW w:w="4683" w:type="dxa"/>
            <w:gridSpan w:val="2"/>
            <w:vMerge w:val="restart"/>
            <w:shd w:val="clear" w:color="auto" w:fill="auto"/>
            <w:noWrap/>
          </w:tcPr>
          <w:p w14:paraId="2585DC2E"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Einbauweise</w:t>
            </w:r>
          </w:p>
        </w:tc>
        <w:tc>
          <w:tcPr>
            <w:tcW w:w="6359" w:type="dxa"/>
            <w:gridSpan w:val="9"/>
            <w:shd w:val="clear" w:color="auto" w:fill="auto"/>
            <w:noWrap/>
            <w:vAlign w:val="center"/>
          </w:tcPr>
          <w:p w14:paraId="1B5CA71B"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Eigenschaft der Grundwasserdeckschicht</w:t>
            </w:r>
          </w:p>
        </w:tc>
      </w:tr>
      <w:tr w:rsidR="001F4995" w:rsidRPr="001F4995" w14:paraId="16733BFE" w14:textId="77777777" w:rsidTr="001F4995">
        <w:trPr>
          <w:trHeight w:val="20"/>
        </w:trPr>
        <w:tc>
          <w:tcPr>
            <w:tcW w:w="4683" w:type="dxa"/>
            <w:gridSpan w:val="2"/>
            <w:vMerge/>
            <w:shd w:val="clear" w:color="auto" w:fill="auto"/>
            <w:noWrap/>
            <w:vAlign w:val="center"/>
          </w:tcPr>
          <w:p w14:paraId="6B0C879C" w14:textId="77777777" w:rsidR="001F4995" w:rsidRPr="001F4995" w:rsidRDefault="001F4995" w:rsidP="001F4995">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5ABB4F07"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außerhalb von</w:t>
            </w:r>
          </w:p>
          <w:p w14:paraId="5ED393FC"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c>
          <w:tcPr>
            <w:tcW w:w="3659" w:type="dxa"/>
            <w:gridSpan w:val="6"/>
            <w:shd w:val="clear" w:color="auto" w:fill="auto"/>
            <w:noWrap/>
            <w:vAlign w:val="center"/>
          </w:tcPr>
          <w:p w14:paraId="75E11F95"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innerhalb von</w:t>
            </w:r>
          </w:p>
          <w:p w14:paraId="58858CB1"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r>
      <w:tr w:rsidR="001F4995" w:rsidRPr="001F4995" w14:paraId="39E08C85" w14:textId="77777777" w:rsidTr="001F4995">
        <w:trPr>
          <w:trHeight w:val="20"/>
        </w:trPr>
        <w:tc>
          <w:tcPr>
            <w:tcW w:w="4683" w:type="dxa"/>
            <w:gridSpan w:val="2"/>
            <w:vMerge/>
            <w:shd w:val="clear" w:color="auto" w:fill="auto"/>
            <w:noWrap/>
            <w:vAlign w:val="center"/>
          </w:tcPr>
          <w:p w14:paraId="5DD1430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4004855C"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proofErr w:type="spellStart"/>
            <w:r w:rsidRPr="001F4995">
              <w:rPr>
                <w:rFonts w:ascii="Times New Roman" w:eastAsia="Times New Roman" w:hAnsi="Times New Roman" w:cs="Times New Roman"/>
                <w:sz w:val="20"/>
                <w:szCs w:val="20"/>
                <w:lang w:eastAsia="de-DE"/>
              </w:rPr>
              <w:t>un</w:t>
            </w:r>
            <w:proofErr w:type="spellEnd"/>
            <w:r w:rsidRPr="001F4995">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087CE7E7"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c>
          <w:tcPr>
            <w:tcW w:w="3659" w:type="dxa"/>
            <w:gridSpan w:val="6"/>
            <w:shd w:val="clear" w:color="auto" w:fill="auto"/>
            <w:noWrap/>
            <w:vAlign w:val="center"/>
          </w:tcPr>
          <w:p w14:paraId="3AD9355A"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r>
      <w:tr w:rsidR="001F4995" w:rsidRPr="001F4995" w14:paraId="1B457658" w14:textId="77777777" w:rsidTr="001F4995">
        <w:trPr>
          <w:trHeight w:val="20"/>
        </w:trPr>
        <w:tc>
          <w:tcPr>
            <w:tcW w:w="4683" w:type="dxa"/>
            <w:gridSpan w:val="2"/>
            <w:vMerge/>
            <w:shd w:val="clear" w:color="auto" w:fill="auto"/>
            <w:noWrap/>
            <w:vAlign w:val="center"/>
          </w:tcPr>
          <w:p w14:paraId="767BA77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00D3DE8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5B0C2B9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7CF2390B" w14:textId="5FBD34CF"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73834ED5" w14:textId="789FCBA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0F743AB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1277" w:type="dxa"/>
            <w:gridSpan w:val="2"/>
            <w:shd w:val="clear" w:color="auto" w:fill="auto"/>
            <w:noWrap/>
            <w:vAlign w:val="center"/>
          </w:tcPr>
          <w:p w14:paraId="78FC4EC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0266DDC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B</w:t>
            </w:r>
          </w:p>
        </w:tc>
        <w:tc>
          <w:tcPr>
            <w:tcW w:w="1212" w:type="dxa"/>
            <w:gridSpan w:val="2"/>
            <w:shd w:val="clear" w:color="auto" w:fill="auto"/>
            <w:noWrap/>
            <w:vAlign w:val="center"/>
          </w:tcPr>
          <w:p w14:paraId="3F5782E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Wasservor-</w:t>
            </w:r>
          </w:p>
        </w:tc>
      </w:tr>
      <w:tr w:rsidR="001F4995" w:rsidRPr="001F4995" w14:paraId="3CA2196D" w14:textId="77777777" w:rsidTr="001F4995">
        <w:trPr>
          <w:trHeight w:val="80"/>
        </w:trPr>
        <w:tc>
          <w:tcPr>
            <w:tcW w:w="4683" w:type="dxa"/>
            <w:gridSpan w:val="2"/>
            <w:vMerge/>
            <w:shd w:val="clear" w:color="auto" w:fill="auto"/>
            <w:noWrap/>
            <w:vAlign w:val="center"/>
          </w:tcPr>
          <w:p w14:paraId="52D9CEB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08DBCD3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735BD00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244886B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277" w:type="dxa"/>
            <w:gridSpan w:val="2"/>
            <w:shd w:val="clear" w:color="auto" w:fill="auto"/>
            <w:noWrap/>
            <w:vAlign w:val="center"/>
          </w:tcPr>
          <w:p w14:paraId="0D65032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7736E5D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IV</w:t>
            </w:r>
          </w:p>
        </w:tc>
        <w:tc>
          <w:tcPr>
            <w:tcW w:w="1212" w:type="dxa"/>
            <w:gridSpan w:val="2"/>
            <w:shd w:val="clear" w:color="auto" w:fill="auto"/>
            <w:noWrap/>
            <w:vAlign w:val="center"/>
          </w:tcPr>
          <w:p w14:paraId="101CD19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ranggebiete</w:t>
            </w:r>
          </w:p>
        </w:tc>
      </w:tr>
      <w:tr w:rsidR="001F4995" w:rsidRPr="001F4995" w14:paraId="45ECDBB4" w14:textId="77777777" w:rsidTr="001F4995">
        <w:trPr>
          <w:trHeight w:val="80"/>
        </w:trPr>
        <w:tc>
          <w:tcPr>
            <w:tcW w:w="4683" w:type="dxa"/>
            <w:gridSpan w:val="2"/>
            <w:vMerge/>
            <w:shd w:val="clear" w:color="auto" w:fill="auto"/>
            <w:noWrap/>
            <w:vAlign w:val="center"/>
          </w:tcPr>
          <w:p w14:paraId="31B6369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3658864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7D24730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7A5E1C4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07" w:type="dxa"/>
            <w:shd w:val="clear" w:color="auto" w:fill="auto"/>
            <w:noWrap/>
            <w:vAlign w:val="center"/>
          </w:tcPr>
          <w:p w14:paraId="076F9AF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5F9816F2" w14:textId="2554B96F"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68B5245E" w14:textId="3E5AA33A"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08411DE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452565D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46C095B0" w14:textId="3634C1FC"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653B5DB2" w14:textId="2102B930"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318670E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0DA6DFD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55E6B165" w14:textId="00873BB6"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0E304B8F" w14:textId="5F0A5D5A"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6DCF549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r>
      <w:tr w:rsidR="001F4995" w:rsidRPr="001F4995" w14:paraId="0767EECA" w14:textId="77777777" w:rsidTr="001F4995">
        <w:trPr>
          <w:trHeight w:val="111"/>
        </w:trPr>
        <w:tc>
          <w:tcPr>
            <w:tcW w:w="4683" w:type="dxa"/>
            <w:gridSpan w:val="2"/>
            <w:vMerge/>
            <w:shd w:val="clear" w:color="auto" w:fill="auto"/>
            <w:noWrap/>
            <w:vAlign w:val="center"/>
          </w:tcPr>
          <w:p w14:paraId="2AB560B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0B4CC5B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w:t>
            </w:r>
          </w:p>
        </w:tc>
        <w:tc>
          <w:tcPr>
            <w:tcW w:w="664" w:type="dxa"/>
            <w:shd w:val="clear" w:color="auto" w:fill="auto"/>
            <w:noWrap/>
            <w:vAlign w:val="center"/>
          </w:tcPr>
          <w:p w14:paraId="1B48F66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2</w:t>
            </w:r>
          </w:p>
        </w:tc>
        <w:tc>
          <w:tcPr>
            <w:tcW w:w="1185" w:type="dxa"/>
            <w:shd w:val="clear" w:color="auto" w:fill="auto"/>
            <w:noWrap/>
            <w:vAlign w:val="center"/>
          </w:tcPr>
          <w:p w14:paraId="5920FAB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3</w:t>
            </w:r>
          </w:p>
        </w:tc>
        <w:tc>
          <w:tcPr>
            <w:tcW w:w="1277" w:type="dxa"/>
            <w:gridSpan w:val="2"/>
            <w:shd w:val="clear" w:color="auto" w:fill="auto"/>
            <w:noWrap/>
            <w:vAlign w:val="center"/>
          </w:tcPr>
          <w:p w14:paraId="613E6A7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3287FF8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5</w:t>
            </w:r>
          </w:p>
        </w:tc>
        <w:tc>
          <w:tcPr>
            <w:tcW w:w="1212" w:type="dxa"/>
            <w:gridSpan w:val="2"/>
            <w:shd w:val="clear" w:color="auto" w:fill="auto"/>
            <w:noWrap/>
            <w:vAlign w:val="center"/>
          </w:tcPr>
          <w:p w14:paraId="26618CE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6</w:t>
            </w:r>
          </w:p>
        </w:tc>
      </w:tr>
      <w:tr w:rsidR="001F4995" w:rsidRPr="001F4995" w14:paraId="26EC3339" w14:textId="77777777" w:rsidTr="001F4995">
        <w:trPr>
          <w:trHeight w:val="20"/>
        </w:trPr>
        <w:tc>
          <w:tcPr>
            <w:tcW w:w="469" w:type="dxa"/>
            <w:shd w:val="clear" w:color="auto" w:fill="auto"/>
            <w:noWrap/>
          </w:tcPr>
          <w:p w14:paraId="39405F93"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w:t>
            </w:r>
          </w:p>
        </w:tc>
        <w:tc>
          <w:tcPr>
            <w:tcW w:w="4214" w:type="dxa"/>
            <w:shd w:val="clear" w:color="auto" w:fill="FFFFFF"/>
          </w:tcPr>
          <w:p w14:paraId="759F59F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7D4BA1E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98F5C9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BE094F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21C01F8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286365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1DE84B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096184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792F282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12516E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9BB5AC8" w14:textId="77777777" w:rsidTr="001F4995">
        <w:trPr>
          <w:trHeight w:val="20"/>
        </w:trPr>
        <w:tc>
          <w:tcPr>
            <w:tcW w:w="469" w:type="dxa"/>
            <w:shd w:val="clear" w:color="auto" w:fill="auto"/>
            <w:noWrap/>
          </w:tcPr>
          <w:p w14:paraId="4E75D7F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2</w:t>
            </w:r>
          </w:p>
        </w:tc>
        <w:tc>
          <w:tcPr>
            <w:tcW w:w="4214" w:type="dxa"/>
            <w:shd w:val="clear" w:color="auto" w:fill="FFFFFF"/>
          </w:tcPr>
          <w:p w14:paraId="19EBED4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0AFAE45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616706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5E35CB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6E679F0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84CE09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85166F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5E7BE3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6679FFF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15D0CA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B7BAE23" w14:textId="77777777" w:rsidTr="001F4995">
        <w:trPr>
          <w:trHeight w:val="20"/>
        </w:trPr>
        <w:tc>
          <w:tcPr>
            <w:tcW w:w="469" w:type="dxa"/>
            <w:shd w:val="clear" w:color="auto" w:fill="auto"/>
            <w:noWrap/>
          </w:tcPr>
          <w:p w14:paraId="439664B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3</w:t>
            </w:r>
          </w:p>
        </w:tc>
        <w:tc>
          <w:tcPr>
            <w:tcW w:w="4214" w:type="dxa"/>
            <w:shd w:val="clear" w:color="auto" w:fill="FFFFFF"/>
          </w:tcPr>
          <w:p w14:paraId="7BA304A4"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37F5F5F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1E9342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A83BE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4B3B7C2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416375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356AC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F2FE8E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7C07854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790723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CB758AF" w14:textId="77777777" w:rsidTr="001F4995">
        <w:trPr>
          <w:trHeight w:val="20"/>
        </w:trPr>
        <w:tc>
          <w:tcPr>
            <w:tcW w:w="469" w:type="dxa"/>
            <w:shd w:val="clear" w:color="auto" w:fill="auto"/>
            <w:noWrap/>
          </w:tcPr>
          <w:p w14:paraId="22D420A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4</w:t>
            </w:r>
          </w:p>
        </w:tc>
        <w:tc>
          <w:tcPr>
            <w:tcW w:w="4214" w:type="dxa"/>
            <w:shd w:val="clear" w:color="auto" w:fill="FFFFFF"/>
          </w:tcPr>
          <w:p w14:paraId="3EF45E8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3FDB816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2FFA81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4DFDD7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1B3EC0D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177F56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20F5F3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2C3B9A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49B6609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4A4435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C681821" w14:textId="77777777" w:rsidTr="001F4995">
        <w:trPr>
          <w:trHeight w:val="20"/>
        </w:trPr>
        <w:tc>
          <w:tcPr>
            <w:tcW w:w="469" w:type="dxa"/>
            <w:shd w:val="clear" w:color="auto" w:fill="auto"/>
            <w:noWrap/>
          </w:tcPr>
          <w:p w14:paraId="00D21EE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5</w:t>
            </w:r>
          </w:p>
        </w:tc>
        <w:tc>
          <w:tcPr>
            <w:tcW w:w="4214" w:type="dxa"/>
            <w:shd w:val="clear" w:color="auto" w:fill="FFFFFF"/>
          </w:tcPr>
          <w:p w14:paraId="17F8118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22C650A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D11C4E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DBB3E5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3352D00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B0384E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10D964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149E3A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2AAFBAC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29C2C9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24E0639" w14:textId="77777777" w:rsidTr="001F4995">
        <w:trPr>
          <w:trHeight w:val="20"/>
        </w:trPr>
        <w:tc>
          <w:tcPr>
            <w:tcW w:w="469" w:type="dxa"/>
            <w:shd w:val="clear" w:color="auto" w:fill="auto"/>
            <w:noWrap/>
          </w:tcPr>
          <w:p w14:paraId="307275B4"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6</w:t>
            </w:r>
          </w:p>
        </w:tc>
        <w:tc>
          <w:tcPr>
            <w:tcW w:w="4214" w:type="dxa"/>
            <w:shd w:val="clear" w:color="auto" w:fill="FFFFFF"/>
          </w:tcPr>
          <w:p w14:paraId="321A561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376499F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972608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3EDA5A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6EF9FC7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75775E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1526DB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246EC2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45DF622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5C42F0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14A0AB8" w14:textId="77777777" w:rsidTr="001F4995">
        <w:trPr>
          <w:trHeight w:val="20"/>
        </w:trPr>
        <w:tc>
          <w:tcPr>
            <w:tcW w:w="469" w:type="dxa"/>
            <w:shd w:val="clear" w:color="auto" w:fill="auto"/>
            <w:noWrap/>
          </w:tcPr>
          <w:p w14:paraId="3651A641"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7</w:t>
            </w:r>
          </w:p>
        </w:tc>
        <w:tc>
          <w:tcPr>
            <w:tcW w:w="4214" w:type="dxa"/>
            <w:shd w:val="clear" w:color="auto" w:fill="FFFFFF"/>
          </w:tcPr>
          <w:p w14:paraId="7563D4A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Schottertragschicht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11E281C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999B19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83EE93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0084AF8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D4EA6C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D603CB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0060E9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369EBE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18CCAB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01DE71A" w14:textId="77777777" w:rsidTr="001F4995">
        <w:trPr>
          <w:trHeight w:val="20"/>
        </w:trPr>
        <w:tc>
          <w:tcPr>
            <w:tcW w:w="469" w:type="dxa"/>
            <w:shd w:val="clear" w:color="auto" w:fill="auto"/>
            <w:noWrap/>
          </w:tcPr>
          <w:p w14:paraId="708A119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8</w:t>
            </w:r>
          </w:p>
        </w:tc>
        <w:tc>
          <w:tcPr>
            <w:tcW w:w="4214" w:type="dxa"/>
            <w:shd w:val="clear" w:color="auto" w:fill="FFFFFF"/>
          </w:tcPr>
          <w:p w14:paraId="7BD2F42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Frostschutzschicht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66ED4B8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876EE9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5AB859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6032072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A48DCD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84E4D5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EF93BC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FFFFFF"/>
            <w:noWrap/>
            <w:vAlign w:val="center"/>
          </w:tcPr>
          <w:p w14:paraId="4A77E85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FFFFFF"/>
            <w:vAlign w:val="center"/>
          </w:tcPr>
          <w:p w14:paraId="7519F6C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C019842" w14:textId="77777777" w:rsidTr="001F4995">
        <w:trPr>
          <w:trHeight w:val="20"/>
        </w:trPr>
        <w:tc>
          <w:tcPr>
            <w:tcW w:w="469" w:type="dxa"/>
            <w:shd w:val="clear" w:color="auto" w:fill="auto"/>
            <w:noWrap/>
          </w:tcPr>
          <w:p w14:paraId="16376EA5"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9</w:t>
            </w:r>
          </w:p>
        </w:tc>
        <w:tc>
          <w:tcPr>
            <w:tcW w:w="4214" w:type="dxa"/>
            <w:shd w:val="clear" w:color="auto" w:fill="FFFFFF"/>
          </w:tcPr>
          <w:p w14:paraId="679C6B2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Dämme oder Wälle gemäß Bauweisen A-D nach MTSE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76C6F29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95564D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C0A922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6C95BA4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7184D5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A5D210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1C922D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0C4AAAB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784C83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9F500FC" w14:textId="77777777" w:rsidTr="001F4995">
        <w:trPr>
          <w:trHeight w:val="20"/>
        </w:trPr>
        <w:tc>
          <w:tcPr>
            <w:tcW w:w="469" w:type="dxa"/>
            <w:shd w:val="clear" w:color="auto" w:fill="auto"/>
            <w:noWrap/>
          </w:tcPr>
          <w:p w14:paraId="543AF13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10</w:t>
            </w:r>
          </w:p>
        </w:tc>
        <w:tc>
          <w:tcPr>
            <w:tcW w:w="4214" w:type="dxa"/>
            <w:shd w:val="clear" w:color="auto" w:fill="FFFFFF"/>
          </w:tcPr>
          <w:p w14:paraId="7445CC7C"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34C29FA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973345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3AAC3D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0927123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AF2103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365A23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D0DF33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3B37BAE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4090AE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49D75E0" w14:textId="77777777" w:rsidTr="001F4995">
        <w:trPr>
          <w:trHeight w:val="20"/>
        </w:trPr>
        <w:tc>
          <w:tcPr>
            <w:tcW w:w="469" w:type="dxa"/>
            <w:shd w:val="clear" w:color="auto" w:fill="auto"/>
            <w:noWrap/>
          </w:tcPr>
          <w:p w14:paraId="5733AA0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11</w:t>
            </w:r>
          </w:p>
        </w:tc>
        <w:tc>
          <w:tcPr>
            <w:tcW w:w="4214" w:type="dxa"/>
            <w:shd w:val="clear" w:color="auto" w:fill="FFFFFF"/>
          </w:tcPr>
          <w:p w14:paraId="740F7AC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10E61E2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71E98F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BDE8EA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44125CA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F78516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5D87A4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CD7815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28972A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E00ED5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FDF93B0" w14:textId="77777777" w:rsidTr="001F4995">
        <w:trPr>
          <w:trHeight w:val="20"/>
        </w:trPr>
        <w:tc>
          <w:tcPr>
            <w:tcW w:w="469" w:type="dxa"/>
            <w:shd w:val="clear" w:color="auto" w:fill="auto"/>
            <w:noWrap/>
          </w:tcPr>
          <w:p w14:paraId="77BFDB5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12</w:t>
            </w:r>
          </w:p>
        </w:tc>
        <w:tc>
          <w:tcPr>
            <w:tcW w:w="4214" w:type="dxa"/>
            <w:shd w:val="clear" w:color="auto" w:fill="FFFFFF"/>
          </w:tcPr>
          <w:p w14:paraId="164F08C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Deckschicht ohne Bindemittel</w:t>
            </w:r>
          </w:p>
        </w:tc>
        <w:tc>
          <w:tcPr>
            <w:tcW w:w="851" w:type="dxa"/>
            <w:noWrap/>
            <w:vAlign w:val="center"/>
          </w:tcPr>
          <w:p w14:paraId="710F8DB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CBD32E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157687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114F8A4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3779E1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EF9438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BA00F0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166C9F1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01F67D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76AFB75" w14:textId="77777777" w:rsidTr="001F4995">
        <w:trPr>
          <w:trHeight w:val="20"/>
        </w:trPr>
        <w:tc>
          <w:tcPr>
            <w:tcW w:w="469" w:type="dxa"/>
            <w:shd w:val="clear" w:color="auto" w:fill="auto"/>
            <w:noWrap/>
          </w:tcPr>
          <w:p w14:paraId="2F318A6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13</w:t>
            </w:r>
          </w:p>
        </w:tc>
        <w:tc>
          <w:tcPr>
            <w:tcW w:w="4214" w:type="dxa"/>
            <w:shd w:val="clear" w:color="auto" w:fill="FFFFFF"/>
          </w:tcPr>
          <w:p w14:paraId="1A964AA3"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12BA06D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5A42AD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60D16D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3F31CC3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473FD7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0D0CEB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597641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1BE80B9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010968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8A8F463" w14:textId="77777777" w:rsidTr="001F4995">
        <w:trPr>
          <w:trHeight w:val="20"/>
        </w:trPr>
        <w:tc>
          <w:tcPr>
            <w:tcW w:w="469" w:type="dxa"/>
            <w:shd w:val="clear" w:color="auto" w:fill="auto"/>
            <w:noWrap/>
          </w:tcPr>
          <w:p w14:paraId="2E3D5F24"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14</w:t>
            </w:r>
          </w:p>
        </w:tc>
        <w:tc>
          <w:tcPr>
            <w:tcW w:w="4214" w:type="dxa"/>
            <w:shd w:val="clear" w:color="auto" w:fill="FFFFFF"/>
          </w:tcPr>
          <w:p w14:paraId="0377C54B"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Plattenbelägen</w:t>
            </w:r>
          </w:p>
        </w:tc>
        <w:tc>
          <w:tcPr>
            <w:tcW w:w="851" w:type="dxa"/>
            <w:noWrap/>
            <w:vAlign w:val="center"/>
          </w:tcPr>
          <w:p w14:paraId="24D8803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0BBEA7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41EB65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0945082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856D25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5D0AF2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1DC003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5001663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0BA5DA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495842B" w14:textId="77777777" w:rsidTr="001F4995">
        <w:trPr>
          <w:trHeight w:val="20"/>
        </w:trPr>
        <w:tc>
          <w:tcPr>
            <w:tcW w:w="469" w:type="dxa"/>
            <w:shd w:val="clear" w:color="auto" w:fill="auto"/>
            <w:noWrap/>
          </w:tcPr>
          <w:p w14:paraId="34B476C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15</w:t>
            </w:r>
          </w:p>
        </w:tc>
        <w:tc>
          <w:tcPr>
            <w:tcW w:w="4214" w:type="dxa"/>
            <w:shd w:val="clear" w:color="auto" w:fill="FFFFFF"/>
          </w:tcPr>
          <w:p w14:paraId="0A3E3B1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106E9A8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E2C1D5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D6D7D3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6C68E02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E6CDF5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1BFC62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52066B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711FB1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7DB569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2231FD0" w14:textId="77777777" w:rsidTr="001F4995">
        <w:trPr>
          <w:trHeight w:val="20"/>
        </w:trPr>
        <w:tc>
          <w:tcPr>
            <w:tcW w:w="469" w:type="dxa"/>
            <w:shd w:val="clear" w:color="auto" w:fill="auto"/>
            <w:noWrap/>
          </w:tcPr>
          <w:p w14:paraId="36FC50F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16</w:t>
            </w:r>
          </w:p>
        </w:tc>
        <w:tc>
          <w:tcPr>
            <w:tcW w:w="4214" w:type="dxa"/>
            <w:shd w:val="clear" w:color="auto" w:fill="FFFFFF"/>
          </w:tcPr>
          <w:p w14:paraId="08BC054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302348F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4B1F85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A9174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492A855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F4ABEE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18ADC1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72A4A7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2C78085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3E5636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A3A3B72" w14:textId="77777777" w:rsidTr="001F4995">
        <w:trPr>
          <w:trHeight w:val="208"/>
        </w:trPr>
        <w:tc>
          <w:tcPr>
            <w:tcW w:w="469" w:type="dxa"/>
            <w:shd w:val="clear" w:color="auto" w:fill="auto"/>
            <w:noWrap/>
          </w:tcPr>
          <w:p w14:paraId="78884DA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17</w:t>
            </w:r>
          </w:p>
        </w:tc>
        <w:tc>
          <w:tcPr>
            <w:tcW w:w="4214" w:type="dxa"/>
            <w:shd w:val="clear" w:color="auto" w:fill="FFFFFF"/>
          </w:tcPr>
          <w:p w14:paraId="2017A00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4563651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12A0BC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513BF9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07" w:type="dxa"/>
            <w:noWrap/>
            <w:vAlign w:val="center"/>
          </w:tcPr>
          <w:p w14:paraId="31AAEBD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525551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43F2F7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70D0B0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1A6DC04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F75188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bl>
    <w:p w14:paraId="32052649" w14:textId="1FD5CD9C" w:rsidR="001F4995" w:rsidRPr="001F4995" w:rsidRDefault="001F4995" w:rsidP="001F4995">
      <w:pPr>
        <w:pStyle w:val="berschrift1"/>
      </w:pPr>
      <w:r>
        <w:rPr>
          <w:lang w:eastAsia="de-DE"/>
        </w:rPr>
        <w:br w:type="page"/>
      </w:r>
      <w:r w:rsidRPr="008D0377">
        <w:lastRenderedPageBreak/>
        <w:t>Tabelle 26: Hausmüllverbrennungsasche der Klasse 1 (HMVA-1)</w:t>
      </w:r>
    </w:p>
    <w:p w14:paraId="0A9A863B" w14:textId="77777777" w:rsidR="001F4995" w:rsidRPr="001F4995" w:rsidRDefault="001F4995" w:rsidP="001F4995">
      <w:pPr>
        <w:keepNext/>
        <w:spacing w:before="0" w:after="200"/>
        <w:jc w:val="left"/>
        <w:rPr>
          <w:rFonts w:ascii="Times New Roman" w:eastAsia="Calibri" w:hAnsi="Times New Roman" w:cs="Times New Roman"/>
          <w:b/>
          <w:sz w:val="18"/>
          <w:szCs w:val="18"/>
        </w:rPr>
      </w:pPr>
    </w:p>
    <w:tbl>
      <w:tblPr>
        <w:tblW w:w="11002"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567"/>
        <w:gridCol w:w="715"/>
        <w:gridCol w:w="500"/>
        <w:gridCol w:w="715"/>
        <w:gridCol w:w="542"/>
        <w:gridCol w:w="715"/>
      </w:tblGrid>
      <w:tr w:rsidR="001F4995" w:rsidRPr="001F4995" w14:paraId="05C5FF92" w14:textId="77777777" w:rsidTr="001F4995">
        <w:trPr>
          <w:trHeight w:val="330"/>
        </w:trPr>
        <w:tc>
          <w:tcPr>
            <w:tcW w:w="11002" w:type="dxa"/>
            <w:gridSpan w:val="11"/>
            <w:noWrap/>
            <w:vAlign w:val="bottom"/>
          </w:tcPr>
          <w:p w14:paraId="651C3263" w14:textId="77777777" w:rsidR="001F4995" w:rsidRPr="001F4995" w:rsidRDefault="001F4995" w:rsidP="001F4995">
            <w:pPr>
              <w:spacing w:before="0" w:after="0"/>
              <w:jc w:val="center"/>
              <w:rPr>
                <w:rFonts w:ascii="Times New Roman" w:eastAsia="Times New Roman" w:hAnsi="Times New Roman" w:cs="Times New Roman"/>
                <w:b/>
                <w:bCs/>
                <w:sz w:val="24"/>
                <w:szCs w:val="24"/>
                <w:lang w:eastAsia="de-DE"/>
              </w:rPr>
            </w:pP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t xml:space="preserve"> Hausmüllverbrennungsasche der Klasse 1 (HMVA-1)</w:t>
            </w:r>
          </w:p>
        </w:tc>
      </w:tr>
      <w:tr w:rsidR="001F4995" w:rsidRPr="001F4995" w14:paraId="303B52D2" w14:textId="77777777" w:rsidTr="001F4995">
        <w:trPr>
          <w:trHeight w:val="20"/>
        </w:trPr>
        <w:tc>
          <w:tcPr>
            <w:tcW w:w="4683" w:type="dxa"/>
            <w:gridSpan w:val="2"/>
            <w:vMerge w:val="restart"/>
            <w:shd w:val="clear" w:color="auto" w:fill="auto"/>
            <w:noWrap/>
          </w:tcPr>
          <w:p w14:paraId="17EA4455"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Einbauweise</w:t>
            </w:r>
          </w:p>
        </w:tc>
        <w:tc>
          <w:tcPr>
            <w:tcW w:w="6319" w:type="dxa"/>
            <w:gridSpan w:val="9"/>
            <w:shd w:val="clear" w:color="auto" w:fill="auto"/>
            <w:noWrap/>
            <w:vAlign w:val="center"/>
          </w:tcPr>
          <w:p w14:paraId="114C1E83"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Eigenschaft der Grundwasserdeckschicht</w:t>
            </w:r>
          </w:p>
        </w:tc>
      </w:tr>
      <w:tr w:rsidR="001F4995" w:rsidRPr="001F4995" w14:paraId="2CB92E47" w14:textId="77777777" w:rsidTr="001F4995">
        <w:trPr>
          <w:trHeight w:val="20"/>
        </w:trPr>
        <w:tc>
          <w:tcPr>
            <w:tcW w:w="4683" w:type="dxa"/>
            <w:gridSpan w:val="2"/>
            <w:vMerge/>
            <w:shd w:val="clear" w:color="auto" w:fill="auto"/>
            <w:noWrap/>
            <w:vAlign w:val="center"/>
          </w:tcPr>
          <w:p w14:paraId="6EE503D9" w14:textId="77777777" w:rsidR="001F4995" w:rsidRPr="001F4995" w:rsidRDefault="001F4995" w:rsidP="001F4995">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62D1998F"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außerhalb von</w:t>
            </w:r>
          </w:p>
          <w:p w14:paraId="1DFCFB5D"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c>
          <w:tcPr>
            <w:tcW w:w="3619" w:type="dxa"/>
            <w:gridSpan w:val="6"/>
            <w:shd w:val="clear" w:color="auto" w:fill="auto"/>
            <w:noWrap/>
            <w:vAlign w:val="center"/>
          </w:tcPr>
          <w:p w14:paraId="0D43CE4B"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innerhalb von</w:t>
            </w:r>
          </w:p>
          <w:p w14:paraId="7D4DCCDD"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r>
      <w:tr w:rsidR="001F4995" w:rsidRPr="001F4995" w14:paraId="30A44CFB" w14:textId="77777777" w:rsidTr="001F4995">
        <w:trPr>
          <w:trHeight w:val="20"/>
        </w:trPr>
        <w:tc>
          <w:tcPr>
            <w:tcW w:w="4683" w:type="dxa"/>
            <w:gridSpan w:val="2"/>
            <w:vMerge/>
            <w:shd w:val="clear" w:color="auto" w:fill="auto"/>
            <w:noWrap/>
            <w:vAlign w:val="center"/>
          </w:tcPr>
          <w:p w14:paraId="5731142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10DF55D8"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proofErr w:type="spellStart"/>
            <w:r w:rsidRPr="001F4995">
              <w:rPr>
                <w:rFonts w:ascii="Times New Roman" w:eastAsia="Times New Roman" w:hAnsi="Times New Roman" w:cs="Times New Roman"/>
                <w:sz w:val="20"/>
                <w:szCs w:val="20"/>
                <w:lang w:eastAsia="de-DE"/>
              </w:rPr>
              <w:t>un</w:t>
            </w:r>
            <w:proofErr w:type="spellEnd"/>
            <w:r w:rsidRPr="001F4995">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62ECF6FD"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c>
          <w:tcPr>
            <w:tcW w:w="3619" w:type="dxa"/>
            <w:gridSpan w:val="6"/>
            <w:shd w:val="clear" w:color="auto" w:fill="auto"/>
            <w:noWrap/>
            <w:vAlign w:val="center"/>
          </w:tcPr>
          <w:p w14:paraId="37CC389A"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r>
      <w:tr w:rsidR="001F4995" w:rsidRPr="001F4995" w14:paraId="0FDB15DF" w14:textId="77777777" w:rsidTr="001F4995">
        <w:trPr>
          <w:trHeight w:val="20"/>
        </w:trPr>
        <w:tc>
          <w:tcPr>
            <w:tcW w:w="4683" w:type="dxa"/>
            <w:gridSpan w:val="2"/>
            <w:vMerge/>
            <w:shd w:val="clear" w:color="auto" w:fill="auto"/>
            <w:noWrap/>
            <w:vAlign w:val="center"/>
          </w:tcPr>
          <w:p w14:paraId="2A29F54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26B3723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4D30B3F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6075EA38" w14:textId="2BAC344B"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26A7431B" w14:textId="085EE416"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79C637B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1237" w:type="dxa"/>
            <w:gridSpan w:val="2"/>
            <w:shd w:val="clear" w:color="auto" w:fill="auto"/>
            <w:noWrap/>
            <w:vAlign w:val="center"/>
          </w:tcPr>
          <w:p w14:paraId="4453C683"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5CF36C6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B</w:t>
            </w:r>
          </w:p>
        </w:tc>
        <w:tc>
          <w:tcPr>
            <w:tcW w:w="1212" w:type="dxa"/>
            <w:gridSpan w:val="2"/>
            <w:shd w:val="clear" w:color="auto" w:fill="auto"/>
            <w:noWrap/>
            <w:vAlign w:val="center"/>
          </w:tcPr>
          <w:p w14:paraId="01936D7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Wasservor-</w:t>
            </w:r>
          </w:p>
        </w:tc>
      </w:tr>
      <w:tr w:rsidR="001F4995" w:rsidRPr="001F4995" w14:paraId="5607345C" w14:textId="77777777" w:rsidTr="001F4995">
        <w:trPr>
          <w:trHeight w:val="80"/>
        </w:trPr>
        <w:tc>
          <w:tcPr>
            <w:tcW w:w="4683" w:type="dxa"/>
            <w:gridSpan w:val="2"/>
            <w:vMerge/>
            <w:shd w:val="clear" w:color="auto" w:fill="auto"/>
            <w:noWrap/>
            <w:vAlign w:val="center"/>
          </w:tcPr>
          <w:p w14:paraId="62E2C2D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305A55C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1499084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4DDFA85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237" w:type="dxa"/>
            <w:gridSpan w:val="2"/>
            <w:shd w:val="clear" w:color="auto" w:fill="auto"/>
            <w:noWrap/>
            <w:vAlign w:val="center"/>
          </w:tcPr>
          <w:p w14:paraId="1849166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46EE15C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IV</w:t>
            </w:r>
          </w:p>
        </w:tc>
        <w:tc>
          <w:tcPr>
            <w:tcW w:w="1212" w:type="dxa"/>
            <w:gridSpan w:val="2"/>
            <w:shd w:val="clear" w:color="auto" w:fill="auto"/>
            <w:noWrap/>
            <w:vAlign w:val="center"/>
          </w:tcPr>
          <w:p w14:paraId="36C59C3A"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ranggebiete</w:t>
            </w:r>
          </w:p>
        </w:tc>
      </w:tr>
      <w:tr w:rsidR="001F4995" w:rsidRPr="001F4995" w14:paraId="16A1939A" w14:textId="77777777" w:rsidTr="001F4995">
        <w:trPr>
          <w:trHeight w:val="80"/>
        </w:trPr>
        <w:tc>
          <w:tcPr>
            <w:tcW w:w="4683" w:type="dxa"/>
            <w:gridSpan w:val="2"/>
            <w:vMerge/>
            <w:shd w:val="clear" w:color="auto" w:fill="auto"/>
            <w:noWrap/>
            <w:vAlign w:val="center"/>
          </w:tcPr>
          <w:p w14:paraId="6D709EB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14859E8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651FAF5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0B96274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567" w:type="dxa"/>
            <w:shd w:val="clear" w:color="auto" w:fill="auto"/>
            <w:noWrap/>
            <w:vAlign w:val="center"/>
          </w:tcPr>
          <w:p w14:paraId="1A6C6DC9"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4CBC7FF3" w14:textId="3B60D45E"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76857580" w14:textId="0CBFF2B8"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78F9A2B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1BE5149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3E5395EF" w14:textId="3ACF24C8"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27ABCAB1" w14:textId="37C2DF61"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048BAC1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7D5696C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7DE2F348" w14:textId="4A005418"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069C0AC5" w14:textId="09A6FDFB"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2B55D38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r>
      <w:tr w:rsidR="001F4995" w:rsidRPr="001F4995" w14:paraId="623C5B65" w14:textId="77777777" w:rsidTr="001F4995">
        <w:trPr>
          <w:trHeight w:val="111"/>
        </w:trPr>
        <w:tc>
          <w:tcPr>
            <w:tcW w:w="4683" w:type="dxa"/>
            <w:gridSpan w:val="2"/>
            <w:vMerge/>
            <w:shd w:val="clear" w:color="auto" w:fill="auto"/>
            <w:noWrap/>
            <w:vAlign w:val="center"/>
          </w:tcPr>
          <w:p w14:paraId="4FA84A7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063CC68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w:t>
            </w:r>
          </w:p>
        </w:tc>
        <w:tc>
          <w:tcPr>
            <w:tcW w:w="664" w:type="dxa"/>
            <w:shd w:val="clear" w:color="auto" w:fill="auto"/>
            <w:noWrap/>
            <w:vAlign w:val="center"/>
          </w:tcPr>
          <w:p w14:paraId="64996EC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2</w:t>
            </w:r>
          </w:p>
        </w:tc>
        <w:tc>
          <w:tcPr>
            <w:tcW w:w="1185" w:type="dxa"/>
            <w:shd w:val="clear" w:color="auto" w:fill="auto"/>
            <w:noWrap/>
            <w:vAlign w:val="center"/>
          </w:tcPr>
          <w:p w14:paraId="6D3BAF8B"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3</w:t>
            </w:r>
          </w:p>
        </w:tc>
        <w:tc>
          <w:tcPr>
            <w:tcW w:w="1237" w:type="dxa"/>
            <w:gridSpan w:val="2"/>
            <w:shd w:val="clear" w:color="auto" w:fill="auto"/>
            <w:noWrap/>
            <w:vAlign w:val="center"/>
          </w:tcPr>
          <w:p w14:paraId="25CA4CE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5CF3FE1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5</w:t>
            </w:r>
          </w:p>
        </w:tc>
        <w:tc>
          <w:tcPr>
            <w:tcW w:w="1212" w:type="dxa"/>
            <w:gridSpan w:val="2"/>
            <w:shd w:val="clear" w:color="auto" w:fill="auto"/>
            <w:noWrap/>
            <w:vAlign w:val="center"/>
          </w:tcPr>
          <w:p w14:paraId="1766EA6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6</w:t>
            </w:r>
          </w:p>
        </w:tc>
      </w:tr>
      <w:tr w:rsidR="001F4995" w:rsidRPr="001F4995" w14:paraId="1A4414ED" w14:textId="77777777" w:rsidTr="001F4995">
        <w:trPr>
          <w:trHeight w:val="20"/>
        </w:trPr>
        <w:tc>
          <w:tcPr>
            <w:tcW w:w="469" w:type="dxa"/>
            <w:shd w:val="clear" w:color="auto" w:fill="auto"/>
            <w:noWrap/>
          </w:tcPr>
          <w:p w14:paraId="408B1EF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w:t>
            </w:r>
          </w:p>
        </w:tc>
        <w:tc>
          <w:tcPr>
            <w:tcW w:w="4214" w:type="dxa"/>
            <w:shd w:val="clear" w:color="auto" w:fill="FFFFFF"/>
          </w:tcPr>
          <w:p w14:paraId="342EB095"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7E39245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133D9C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D36555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587612A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4B55A5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C58A49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FAFD40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4766FFC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56EE49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8CFB2F2" w14:textId="77777777" w:rsidTr="001F4995">
        <w:trPr>
          <w:trHeight w:val="20"/>
        </w:trPr>
        <w:tc>
          <w:tcPr>
            <w:tcW w:w="469" w:type="dxa"/>
            <w:shd w:val="clear" w:color="auto" w:fill="auto"/>
            <w:noWrap/>
          </w:tcPr>
          <w:p w14:paraId="40E3980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2</w:t>
            </w:r>
          </w:p>
        </w:tc>
        <w:tc>
          <w:tcPr>
            <w:tcW w:w="4214" w:type="dxa"/>
            <w:shd w:val="clear" w:color="auto" w:fill="FFFFFF"/>
          </w:tcPr>
          <w:p w14:paraId="764CD6E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7CDE48B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6998A9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B66E6D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35B3EA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2335E5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7B6CD9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AF9736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2ECDA2B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1E928D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4DAC448" w14:textId="77777777" w:rsidTr="001F4995">
        <w:trPr>
          <w:trHeight w:val="20"/>
        </w:trPr>
        <w:tc>
          <w:tcPr>
            <w:tcW w:w="469" w:type="dxa"/>
            <w:shd w:val="clear" w:color="auto" w:fill="auto"/>
            <w:noWrap/>
          </w:tcPr>
          <w:p w14:paraId="2310994D"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3</w:t>
            </w:r>
          </w:p>
        </w:tc>
        <w:tc>
          <w:tcPr>
            <w:tcW w:w="4214" w:type="dxa"/>
            <w:shd w:val="clear" w:color="auto" w:fill="FFFFFF"/>
          </w:tcPr>
          <w:p w14:paraId="4ED5D8F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7CF16C3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4D0ACA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47C717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151A94B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7C6FA5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77E52E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43FB22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4AA23F2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D5DDC5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A17D70B" w14:textId="77777777" w:rsidTr="001F4995">
        <w:trPr>
          <w:trHeight w:val="20"/>
        </w:trPr>
        <w:tc>
          <w:tcPr>
            <w:tcW w:w="469" w:type="dxa"/>
            <w:shd w:val="clear" w:color="auto" w:fill="auto"/>
            <w:noWrap/>
          </w:tcPr>
          <w:p w14:paraId="77A8CD5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4</w:t>
            </w:r>
          </w:p>
        </w:tc>
        <w:tc>
          <w:tcPr>
            <w:tcW w:w="4214" w:type="dxa"/>
            <w:shd w:val="clear" w:color="auto" w:fill="FFFFFF"/>
          </w:tcPr>
          <w:p w14:paraId="21DAF5A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Verfüllung von Baugruben und Leitungsgräben unter gebundener Deckschicht</w:t>
            </w:r>
          </w:p>
        </w:tc>
        <w:tc>
          <w:tcPr>
            <w:tcW w:w="851" w:type="dxa"/>
            <w:noWrap/>
            <w:vAlign w:val="center"/>
          </w:tcPr>
          <w:p w14:paraId="680FAA9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C112EC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A3CC87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08E4135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0C7BA3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93FAB3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A994C8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618C8C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FDA706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C342DE5" w14:textId="77777777" w:rsidTr="001F4995">
        <w:trPr>
          <w:trHeight w:val="20"/>
        </w:trPr>
        <w:tc>
          <w:tcPr>
            <w:tcW w:w="469" w:type="dxa"/>
            <w:shd w:val="clear" w:color="auto" w:fill="auto"/>
            <w:noWrap/>
          </w:tcPr>
          <w:p w14:paraId="7FA1ABE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5</w:t>
            </w:r>
          </w:p>
        </w:tc>
        <w:tc>
          <w:tcPr>
            <w:tcW w:w="4214" w:type="dxa"/>
            <w:shd w:val="clear" w:color="auto" w:fill="FFFFFF"/>
          </w:tcPr>
          <w:p w14:paraId="784D3800"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456A4BE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9EF29D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7253B8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3A689D4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A6594D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60BC7D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CFF0EE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2FEB6E7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5F8933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50796C5" w14:textId="77777777" w:rsidTr="001F4995">
        <w:trPr>
          <w:trHeight w:val="20"/>
        </w:trPr>
        <w:tc>
          <w:tcPr>
            <w:tcW w:w="469" w:type="dxa"/>
            <w:shd w:val="clear" w:color="auto" w:fill="auto"/>
            <w:noWrap/>
          </w:tcPr>
          <w:p w14:paraId="58D19BB5"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6</w:t>
            </w:r>
          </w:p>
        </w:tc>
        <w:tc>
          <w:tcPr>
            <w:tcW w:w="4214" w:type="dxa"/>
            <w:shd w:val="clear" w:color="auto" w:fill="FFFFFF"/>
          </w:tcPr>
          <w:p w14:paraId="7C4F4FB5"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 Frostschutz- oder Tragschicht unter Pflaster oder Platten jeweils mit wasserundurchlässiger Fugenabdichtung</w:t>
            </w:r>
          </w:p>
        </w:tc>
        <w:tc>
          <w:tcPr>
            <w:tcW w:w="851" w:type="dxa"/>
            <w:noWrap/>
            <w:vAlign w:val="center"/>
          </w:tcPr>
          <w:p w14:paraId="09B1D49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6360FE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30D09B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063A10B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CA0EE0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4D8C52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B0F788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2B9092D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45DFED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D08E901" w14:textId="77777777" w:rsidTr="001F4995">
        <w:trPr>
          <w:trHeight w:val="20"/>
        </w:trPr>
        <w:tc>
          <w:tcPr>
            <w:tcW w:w="469" w:type="dxa"/>
            <w:shd w:val="clear" w:color="auto" w:fill="auto"/>
            <w:noWrap/>
          </w:tcPr>
          <w:p w14:paraId="0F2FAA4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7</w:t>
            </w:r>
          </w:p>
        </w:tc>
        <w:tc>
          <w:tcPr>
            <w:tcW w:w="4214" w:type="dxa"/>
            <w:shd w:val="clear" w:color="auto" w:fill="FFFFFF"/>
          </w:tcPr>
          <w:p w14:paraId="32A548A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Schottertragschicht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09E1121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A80245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0FF26F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1786101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D243E1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26DC1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7A090B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5DC743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563B44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A692694" w14:textId="77777777" w:rsidTr="001F4995">
        <w:trPr>
          <w:trHeight w:val="20"/>
        </w:trPr>
        <w:tc>
          <w:tcPr>
            <w:tcW w:w="469" w:type="dxa"/>
            <w:shd w:val="clear" w:color="auto" w:fill="auto"/>
            <w:noWrap/>
          </w:tcPr>
          <w:p w14:paraId="19DFAEF2"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8</w:t>
            </w:r>
          </w:p>
        </w:tc>
        <w:tc>
          <w:tcPr>
            <w:tcW w:w="4214" w:type="dxa"/>
            <w:shd w:val="clear" w:color="auto" w:fill="FFFFFF"/>
          </w:tcPr>
          <w:p w14:paraId="35473CC0"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Frostschutzschicht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08F26C7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738CFF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98F781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50000FF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D71FE6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93996A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1563BD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442B4D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E219BF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10E8F59" w14:textId="77777777" w:rsidTr="001F4995">
        <w:trPr>
          <w:trHeight w:val="20"/>
        </w:trPr>
        <w:tc>
          <w:tcPr>
            <w:tcW w:w="469" w:type="dxa"/>
            <w:shd w:val="clear" w:color="auto" w:fill="auto"/>
            <w:noWrap/>
          </w:tcPr>
          <w:p w14:paraId="4EF9B92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9</w:t>
            </w:r>
          </w:p>
        </w:tc>
        <w:tc>
          <w:tcPr>
            <w:tcW w:w="4214" w:type="dxa"/>
            <w:shd w:val="clear" w:color="auto" w:fill="FFFFFF"/>
          </w:tcPr>
          <w:p w14:paraId="5D401E1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Dämme oder Wälle gemäß Bauweisen A-D nach MTSE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7FD0841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D69729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15D5F0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0613392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A83799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0DB433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6AF17E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4635FC1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0142CF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5B41821" w14:textId="77777777" w:rsidTr="001F4995">
        <w:trPr>
          <w:trHeight w:val="20"/>
        </w:trPr>
        <w:tc>
          <w:tcPr>
            <w:tcW w:w="469" w:type="dxa"/>
            <w:shd w:val="clear" w:color="auto" w:fill="auto"/>
            <w:noWrap/>
          </w:tcPr>
          <w:p w14:paraId="669E0DF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10</w:t>
            </w:r>
          </w:p>
        </w:tc>
        <w:tc>
          <w:tcPr>
            <w:tcW w:w="4214" w:type="dxa"/>
            <w:shd w:val="clear" w:color="auto" w:fill="FFFFFF"/>
          </w:tcPr>
          <w:p w14:paraId="588AA54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59F2975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AA5A21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F47A43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0A72DE3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3C3CBD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96F7AC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4C5FA6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A23767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D85810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4CA935A" w14:textId="77777777" w:rsidTr="001F4995">
        <w:trPr>
          <w:trHeight w:val="20"/>
        </w:trPr>
        <w:tc>
          <w:tcPr>
            <w:tcW w:w="469" w:type="dxa"/>
            <w:shd w:val="clear" w:color="auto" w:fill="auto"/>
            <w:noWrap/>
          </w:tcPr>
          <w:p w14:paraId="690E6627"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11</w:t>
            </w:r>
          </w:p>
        </w:tc>
        <w:tc>
          <w:tcPr>
            <w:tcW w:w="4214" w:type="dxa"/>
            <w:shd w:val="clear" w:color="auto" w:fill="FFFFFF"/>
          </w:tcPr>
          <w:p w14:paraId="6871E0E6" w14:textId="77777777" w:rsidR="001F4995" w:rsidRPr="001F4995" w:rsidRDefault="001F4995" w:rsidP="001F4995">
            <w:pPr>
              <w:spacing w:before="0" w:after="0"/>
              <w:jc w:val="left"/>
              <w:rPr>
                <w:rFonts w:ascii="Times New Roman" w:eastAsia="Times New Roman" w:hAnsi="Times New Roman" w:cs="Times New Roman"/>
                <w:sz w:val="18"/>
                <w:szCs w:val="18"/>
                <w:vertAlign w:val="superscript"/>
                <w:lang w:eastAsia="de-DE"/>
              </w:rPr>
            </w:pPr>
            <w:r w:rsidRPr="001F4995">
              <w:rPr>
                <w:rFonts w:ascii="Times New Roman" w:eastAsia="Times New Roman" w:hAnsi="Times New Roman" w:cs="Times New Roman"/>
                <w:sz w:val="18"/>
                <w:szCs w:val="18"/>
                <w:lang w:eastAsia="de-DE"/>
              </w:rPr>
              <w:t>Bettungssand unter Pflaster oder unter Plattenbelägen</w:t>
            </w:r>
            <w:r w:rsidRPr="001F4995">
              <w:rPr>
                <w:rFonts w:ascii="Times New Roman" w:eastAsia="Times New Roman" w:hAnsi="Times New Roman" w:cs="Times New Roman"/>
                <w:sz w:val="18"/>
                <w:szCs w:val="18"/>
                <w:vertAlign w:val="superscript"/>
                <w:lang w:eastAsia="de-DE"/>
              </w:rPr>
              <w:t>2)</w:t>
            </w:r>
          </w:p>
        </w:tc>
        <w:tc>
          <w:tcPr>
            <w:tcW w:w="851" w:type="dxa"/>
            <w:noWrap/>
            <w:vAlign w:val="center"/>
          </w:tcPr>
          <w:p w14:paraId="73CDC59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8235E7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FEB14A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3884315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264EAC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48FEC4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06714D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5D9646E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92BEA5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3854064" w14:textId="77777777" w:rsidTr="001F4995">
        <w:trPr>
          <w:trHeight w:val="20"/>
        </w:trPr>
        <w:tc>
          <w:tcPr>
            <w:tcW w:w="469" w:type="dxa"/>
            <w:shd w:val="clear" w:color="auto" w:fill="auto"/>
            <w:noWrap/>
          </w:tcPr>
          <w:p w14:paraId="7A83CBEB"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12</w:t>
            </w:r>
          </w:p>
        </w:tc>
        <w:tc>
          <w:tcPr>
            <w:tcW w:w="4214" w:type="dxa"/>
            <w:shd w:val="clear" w:color="auto" w:fill="FFFFFF"/>
          </w:tcPr>
          <w:p w14:paraId="2D32E99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Deckschicht ohne Bindemittel</w:t>
            </w:r>
            <w:r w:rsidRPr="001F4995">
              <w:rPr>
                <w:rFonts w:ascii="Times New Roman" w:eastAsia="Times New Roman" w:hAnsi="Times New Roman" w:cs="Times New Roman"/>
                <w:sz w:val="18"/>
                <w:szCs w:val="18"/>
                <w:vertAlign w:val="superscript"/>
                <w:lang w:eastAsia="de-DE"/>
              </w:rPr>
              <w:t>2)</w:t>
            </w:r>
          </w:p>
        </w:tc>
        <w:tc>
          <w:tcPr>
            <w:tcW w:w="851" w:type="dxa"/>
            <w:noWrap/>
            <w:vAlign w:val="center"/>
          </w:tcPr>
          <w:p w14:paraId="1538ED9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3FFDDF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9F2852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77EBD74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DAEA70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04A37C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A4A48F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EDD579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C75F00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0EBF5B22" w14:textId="77777777" w:rsidTr="001F4995">
        <w:trPr>
          <w:trHeight w:val="20"/>
        </w:trPr>
        <w:tc>
          <w:tcPr>
            <w:tcW w:w="469" w:type="dxa"/>
            <w:shd w:val="clear" w:color="auto" w:fill="auto"/>
            <w:noWrap/>
          </w:tcPr>
          <w:p w14:paraId="7A03F0A0"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13</w:t>
            </w:r>
          </w:p>
        </w:tc>
        <w:tc>
          <w:tcPr>
            <w:tcW w:w="4214" w:type="dxa"/>
            <w:shd w:val="clear" w:color="auto" w:fill="FFFFFF"/>
          </w:tcPr>
          <w:p w14:paraId="0433221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r w:rsidRPr="001F4995">
              <w:rPr>
                <w:rFonts w:ascii="Times New Roman" w:eastAsia="Times New Roman" w:hAnsi="Times New Roman" w:cs="Times New Roman"/>
                <w:sz w:val="18"/>
                <w:szCs w:val="18"/>
                <w:vertAlign w:val="superscript"/>
                <w:lang w:eastAsia="de-DE"/>
              </w:rPr>
              <w:t>2)</w:t>
            </w:r>
          </w:p>
        </w:tc>
        <w:tc>
          <w:tcPr>
            <w:tcW w:w="851" w:type="dxa"/>
            <w:noWrap/>
            <w:vAlign w:val="center"/>
          </w:tcPr>
          <w:p w14:paraId="38AF787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EAE2CB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AF6A2D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22D16EE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797EC6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A561C5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48B04E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448327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0C5C91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3154B68" w14:textId="77777777" w:rsidTr="001F4995">
        <w:trPr>
          <w:trHeight w:val="20"/>
        </w:trPr>
        <w:tc>
          <w:tcPr>
            <w:tcW w:w="469" w:type="dxa"/>
            <w:shd w:val="clear" w:color="auto" w:fill="auto"/>
            <w:noWrap/>
          </w:tcPr>
          <w:p w14:paraId="5E17E58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14</w:t>
            </w:r>
          </w:p>
        </w:tc>
        <w:tc>
          <w:tcPr>
            <w:tcW w:w="4214" w:type="dxa"/>
            <w:shd w:val="clear" w:color="auto" w:fill="FFFFFF"/>
          </w:tcPr>
          <w:p w14:paraId="55CDD63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Plattenbelägen</w:t>
            </w:r>
            <w:r w:rsidRPr="001F4995">
              <w:rPr>
                <w:rFonts w:ascii="Times New Roman" w:eastAsia="Times New Roman" w:hAnsi="Times New Roman" w:cs="Times New Roman"/>
                <w:sz w:val="18"/>
                <w:szCs w:val="18"/>
                <w:vertAlign w:val="superscript"/>
                <w:lang w:eastAsia="de-DE"/>
              </w:rPr>
              <w:t>2)</w:t>
            </w:r>
          </w:p>
        </w:tc>
        <w:tc>
          <w:tcPr>
            <w:tcW w:w="851" w:type="dxa"/>
            <w:noWrap/>
            <w:vAlign w:val="center"/>
          </w:tcPr>
          <w:p w14:paraId="549F07B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3F6EEB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3318F8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7F5C9B0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EB4BCC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6BAF8B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DE500F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563C8B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01725E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112940E" w14:textId="77777777" w:rsidTr="001F4995">
        <w:trPr>
          <w:trHeight w:val="20"/>
        </w:trPr>
        <w:tc>
          <w:tcPr>
            <w:tcW w:w="469" w:type="dxa"/>
            <w:shd w:val="clear" w:color="auto" w:fill="auto"/>
            <w:noWrap/>
          </w:tcPr>
          <w:p w14:paraId="42FABBB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15</w:t>
            </w:r>
          </w:p>
        </w:tc>
        <w:tc>
          <w:tcPr>
            <w:tcW w:w="4214" w:type="dxa"/>
            <w:shd w:val="clear" w:color="auto" w:fill="FFFFFF"/>
          </w:tcPr>
          <w:p w14:paraId="2800E4C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Bauweisen 13 unter Pflaster </w:t>
            </w:r>
            <w:r w:rsidRPr="001F4995">
              <w:rPr>
                <w:rFonts w:ascii="Times New Roman" w:eastAsia="Times New Roman" w:hAnsi="Times New Roman" w:cs="Times New Roman"/>
                <w:sz w:val="18"/>
                <w:szCs w:val="18"/>
                <w:vertAlign w:val="superscript"/>
                <w:lang w:eastAsia="de-DE"/>
              </w:rPr>
              <w:t>2)</w:t>
            </w:r>
          </w:p>
        </w:tc>
        <w:tc>
          <w:tcPr>
            <w:tcW w:w="851" w:type="dxa"/>
            <w:noWrap/>
            <w:vAlign w:val="center"/>
          </w:tcPr>
          <w:p w14:paraId="45566D9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FB6B03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E92111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04A61ED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3F9A0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A9AC6F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ED0D51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1C8CA76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AFE190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6F31DE9" w14:textId="77777777" w:rsidTr="001F4995">
        <w:trPr>
          <w:trHeight w:val="20"/>
        </w:trPr>
        <w:tc>
          <w:tcPr>
            <w:tcW w:w="469" w:type="dxa"/>
            <w:shd w:val="clear" w:color="auto" w:fill="auto"/>
            <w:noWrap/>
          </w:tcPr>
          <w:p w14:paraId="20C6C29E"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16</w:t>
            </w:r>
          </w:p>
        </w:tc>
        <w:tc>
          <w:tcPr>
            <w:tcW w:w="4214" w:type="dxa"/>
            <w:shd w:val="clear" w:color="auto" w:fill="FFFFFF"/>
          </w:tcPr>
          <w:p w14:paraId="0424DF99"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analog zu Bauweise E des MTSE </w:t>
            </w:r>
            <w:r w:rsidRPr="001F4995">
              <w:rPr>
                <w:rFonts w:ascii="Times New Roman" w:eastAsia="Times New Roman" w:hAnsi="Times New Roman" w:cs="Times New Roman"/>
                <w:sz w:val="18"/>
                <w:szCs w:val="18"/>
                <w:vertAlign w:val="superscript"/>
                <w:lang w:eastAsia="de-DE"/>
              </w:rPr>
              <w:t>2)</w:t>
            </w:r>
          </w:p>
        </w:tc>
        <w:tc>
          <w:tcPr>
            <w:tcW w:w="851" w:type="dxa"/>
            <w:noWrap/>
            <w:vAlign w:val="center"/>
          </w:tcPr>
          <w:p w14:paraId="15A2ACE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64" w:type="dxa"/>
            <w:noWrap/>
            <w:vAlign w:val="center"/>
          </w:tcPr>
          <w:p w14:paraId="1CCFD5D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C4C3EB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44101FD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9A18DA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5C3719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5E9A3B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5F3A98F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60B34B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8C49EDC" w14:textId="77777777" w:rsidTr="001F4995">
        <w:trPr>
          <w:trHeight w:val="208"/>
        </w:trPr>
        <w:tc>
          <w:tcPr>
            <w:tcW w:w="469" w:type="dxa"/>
            <w:shd w:val="clear" w:color="auto" w:fill="auto"/>
            <w:noWrap/>
          </w:tcPr>
          <w:p w14:paraId="47CF590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17</w:t>
            </w:r>
          </w:p>
        </w:tc>
        <w:tc>
          <w:tcPr>
            <w:tcW w:w="4214" w:type="dxa"/>
            <w:shd w:val="clear" w:color="auto" w:fill="FFFFFF"/>
          </w:tcPr>
          <w:p w14:paraId="78970BC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Dämme und Schutzwälle ohne Maßnahmen nach MTSE unter durchwurzelbarer Bodenschicht</w:t>
            </w:r>
            <w:r w:rsidRPr="001F4995">
              <w:rPr>
                <w:rFonts w:ascii="Times New Roman" w:eastAsia="Times New Roman" w:hAnsi="Times New Roman" w:cs="Times New Roman"/>
                <w:sz w:val="18"/>
                <w:szCs w:val="18"/>
                <w:vertAlign w:val="superscript"/>
                <w:lang w:eastAsia="de-DE"/>
              </w:rPr>
              <w:t>2)</w:t>
            </w:r>
          </w:p>
        </w:tc>
        <w:tc>
          <w:tcPr>
            <w:tcW w:w="851" w:type="dxa"/>
            <w:noWrap/>
            <w:vAlign w:val="center"/>
          </w:tcPr>
          <w:p w14:paraId="55ACA26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ADEDE5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303E3A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67" w:type="dxa"/>
            <w:noWrap/>
            <w:vAlign w:val="center"/>
          </w:tcPr>
          <w:p w14:paraId="37406A4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D3A415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EE9AA1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52F9F2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EFA8BB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CCFBE4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bl>
    <w:p w14:paraId="5A0F46AC" w14:textId="1549717F" w:rsidR="001F4995" w:rsidRPr="001F4995" w:rsidRDefault="00D5621D" w:rsidP="001F4995">
      <w:pPr>
        <w:spacing w:before="0" w:after="0"/>
        <w:jc w:val="left"/>
        <w:rPr>
          <w:rFonts w:ascii="Times New Roman" w:eastAsia="Times New Roman" w:hAnsi="Times New Roman" w:cs="Times New Roman"/>
          <w:sz w:val="16"/>
          <w:szCs w:val="16"/>
          <w:lang w:eastAsia="de-DE"/>
        </w:rPr>
      </w:pPr>
      <w:r>
        <w:rPr>
          <w:rFonts w:ascii="Times New Roman" w:eastAsia="Times New Roman" w:hAnsi="Times New Roman" w:cs="Times New Roman"/>
          <w:sz w:val="16"/>
          <w:szCs w:val="16"/>
          <w:lang w:eastAsia="de-DE"/>
        </w:rPr>
        <w:t xml:space="preserve">1) Zulässig, wenn „K“ und </w:t>
      </w:r>
      <w:r w:rsidR="001F4995" w:rsidRPr="001F4995">
        <w:rPr>
          <w:rFonts w:ascii="Times New Roman" w:eastAsia="Times New Roman" w:hAnsi="Times New Roman" w:cs="Times New Roman"/>
          <w:sz w:val="16"/>
          <w:szCs w:val="16"/>
          <w:lang w:eastAsia="de-DE"/>
        </w:rPr>
        <w:t xml:space="preserve">Chrom, ges. </w:t>
      </w:r>
      <w:r w:rsidR="001F4995" w:rsidRPr="001F4995">
        <w:rPr>
          <w:rFonts w:ascii="Times New Roman" w:eastAsia="Times New Roman" w:hAnsi="Times New Roman" w:cs="Times New Roman"/>
          <w:sz w:val="16"/>
          <w:szCs w:val="16"/>
          <w:lang w:eastAsia="de-DE"/>
        </w:rPr>
        <w:sym w:font="Symbol" w:char="F0A3"/>
      </w:r>
      <w:r w:rsidR="001F4995" w:rsidRPr="001F4995">
        <w:rPr>
          <w:rFonts w:ascii="Times New Roman" w:eastAsia="Times New Roman" w:hAnsi="Times New Roman" w:cs="Times New Roman"/>
          <w:sz w:val="16"/>
          <w:szCs w:val="16"/>
          <w:lang w:eastAsia="de-DE"/>
        </w:rPr>
        <w:t xml:space="preserve"> 65 µg/l.</w:t>
      </w:r>
    </w:p>
    <w:p w14:paraId="17170BC7" w14:textId="46C27FA1" w:rsid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2) nicht zugelassen auf Kinderspielflächen, in Wohngebieten oder Park- und Freizeitanlagen, es gelten die Begriffsbestimmu</w:t>
      </w:r>
      <w:r w:rsidR="00D5621D">
        <w:rPr>
          <w:rFonts w:ascii="Times New Roman" w:eastAsia="Times New Roman" w:hAnsi="Times New Roman" w:cs="Times New Roman"/>
          <w:sz w:val="16"/>
          <w:szCs w:val="16"/>
          <w:lang w:eastAsia="de-DE"/>
        </w:rPr>
        <w:t xml:space="preserve">ngen gemäß </w:t>
      </w:r>
      <w:r w:rsidRPr="001F4995">
        <w:rPr>
          <w:rFonts w:ascii="Times New Roman" w:eastAsia="Times New Roman" w:hAnsi="Times New Roman" w:cs="Times New Roman"/>
          <w:sz w:val="16"/>
          <w:szCs w:val="16"/>
          <w:lang w:eastAsia="de-DE"/>
        </w:rPr>
        <w:t xml:space="preserve">§ 2 Nummer 18, 19, 20 </w:t>
      </w:r>
      <w:proofErr w:type="spellStart"/>
      <w:r w:rsidRPr="001F4995">
        <w:rPr>
          <w:rFonts w:ascii="Times New Roman" w:eastAsia="Times New Roman" w:hAnsi="Times New Roman" w:cs="Times New Roman"/>
          <w:sz w:val="16"/>
          <w:szCs w:val="16"/>
          <w:lang w:eastAsia="de-DE"/>
        </w:rPr>
        <w:t>BBodSchV</w:t>
      </w:r>
      <w:proofErr w:type="spellEnd"/>
      <w:r w:rsidRPr="001F4995">
        <w:rPr>
          <w:rFonts w:ascii="Times New Roman" w:eastAsia="Times New Roman" w:hAnsi="Times New Roman" w:cs="Times New Roman"/>
          <w:sz w:val="16"/>
          <w:szCs w:val="16"/>
          <w:lang w:eastAsia="de-DE"/>
        </w:rPr>
        <w:t>.</w:t>
      </w:r>
    </w:p>
    <w:p w14:paraId="261502C3" w14:textId="683DA51F" w:rsidR="001F4995" w:rsidRPr="001F4995" w:rsidRDefault="001F4995" w:rsidP="001F4995">
      <w:pPr>
        <w:pStyle w:val="berschrift1"/>
      </w:pPr>
      <w:r>
        <w:rPr>
          <w:rFonts w:ascii="Times New Roman" w:eastAsia="Times New Roman" w:hAnsi="Times New Roman" w:cs="Times New Roman"/>
          <w:sz w:val="16"/>
          <w:szCs w:val="16"/>
          <w:lang w:eastAsia="de-DE"/>
        </w:rPr>
        <w:br w:type="page"/>
      </w:r>
      <w:bookmarkStart w:id="46" w:name="_Toc30749716"/>
      <w:r w:rsidRPr="008D0377">
        <w:lastRenderedPageBreak/>
        <w:t>Tabelle 27: Hausmüllverbrennungsasche der Klasse 2 (HMVA-2)]</w:t>
      </w:r>
    </w:p>
    <w:bookmarkEnd w:id="46"/>
    <w:p w14:paraId="0F17B455" w14:textId="77777777" w:rsidR="001F4995" w:rsidRPr="001F4995" w:rsidRDefault="001F4995" w:rsidP="001F4995">
      <w:pPr>
        <w:keepNext/>
        <w:spacing w:before="0" w:after="200"/>
        <w:jc w:val="left"/>
        <w:rPr>
          <w:rFonts w:ascii="Times New Roman" w:eastAsia="Calibri" w:hAnsi="Times New Roman" w:cs="Times New Roman"/>
          <w:b/>
          <w:sz w:val="18"/>
          <w:szCs w:val="18"/>
        </w:rPr>
      </w:pPr>
    </w:p>
    <w:tbl>
      <w:tblPr>
        <w:tblW w:w="11215" w:type="dxa"/>
        <w:tblInd w:w="-1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
        <w:gridCol w:w="4214"/>
        <w:gridCol w:w="851"/>
        <w:gridCol w:w="664"/>
        <w:gridCol w:w="1185"/>
        <w:gridCol w:w="780"/>
        <w:gridCol w:w="715"/>
        <w:gridCol w:w="500"/>
        <w:gridCol w:w="715"/>
        <w:gridCol w:w="542"/>
        <w:gridCol w:w="715"/>
      </w:tblGrid>
      <w:tr w:rsidR="001F4995" w:rsidRPr="001F4995" w14:paraId="5E0E4906" w14:textId="77777777" w:rsidTr="001F4995">
        <w:trPr>
          <w:trHeight w:val="330"/>
        </w:trPr>
        <w:tc>
          <w:tcPr>
            <w:tcW w:w="11215" w:type="dxa"/>
            <w:gridSpan w:val="11"/>
            <w:noWrap/>
            <w:vAlign w:val="bottom"/>
          </w:tcPr>
          <w:p w14:paraId="1B6DCAEB" w14:textId="77777777" w:rsidR="001F4995" w:rsidRPr="001F4995" w:rsidRDefault="001F4995" w:rsidP="001F4995">
            <w:pPr>
              <w:spacing w:before="0" w:after="0"/>
              <w:jc w:val="center"/>
              <w:rPr>
                <w:rFonts w:ascii="Times New Roman" w:eastAsia="Times New Roman" w:hAnsi="Times New Roman" w:cs="Times New Roman"/>
                <w:b/>
                <w:bCs/>
                <w:sz w:val="24"/>
                <w:szCs w:val="24"/>
                <w:lang w:eastAsia="de-DE"/>
              </w:rPr>
            </w:pP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r>
            <w:r w:rsidRPr="001F4995">
              <w:rPr>
                <w:rFonts w:ascii="Times New Roman" w:eastAsia="Times New Roman" w:hAnsi="Times New Roman" w:cs="Times New Roman"/>
                <w:b/>
                <w:sz w:val="24"/>
                <w:szCs w:val="24"/>
                <w:lang w:eastAsia="de-DE"/>
              </w:rPr>
              <w:br w:type="page"/>
              <w:t>Hausmüllverbrennungsasche der Klasse 2 (HMVA-2)</w:t>
            </w:r>
          </w:p>
        </w:tc>
      </w:tr>
      <w:tr w:rsidR="001F4995" w:rsidRPr="001F4995" w14:paraId="33254980" w14:textId="77777777" w:rsidTr="001F4995">
        <w:trPr>
          <w:trHeight w:val="20"/>
        </w:trPr>
        <w:tc>
          <w:tcPr>
            <w:tcW w:w="4683" w:type="dxa"/>
            <w:gridSpan w:val="2"/>
            <w:vMerge w:val="restart"/>
            <w:shd w:val="clear" w:color="auto" w:fill="auto"/>
            <w:noWrap/>
          </w:tcPr>
          <w:p w14:paraId="65145919"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Einbauweise</w:t>
            </w:r>
          </w:p>
        </w:tc>
        <w:tc>
          <w:tcPr>
            <w:tcW w:w="6532" w:type="dxa"/>
            <w:gridSpan w:val="9"/>
            <w:shd w:val="clear" w:color="auto" w:fill="auto"/>
            <w:noWrap/>
            <w:vAlign w:val="center"/>
          </w:tcPr>
          <w:p w14:paraId="58AAFFD4" w14:textId="77777777" w:rsidR="001F4995" w:rsidRPr="001F4995" w:rsidRDefault="001F4995" w:rsidP="001F4995">
            <w:pPr>
              <w:spacing w:before="0" w:after="0"/>
              <w:jc w:val="center"/>
              <w:rPr>
                <w:rFonts w:ascii="Times New Roman" w:eastAsia="Times New Roman" w:hAnsi="Times New Roman" w:cs="Times New Roman"/>
                <w:b/>
                <w:sz w:val="24"/>
                <w:szCs w:val="24"/>
                <w:lang w:eastAsia="de-DE"/>
              </w:rPr>
            </w:pPr>
            <w:r w:rsidRPr="001F4995">
              <w:rPr>
                <w:rFonts w:ascii="Times New Roman" w:eastAsia="Times New Roman" w:hAnsi="Times New Roman" w:cs="Times New Roman"/>
                <w:b/>
                <w:sz w:val="24"/>
                <w:szCs w:val="24"/>
                <w:lang w:eastAsia="de-DE"/>
              </w:rPr>
              <w:t>Eigenschaft der Grundwasserdeckschicht</w:t>
            </w:r>
          </w:p>
        </w:tc>
      </w:tr>
      <w:tr w:rsidR="001F4995" w:rsidRPr="001F4995" w14:paraId="3503F663" w14:textId="77777777" w:rsidTr="001F4995">
        <w:trPr>
          <w:trHeight w:val="20"/>
        </w:trPr>
        <w:tc>
          <w:tcPr>
            <w:tcW w:w="4683" w:type="dxa"/>
            <w:gridSpan w:val="2"/>
            <w:vMerge/>
            <w:shd w:val="clear" w:color="auto" w:fill="auto"/>
            <w:noWrap/>
            <w:vAlign w:val="center"/>
          </w:tcPr>
          <w:p w14:paraId="3881730A" w14:textId="77777777" w:rsidR="001F4995" w:rsidRPr="001F4995" w:rsidRDefault="001F4995" w:rsidP="001F4995">
            <w:pPr>
              <w:spacing w:before="0" w:after="0"/>
              <w:jc w:val="center"/>
              <w:rPr>
                <w:rFonts w:ascii="Times New Roman" w:eastAsia="Times New Roman" w:hAnsi="Times New Roman" w:cs="Times New Roman"/>
                <w:sz w:val="20"/>
                <w:szCs w:val="24"/>
                <w:lang w:eastAsia="de-DE"/>
              </w:rPr>
            </w:pPr>
          </w:p>
        </w:tc>
        <w:tc>
          <w:tcPr>
            <w:tcW w:w="2700" w:type="dxa"/>
            <w:gridSpan w:val="3"/>
            <w:shd w:val="clear" w:color="auto" w:fill="auto"/>
            <w:noWrap/>
            <w:vAlign w:val="center"/>
          </w:tcPr>
          <w:p w14:paraId="592721AB"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außerhalb von</w:t>
            </w:r>
          </w:p>
          <w:p w14:paraId="4D43918F"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c>
          <w:tcPr>
            <w:tcW w:w="3832" w:type="dxa"/>
            <w:gridSpan w:val="6"/>
            <w:shd w:val="clear" w:color="auto" w:fill="auto"/>
            <w:noWrap/>
            <w:vAlign w:val="center"/>
          </w:tcPr>
          <w:p w14:paraId="3433FF21"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innerhalb von</w:t>
            </w:r>
          </w:p>
          <w:p w14:paraId="49CF6935"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Wasserschutzbereichen</w:t>
            </w:r>
          </w:p>
        </w:tc>
      </w:tr>
      <w:tr w:rsidR="001F4995" w:rsidRPr="001F4995" w14:paraId="4E773941" w14:textId="77777777" w:rsidTr="001F4995">
        <w:trPr>
          <w:trHeight w:val="20"/>
        </w:trPr>
        <w:tc>
          <w:tcPr>
            <w:tcW w:w="4683" w:type="dxa"/>
            <w:gridSpan w:val="2"/>
            <w:vMerge/>
            <w:shd w:val="clear" w:color="auto" w:fill="auto"/>
            <w:noWrap/>
            <w:vAlign w:val="center"/>
          </w:tcPr>
          <w:p w14:paraId="74100F8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27308689"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proofErr w:type="spellStart"/>
            <w:r w:rsidRPr="001F4995">
              <w:rPr>
                <w:rFonts w:ascii="Times New Roman" w:eastAsia="Times New Roman" w:hAnsi="Times New Roman" w:cs="Times New Roman"/>
                <w:sz w:val="20"/>
                <w:szCs w:val="20"/>
                <w:lang w:eastAsia="de-DE"/>
              </w:rPr>
              <w:t>un</w:t>
            </w:r>
            <w:proofErr w:type="spellEnd"/>
            <w:r w:rsidRPr="001F4995">
              <w:rPr>
                <w:rFonts w:ascii="Times New Roman" w:eastAsia="Times New Roman" w:hAnsi="Times New Roman" w:cs="Times New Roman"/>
                <w:sz w:val="20"/>
                <w:szCs w:val="20"/>
                <w:lang w:eastAsia="de-DE"/>
              </w:rPr>
              <w:t>-günstig</w:t>
            </w:r>
          </w:p>
        </w:tc>
        <w:tc>
          <w:tcPr>
            <w:tcW w:w="1849" w:type="dxa"/>
            <w:gridSpan w:val="2"/>
            <w:shd w:val="clear" w:color="auto" w:fill="auto"/>
            <w:noWrap/>
            <w:vAlign w:val="center"/>
          </w:tcPr>
          <w:p w14:paraId="0BA5FD2E"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c>
          <w:tcPr>
            <w:tcW w:w="3832" w:type="dxa"/>
            <w:gridSpan w:val="6"/>
            <w:shd w:val="clear" w:color="auto" w:fill="auto"/>
            <w:noWrap/>
            <w:vAlign w:val="center"/>
          </w:tcPr>
          <w:p w14:paraId="79EE8528" w14:textId="77777777" w:rsidR="001F4995" w:rsidRPr="001F4995" w:rsidRDefault="001F4995" w:rsidP="001F4995">
            <w:pPr>
              <w:spacing w:before="0" w:after="0"/>
              <w:jc w:val="center"/>
              <w:rPr>
                <w:rFonts w:ascii="Times New Roman" w:eastAsia="Times New Roman" w:hAnsi="Times New Roman" w:cs="Times New Roman"/>
                <w:sz w:val="20"/>
                <w:szCs w:val="20"/>
                <w:lang w:eastAsia="de-DE"/>
              </w:rPr>
            </w:pPr>
            <w:r w:rsidRPr="001F4995">
              <w:rPr>
                <w:rFonts w:ascii="Times New Roman" w:eastAsia="Times New Roman" w:hAnsi="Times New Roman" w:cs="Times New Roman"/>
                <w:sz w:val="20"/>
                <w:szCs w:val="20"/>
                <w:lang w:eastAsia="de-DE"/>
              </w:rPr>
              <w:t>günstig</w:t>
            </w:r>
          </w:p>
        </w:tc>
      </w:tr>
      <w:tr w:rsidR="001F4995" w:rsidRPr="001F4995" w14:paraId="13338585" w14:textId="77777777" w:rsidTr="001F4995">
        <w:trPr>
          <w:trHeight w:val="20"/>
        </w:trPr>
        <w:tc>
          <w:tcPr>
            <w:tcW w:w="4683" w:type="dxa"/>
            <w:gridSpan w:val="2"/>
            <w:vMerge/>
            <w:shd w:val="clear" w:color="auto" w:fill="auto"/>
            <w:noWrap/>
            <w:vAlign w:val="center"/>
          </w:tcPr>
          <w:p w14:paraId="4EDC57D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val="restart"/>
            <w:shd w:val="clear" w:color="auto" w:fill="auto"/>
            <w:noWrap/>
            <w:vAlign w:val="bottom"/>
          </w:tcPr>
          <w:p w14:paraId="7622BC27"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val="restart"/>
            <w:shd w:val="clear" w:color="auto" w:fill="auto"/>
            <w:noWrap/>
            <w:vAlign w:val="center"/>
          </w:tcPr>
          <w:p w14:paraId="2D99175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1185" w:type="dxa"/>
            <w:vMerge w:val="restart"/>
            <w:shd w:val="clear" w:color="auto" w:fill="auto"/>
            <w:noWrap/>
            <w:vAlign w:val="center"/>
          </w:tcPr>
          <w:p w14:paraId="6520F8C2" w14:textId="149F3CE5"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3CF4255C" w14:textId="38059514"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7D4A101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1450" w:type="dxa"/>
            <w:gridSpan w:val="2"/>
            <w:shd w:val="clear" w:color="auto" w:fill="auto"/>
            <w:noWrap/>
            <w:vAlign w:val="center"/>
          </w:tcPr>
          <w:p w14:paraId="1D57274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A</w:t>
            </w:r>
          </w:p>
        </w:tc>
        <w:tc>
          <w:tcPr>
            <w:tcW w:w="1170" w:type="dxa"/>
            <w:gridSpan w:val="2"/>
            <w:shd w:val="clear" w:color="auto" w:fill="auto"/>
            <w:noWrap/>
            <w:vAlign w:val="center"/>
          </w:tcPr>
          <w:p w14:paraId="3389C2C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WSG III B</w:t>
            </w:r>
          </w:p>
        </w:tc>
        <w:tc>
          <w:tcPr>
            <w:tcW w:w="1212" w:type="dxa"/>
            <w:gridSpan w:val="2"/>
            <w:shd w:val="clear" w:color="auto" w:fill="auto"/>
            <w:noWrap/>
            <w:vAlign w:val="center"/>
          </w:tcPr>
          <w:p w14:paraId="47012D4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Wasservor-</w:t>
            </w:r>
          </w:p>
        </w:tc>
      </w:tr>
      <w:tr w:rsidR="001F4995" w:rsidRPr="001F4995" w14:paraId="44B1DCA4" w14:textId="77777777" w:rsidTr="001F4995">
        <w:trPr>
          <w:trHeight w:val="80"/>
        </w:trPr>
        <w:tc>
          <w:tcPr>
            <w:tcW w:w="4683" w:type="dxa"/>
            <w:gridSpan w:val="2"/>
            <w:vMerge/>
            <w:shd w:val="clear" w:color="auto" w:fill="auto"/>
            <w:noWrap/>
            <w:vAlign w:val="center"/>
          </w:tcPr>
          <w:p w14:paraId="3A95E8A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240C18E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7F233604"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04DC4632"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450" w:type="dxa"/>
            <w:gridSpan w:val="2"/>
            <w:shd w:val="clear" w:color="auto" w:fill="auto"/>
            <w:noWrap/>
            <w:vAlign w:val="center"/>
          </w:tcPr>
          <w:p w14:paraId="117DA0B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III</w:t>
            </w:r>
          </w:p>
        </w:tc>
        <w:tc>
          <w:tcPr>
            <w:tcW w:w="1170" w:type="dxa"/>
            <w:gridSpan w:val="2"/>
            <w:shd w:val="clear" w:color="auto" w:fill="auto"/>
            <w:noWrap/>
            <w:vAlign w:val="center"/>
          </w:tcPr>
          <w:p w14:paraId="1B8A6671"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HSG IV</w:t>
            </w:r>
          </w:p>
        </w:tc>
        <w:tc>
          <w:tcPr>
            <w:tcW w:w="1212" w:type="dxa"/>
            <w:gridSpan w:val="2"/>
            <w:shd w:val="clear" w:color="auto" w:fill="auto"/>
            <w:noWrap/>
            <w:vAlign w:val="center"/>
          </w:tcPr>
          <w:p w14:paraId="2788C31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ranggebiete</w:t>
            </w:r>
          </w:p>
        </w:tc>
      </w:tr>
      <w:tr w:rsidR="001F4995" w:rsidRPr="001F4995" w14:paraId="1391D1E1" w14:textId="77777777" w:rsidTr="001F4995">
        <w:trPr>
          <w:trHeight w:val="80"/>
        </w:trPr>
        <w:tc>
          <w:tcPr>
            <w:tcW w:w="4683" w:type="dxa"/>
            <w:gridSpan w:val="2"/>
            <w:vMerge/>
            <w:shd w:val="clear" w:color="auto" w:fill="auto"/>
            <w:noWrap/>
            <w:vAlign w:val="center"/>
          </w:tcPr>
          <w:p w14:paraId="766A66C0"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vMerge/>
            <w:shd w:val="clear" w:color="auto" w:fill="auto"/>
            <w:noWrap/>
            <w:vAlign w:val="bottom"/>
          </w:tcPr>
          <w:p w14:paraId="6AF4D88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664" w:type="dxa"/>
            <w:vMerge/>
            <w:shd w:val="clear" w:color="auto" w:fill="auto"/>
            <w:noWrap/>
            <w:vAlign w:val="center"/>
          </w:tcPr>
          <w:p w14:paraId="4E23616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1185" w:type="dxa"/>
            <w:vMerge/>
            <w:shd w:val="clear" w:color="auto" w:fill="auto"/>
            <w:noWrap/>
            <w:vAlign w:val="center"/>
          </w:tcPr>
          <w:p w14:paraId="3E5D56D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780" w:type="dxa"/>
            <w:shd w:val="clear" w:color="auto" w:fill="auto"/>
            <w:noWrap/>
            <w:vAlign w:val="center"/>
          </w:tcPr>
          <w:p w14:paraId="1DD9FB9C"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4E96404D" w14:textId="4934E773"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752D9F63" w14:textId="0D9FEFB0"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72489BDD"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00" w:type="dxa"/>
            <w:shd w:val="clear" w:color="auto" w:fill="auto"/>
            <w:noWrap/>
            <w:vAlign w:val="center"/>
          </w:tcPr>
          <w:p w14:paraId="669053B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49E852A5" w14:textId="4BBADC4C"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70B76280" w14:textId="5AA233A3"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464AAB2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c>
          <w:tcPr>
            <w:tcW w:w="542" w:type="dxa"/>
            <w:shd w:val="clear" w:color="auto" w:fill="auto"/>
            <w:noWrap/>
            <w:vAlign w:val="center"/>
          </w:tcPr>
          <w:p w14:paraId="3995E61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Sand</w:t>
            </w:r>
          </w:p>
        </w:tc>
        <w:tc>
          <w:tcPr>
            <w:tcW w:w="670" w:type="dxa"/>
            <w:shd w:val="clear" w:color="auto" w:fill="auto"/>
            <w:vAlign w:val="center"/>
          </w:tcPr>
          <w:p w14:paraId="46A8ED27" w14:textId="1BA3E0DD"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Lehm,</w:t>
            </w:r>
          </w:p>
          <w:p w14:paraId="599EC11D" w14:textId="78F6404B"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Schluff,</w:t>
            </w:r>
          </w:p>
          <w:p w14:paraId="3A636E7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Ton</w:t>
            </w:r>
          </w:p>
        </w:tc>
      </w:tr>
      <w:tr w:rsidR="001F4995" w:rsidRPr="001F4995" w14:paraId="1A2D8FD9" w14:textId="77777777" w:rsidTr="001F4995">
        <w:trPr>
          <w:trHeight w:val="111"/>
        </w:trPr>
        <w:tc>
          <w:tcPr>
            <w:tcW w:w="4683" w:type="dxa"/>
            <w:gridSpan w:val="2"/>
            <w:vMerge/>
            <w:shd w:val="clear" w:color="auto" w:fill="auto"/>
            <w:noWrap/>
            <w:vAlign w:val="center"/>
          </w:tcPr>
          <w:p w14:paraId="5C2D67D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p>
        </w:tc>
        <w:tc>
          <w:tcPr>
            <w:tcW w:w="851" w:type="dxa"/>
            <w:shd w:val="clear" w:color="auto" w:fill="auto"/>
            <w:noWrap/>
            <w:vAlign w:val="center"/>
          </w:tcPr>
          <w:p w14:paraId="54F6CC9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w:t>
            </w:r>
          </w:p>
        </w:tc>
        <w:tc>
          <w:tcPr>
            <w:tcW w:w="664" w:type="dxa"/>
            <w:shd w:val="clear" w:color="auto" w:fill="auto"/>
            <w:noWrap/>
            <w:vAlign w:val="center"/>
          </w:tcPr>
          <w:p w14:paraId="1B14DE35"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2</w:t>
            </w:r>
          </w:p>
        </w:tc>
        <w:tc>
          <w:tcPr>
            <w:tcW w:w="1185" w:type="dxa"/>
            <w:shd w:val="clear" w:color="auto" w:fill="auto"/>
            <w:noWrap/>
            <w:vAlign w:val="center"/>
          </w:tcPr>
          <w:p w14:paraId="0A9D670E"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3</w:t>
            </w:r>
          </w:p>
        </w:tc>
        <w:tc>
          <w:tcPr>
            <w:tcW w:w="1450" w:type="dxa"/>
            <w:gridSpan w:val="2"/>
            <w:shd w:val="clear" w:color="auto" w:fill="auto"/>
            <w:noWrap/>
            <w:vAlign w:val="center"/>
          </w:tcPr>
          <w:p w14:paraId="538748B8"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4</w:t>
            </w:r>
          </w:p>
        </w:tc>
        <w:tc>
          <w:tcPr>
            <w:tcW w:w="1170" w:type="dxa"/>
            <w:gridSpan w:val="2"/>
            <w:shd w:val="clear" w:color="auto" w:fill="auto"/>
            <w:noWrap/>
            <w:vAlign w:val="center"/>
          </w:tcPr>
          <w:p w14:paraId="07FDA35F"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5</w:t>
            </w:r>
          </w:p>
        </w:tc>
        <w:tc>
          <w:tcPr>
            <w:tcW w:w="1212" w:type="dxa"/>
            <w:gridSpan w:val="2"/>
            <w:shd w:val="clear" w:color="auto" w:fill="auto"/>
            <w:noWrap/>
            <w:vAlign w:val="center"/>
          </w:tcPr>
          <w:p w14:paraId="287135E6" w14:textId="77777777" w:rsidR="001F4995" w:rsidRPr="001F4995" w:rsidRDefault="001F4995" w:rsidP="001F4995">
            <w:pPr>
              <w:spacing w:before="0" w:after="0"/>
              <w:jc w:val="center"/>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6</w:t>
            </w:r>
          </w:p>
        </w:tc>
      </w:tr>
      <w:tr w:rsidR="001F4995" w:rsidRPr="001F4995" w14:paraId="11A9AE04" w14:textId="77777777" w:rsidTr="001F4995">
        <w:trPr>
          <w:trHeight w:val="20"/>
        </w:trPr>
        <w:tc>
          <w:tcPr>
            <w:tcW w:w="469" w:type="dxa"/>
            <w:shd w:val="clear" w:color="auto" w:fill="auto"/>
            <w:noWrap/>
          </w:tcPr>
          <w:p w14:paraId="60F442C2"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w:t>
            </w:r>
          </w:p>
        </w:tc>
        <w:tc>
          <w:tcPr>
            <w:tcW w:w="4214" w:type="dxa"/>
            <w:shd w:val="clear" w:color="auto" w:fill="FFFFFF"/>
          </w:tcPr>
          <w:p w14:paraId="15B1FEE5"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Decke bitumen- oder hydraulisch gebunden, Tragschicht bitumengebunden </w:t>
            </w:r>
          </w:p>
        </w:tc>
        <w:tc>
          <w:tcPr>
            <w:tcW w:w="851" w:type="dxa"/>
            <w:noWrap/>
            <w:vAlign w:val="center"/>
          </w:tcPr>
          <w:p w14:paraId="688C58A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6B32DB9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91FC5B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72EFDED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745634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BFF88F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5365FA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noWrap/>
            <w:vAlign w:val="center"/>
          </w:tcPr>
          <w:p w14:paraId="220016B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873E87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11430CB" w14:textId="77777777" w:rsidTr="001F4995">
        <w:trPr>
          <w:trHeight w:val="20"/>
        </w:trPr>
        <w:tc>
          <w:tcPr>
            <w:tcW w:w="469" w:type="dxa"/>
            <w:shd w:val="clear" w:color="auto" w:fill="auto"/>
            <w:noWrap/>
          </w:tcPr>
          <w:p w14:paraId="35859D4E"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2</w:t>
            </w:r>
          </w:p>
        </w:tc>
        <w:tc>
          <w:tcPr>
            <w:tcW w:w="4214" w:type="dxa"/>
            <w:shd w:val="clear" w:color="auto" w:fill="FFFFFF"/>
          </w:tcPr>
          <w:p w14:paraId="61F0889C"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Unterbau unter Fundament- oder Bodenplatten, Bodenverfestigung unter gebundener Deckschicht</w:t>
            </w:r>
          </w:p>
        </w:tc>
        <w:tc>
          <w:tcPr>
            <w:tcW w:w="851" w:type="dxa"/>
            <w:noWrap/>
            <w:vAlign w:val="center"/>
          </w:tcPr>
          <w:p w14:paraId="63B5A94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4B2B019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BEA16E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6E7CF26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A6C67D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BD921F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3F7C4D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2346242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4E49AD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5930005" w14:textId="77777777" w:rsidTr="001F4995">
        <w:trPr>
          <w:trHeight w:val="20"/>
        </w:trPr>
        <w:tc>
          <w:tcPr>
            <w:tcW w:w="469" w:type="dxa"/>
            <w:shd w:val="clear" w:color="auto" w:fill="auto"/>
            <w:noWrap/>
          </w:tcPr>
          <w:p w14:paraId="5EA0D906"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3</w:t>
            </w:r>
          </w:p>
        </w:tc>
        <w:tc>
          <w:tcPr>
            <w:tcW w:w="4214" w:type="dxa"/>
            <w:shd w:val="clear" w:color="auto" w:fill="FFFFFF"/>
          </w:tcPr>
          <w:p w14:paraId="5BB2AFFE"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Tragschicht mit hydraulischen Bindemitteln unter gebundener Deckschicht</w:t>
            </w:r>
          </w:p>
        </w:tc>
        <w:tc>
          <w:tcPr>
            <w:tcW w:w="851" w:type="dxa"/>
            <w:noWrap/>
            <w:vAlign w:val="center"/>
          </w:tcPr>
          <w:p w14:paraId="711683E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7D0277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5785D5C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4466B77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39A16D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96B2D8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FBEF58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BDD1EB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CEF5B6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C932BF0" w14:textId="77777777" w:rsidTr="001F4995">
        <w:trPr>
          <w:trHeight w:val="20"/>
        </w:trPr>
        <w:tc>
          <w:tcPr>
            <w:tcW w:w="469" w:type="dxa"/>
            <w:shd w:val="clear" w:color="auto" w:fill="auto"/>
            <w:noWrap/>
          </w:tcPr>
          <w:p w14:paraId="2374AC17"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4</w:t>
            </w:r>
          </w:p>
        </w:tc>
        <w:tc>
          <w:tcPr>
            <w:tcW w:w="4214" w:type="dxa"/>
            <w:shd w:val="clear" w:color="auto" w:fill="FFFFFF"/>
          </w:tcPr>
          <w:p w14:paraId="4DFAB3F7" w14:textId="77777777" w:rsidR="001F4995" w:rsidRPr="001F4995" w:rsidRDefault="001F4995" w:rsidP="001F4995">
            <w:pPr>
              <w:spacing w:before="0" w:after="0"/>
              <w:jc w:val="left"/>
              <w:rPr>
                <w:rFonts w:ascii="Times New Roman" w:eastAsia="Times New Roman" w:hAnsi="Times New Roman" w:cs="Times New Roman"/>
                <w:sz w:val="18"/>
                <w:szCs w:val="18"/>
                <w:vertAlign w:val="superscript"/>
                <w:lang w:eastAsia="de-DE"/>
              </w:rPr>
            </w:pPr>
            <w:r w:rsidRPr="001F4995">
              <w:rPr>
                <w:rFonts w:ascii="Times New Roman" w:eastAsia="Times New Roman" w:hAnsi="Times New Roman" w:cs="Times New Roman"/>
                <w:sz w:val="18"/>
                <w:szCs w:val="18"/>
                <w:lang w:eastAsia="de-DE"/>
              </w:rPr>
              <w:t>Verfüllung von Baugruben und Leitungsgräben</w:t>
            </w:r>
            <w:r w:rsidRPr="001F4995">
              <w:rPr>
                <w:rFonts w:ascii="Times New Roman" w:eastAsia="Times New Roman" w:hAnsi="Times New Roman" w:cs="Times New Roman"/>
                <w:sz w:val="18"/>
                <w:szCs w:val="18"/>
                <w:vertAlign w:val="superscript"/>
                <w:lang w:eastAsia="de-DE"/>
              </w:rPr>
              <w:t>2)</w:t>
            </w:r>
            <w:r w:rsidRPr="001F4995">
              <w:rPr>
                <w:rFonts w:ascii="Times New Roman" w:eastAsia="Times New Roman" w:hAnsi="Times New Roman" w:cs="Times New Roman"/>
                <w:sz w:val="18"/>
                <w:szCs w:val="18"/>
                <w:lang w:eastAsia="de-DE"/>
              </w:rPr>
              <w:t xml:space="preserve"> unter gebundener Deckschicht</w:t>
            </w:r>
          </w:p>
        </w:tc>
        <w:tc>
          <w:tcPr>
            <w:tcW w:w="851" w:type="dxa"/>
            <w:noWrap/>
            <w:vAlign w:val="center"/>
          </w:tcPr>
          <w:p w14:paraId="25D6DAC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E92F7A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7339DD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023AB7E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21AD728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16108B6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3C1BD4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A86F6C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6B5192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713A2DF3" w14:textId="77777777" w:rsidTr="001F4995">
        <w:trPr>
          <w:trHeight w:val="20"/>
        </w:trPr>
        <w:tc>
          <w:tcPr>
            <w:tcW w:w="469" w:type="dxa"/>
            <w:shd w:val="clear" w:color="auto" w:fill="auto"/>
            <w:noWrap/>
          </w:tcPr>
          <w:p w14:paraId="55095B58"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5</w:t>
            </w:r>
          </w:p>
        </w:tc>
        <w:tc>
          <w:tcPr>
            <w:tcW w:w="4214" w:type="dxa"/>
            <w:shd w:val="clear" w:color="auto" w:fill="FFFFFF"/>
          </w:tcPr>
          <w:p w14:paraId="630231E8"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Asphalttragschicht (teilwasserdurchlässig) unter Pflasterdecken und Plattenbelägen, Tragschicht hydraulisch gebunden (Dränbeton) unter Pflaster und Platten</w:t>
            </w:r>
          </w:p>
        </w:tc>
        <w:tc>
          <w:tcPr>
            <w:tcW w:w="851" w:type="dxa"/>
            <w:noWrap/>
            <w:vAlign w:val="center"/>
          </w:tcPr>
          <w:p w14:paraId="6641838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A606BC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013639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62DFAD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A0B5E2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128821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A13B0D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1073944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D0B2FE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3D6240B" w14:textId="77777777" w:rsidTr="001F4995">
        <w:trPr>
          <w:trHeight w:val="20"/>
        </w:trPr>
        <w:tc>
          <w:tcPr>
            <w:tcW w:w="469" w:type="dxa"/>
            <w:shd w:val="clear" w:color="auto" w:fill="auto"/>
            <w:noWrap/>
          </w:tcPr>
          <w:p w14:paraId="6001AC7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6</w:t>
            </w:r>
          </w:p>
        </w:tc>
        <w:tc>
          <w:tcPr>
            <w:tcW w:w="4214" w:type="dxa"/>
            <w:shd w:val="clear" w:color="auto" w:fill="FFFFFF"/>
          </w:tcPr>
          <w:p w14:paraId="3B429F0F" w14:textId="77777777" w:rsidR="001F4995" w:rsidRPr="001F4995" w:rsidRDefault="001F4995" w:rsidP="001F4995">
            <w:pPr>
              <w:spacing w:before="0" w:after="0"/>
              <w:jc w:val="left"/>
              <w:rPr>
                <w:rFonts w:ascii="Times New Roman" w:eastAsia="Times New Roman" w:hAnsi="Times New Roman" w:cs="Times New Roman"/>
                <w:sz w:val="18"/>
                <w:szCs w:val="18"/>
                <w:vertAlign w:val="superscript"/>
                <w:lang w:eastAsia="de-DE"/>
              </w:rPr>
            </w:pPr>
            <w:r w:rsidRPr="001F4995">
              <w:rPr>
                <w:rFonts w:ascii="Times New Roman" w:eastAsia="Times New Roman" w:hAnsi="Times New Roman" w:cs="Times New Roman"/>
                <w:sz w:val="18"/>
                <w:szCs w:val="18"/>
                <w:lang w:eastAsia="de-DE"/>
              </w:rPr>
              <w:t>Bettung</w:t>
            </w:r>
            <w:r w:rsidRPr="001F4995">
              <w:rPr>
                <w:rFonts w:ascii="Times New Roman" w:eastAsia="Times New Roman" w:hAnsi="Times New Roman" w:cs="Times New Roman"/>
                <w:sz w:val="18"/>
                <w:szCs w:val="18"/>
                <w:vertAlign w:val="superscript"/>
                <w:lang w:eastAsia="de-DE"/>
              </w:rPr>
              <w:t>2)</w:t>
            </w:r>
            <w:r w:rsidRPr="001F4995">
              <w:rPr>
                <w:rFonts w:ascii="Times New Roman" w:eastAsia="Times New Roman" w:hAnsi="Times New Roman" w:cs="Times New Roman"/>
                <w:sz w:val="18"/>
                <w:szCs w:val="18"/>
                <w:lang w:eastAsia="de-DE"/>
              </w:rPr>
              <w:t>, Frostschutz- oder Tragschicht unter Pflaster oder Platten jeweils mit wasserundurchlässiger Fugenabdichtung</w:t>
            </w:r>
          </w:p>
        </w:tc>
        <w:tc>
          <w:tcPr>
            <w:tcW w:w="851" w:type="dxa"/>
            <w:noWrap/>
            <w:vAlign w:val="center"/>
          </w:tcPr>
          <w:p w14:paraId="05DCDB0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4CAF6C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9691CD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5084059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3D79FE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21EABF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DB852E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350A9B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88C278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0E0F321" w14:textId="77777777" w:rsidTr="001F4995">
        <w:trPr>
          <w:trHeight w:val="20"/>
        </w:trPr>
        <w:tc>
          <w:tcPr>
            <w:tcW w:w="469" w:type="dxa"/>
            <w:shd w:val="clear" w:color="auto" w:fill="auto"/>
            <w:noWrap/>
          </w:tcPr>
          <w:p w14:paraId="09317FF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7</w:t>
            </w:r>
          </w:p>
        </w:tc>
        <w:tc>
          <w:tcPr>
            <w:tcW w:w="4214" w:type="dxa"/>
            <w:shd w:val="clear" w:color="auto" w:fill="FFFFFF"/>
          </w:tcPr>
          <w:p w14:paraId="4B078CAF"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Schottertragschicht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unter gebundener Deckschicht </w:t>
            </w:r>
          </w:p>
        </w:tc>
        <w:tc>
          <w:tcPr>
            <w:tcW w:w="851" w:type="dxa"/>
            <w:noWrap/>
            <w:vAlign w:val="center"/>
          </w:tcPr>
          <w:p w14:paraId="7BAD00D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707490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D8A29B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286E97C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35C1D91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68B2A78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8D244F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25AC2D1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94AAD2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0B2AB97" w14:textId="77777777" w:rsidTr="001F4995">
        <w:trPr>
          <w:trHeight w:val="20"/>
        </w:trPr>
        <w:tc>
          <w:tcPr>
            <w:tcW w:w="469" w:type="dxa"/>
            <w:shd w:val="clear" w:color="auto" w:fill="auto"/>
            <w:noWrap/>
          </w:tcPr>
          <w:p w14:paraId="70DC038A"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8</w:t>
            </w:r>
          </w:p>
        </w:tc>
        <w:tc>
          <w:tcPr>
            <w:tcW w:w="4214" w:type="dxa"/>
            <w:shd w:val="clear" w:color="auto" w:fill="FFFFFF"/>
          </w:tcPr>
          <w:p w14:paraId="4380BB12"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Frostschutzschicht (</w:t>
            </w: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xml:space="preserve">), Baugrundverbesserung und Unterbau bis 1 m ab Planum jeweils unter gebundener Deckschicht </w:t>
            </w:r>
          </w:p>
        </w:tc>
        <w:tc>
          <w:tcPr>
            <w:tcW w:w="851" w:type="dxa"/>
            <w:noWrap/>
            <w:vAlign w:val="center"/>
          </w:tcPr>
          <w:p w14:paraId="3C9577C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64" w:type="dxa"/>
            <w:noWrap/>
            <w:vAlign w:val="center"/>
          </w:tcPr>
          <w:p w14:paraId="4D21101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08742E4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6C2062C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70" w:type="dxa"/>
            <w:vAlign w:val="center"/>
          </w:tcPr>
          <w:p w14:paraId="3179AE2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41BDE6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r w:rsidRPr="001F4995">
              <w:rPr>
                <w:rFonts w:ascii="Times New Roman" w:eastAsia="Times New Roman" w:hAnsi="Times New Roman" w:cs="Times New Roman"/>
                <w:b/>
                <w:sz w:val="24"/>
                <w:szCs w:val="24"/>
                <w:vertAlign w:val="superscript"/>
                <w:lang w:eastAsia="de-DE"/>
              </w:rPr>
              <w:t>1)</w:t>
            </w:r>
          </w:p>
        </w:tc>
        <w:tc>
          <w:tcPr>
            <w:tcW w:w="670" w:type="dxa"/>
            <w:vAlign w:val="center"/>
          </w:tcPr>
          <w:p w14:paraId="5C2EBD2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81C38F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DC16E5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3E0127A" w14:textId="77777777" w:rsidTr="001F4995">
        <w:trPr>
          <w:trHeight w:val="20"/>
        </w:trPr>
        <w:tc>
          <w:tcPr>
            <w:tcW w:w="469" w:type="dxa"/>
            <w:shd w:val="clear" w:color="auto" w:fill="auto"/>
            <w:noWrap/>
          </w:tcPr>
          <w:p w14:paraId="216D8B3C"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9</w:t>
            </w:r>
          </w:p>
        </w:tc>
        <w:tc>
          <w:tcPr>
            <w:tcW w:w="4214" w:type="dxa"/>
            <w:shd w:val="clear" w:color="auto" w:fill="FFFFFF"/>
          </w:tcPr>
          <w:p w14:paraId="02834C4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Dämme oder Wälle gemäß Bauweisen A-D nach MTSE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im Böschungsbereich in analoger Bauweise </w:t>
            </w:r>
          </w:p>
        </w:tc>
        <w:tc>
          <w:tcPr>
            <w:tcW w:w="851" w:type="dxa"/>
            <w:noWrap/>
            <w:vAlign w:val="center"/>
          </w:tcPr>
          <w:p w14:paraId="0212CEB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691D4F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43A31FC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6407D02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AC8D8A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62C8E3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65948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A32988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213278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455016A" w14:textId="77777777" w:rsidTr="001F4995">
        <w:trPr>
          <w:trHeight w:val="20"/>
        </w:trPr>
        <w:tc>
          <w:tcPr>
            <w:tcW w:w="469" w:type="dxa"/>
            <w:shd w:val="clear" w:color="auto" w:fill="auto"/>
            <w:noWrap/>
          </w:tcPr>
          <w:p w14:paraId="3631A12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10</w:t>
            </w:r>
          </w:p>
        </w:tc>
        <w:tc>
          <w:tcPr>
            <w:tcW w:w="4214" w:type="dxa"/>
            <w:shd w:val="clear" w:color="auto" w:fill="FFFFFF"/>
          </w:tcPr>
          <w:p w14:paraId="28FFFC95"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Damm oder Wall gemäß Bauweise E nach MTSE </w:t>
            </w:r>
          </w:p>
        </w:tc>
        <w:tc>
          <w:tcPr>
            <w:tcW w:w="851" w:type="dxa"/>
            <w:noWrap/>
            <w:vAlign w:val="center"/>
          </w:tcPr>
          <w:p w14:paraId="7F89A86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5F0F8F0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72EEDE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50CE4DF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5930DF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458BD73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0CCE11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6EE48725"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0219B7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402C28A3" w14:textId="77777777" w:rsidTr="001F4995">
        <w:trPr>
          <w:trHeight w:val="20"/>
        </w:trPr>
        <w:tc>
          <w:tcPr>
            <w:tcW w:w="469" w:type="dxa"/>
            <w:shd w:val="clear" w:color="auto" w:fill="auto"/>
            <w:noWrap/>
          </w:tcPr>
          <w:p w14:paraId="3C23FE4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11</w:t>
            </w:r>
          </w:p>
        </w:tc>
        <w:tc>
          <w:tcPr>
            <w:tcW w:w="4214" w:type="dxa"/>
            <w:shd w:val="clear" w:color="auto" w:fill="FFFFFF"/>
          </w:tcPr>
          <w:p w14:paraId="4BDF8BB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Bettungssand unter Pflaster oder unter Plattenbelägen</w:t>
            </w:r>
          </w:p>
        </w:tc>
        <w:tc>
          <w:tcPr>
            <w:tcW w:w="851" w:type="dxa"/>
            <w:noWrap/>
            <w:vAlign w:val="center"/>
          </w:tcPr>
          <w:p w14:paraId="59FED63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206D292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16D01B2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48AE6F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66EBDA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11DDF7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7212C06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546B358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FF0B3B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26C37750" w14:textId="77777777" w:rsidTr="001F4995">
        <w:trPr>
          <w:trHeight w:val="20"/>
        </w:trPr>
        <w:tc>
          <w:tcPr>
            <w:tcW w:w="469" w:type="dxa"/>
            <w:shd w:val="clear" w:color="auto" w:fill="auto"/>
            <w:noWrap/>
          </w:tcPr>
          <w:p w14:paraId="791FB9E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12</w:t>
            </w:r>
          </w:p>
        </w:tc>
        <w:tc>
          <w:tcPr>
            <w:tcW w:w="4214" w:type="dxa"/>
            <w:shd w:val="clear" w:color="auto" w:fill="FFFFFF"/>
          </w:tcPr>
          <w:p w14:paraId="512C823A"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Deckschicht ohne Bindemittel</w:t>
            </w:r>
          </w:p>
        </w:tc>
        <w:tc>
          <w:tcPr>
            <w:tcW w:w="851" w:type="dxa"/>
            <w:noWrap/>
            <w:vAlign w:val="center"/>
          </w:tcPr>
          <w:p w14:paraId="338CCFB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C08DDB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3B2DBD1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64BB3959"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7D93F50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302CFF3E"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4948A96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397403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C8649A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6EDF0695" w14:textId="77777777" w:rsidTr="001F4995">
        <w:trPr>
          <w:trHeight w:val="20"/>
        </w:trPr>
        <w:tc>
          <w:tcPr>
            <w:tcW w:w="469" w:type="dxa"/>
            <w:shd w:val="clear" w:color="auto" w:fill="auto"/>
            <w:noWrap/>
          </w:tcPr>
          <w:p w14:paraId="33C4F907"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13</w:t>
            </w:r>
          </w:p>
        </w:tc>
        <w:tc>
          <w:tcPr>
            <w:tcW w:w="4214" w:type="dxa"/>
            <w:shd w:val="clear" w:color="auto" w:fill="FFFFFF"/>
          </w:tcPr>
          <w:p w14:paraId="26924787"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ToB</w:t>
            </w:r>
            <w:proofErr w:type="spellEnd"/>
            <w:r w:rsidRPr="001F4995">
              <w:rPr>
                <w:rFonts w:ascii="Times New Roman" w:eastAsia="Times New Roman" w:hAnsi="Times New Roman" w:cs="Times New Roman"/>
                <w:sz w:val="18"/>
                <w:szCs w:val="18"/>
                <w:lang w:eastAsia="de-DE"/>
              </w:rPr>
              <w:t>, Baugrundverbesserung, Bodenverfestigung, Unterbau bis 1m Dicke ab Planum sowie Verfüllung von Baugruben und Leitungsgräben unter Deckschicht ohne Bindemittel</w:t>
            </w:r>
          </w:p>
        </w:tc>
        <w:tc>
          <w:tcPr>
            <w:tcW w:w="851" w:type="dxa"/>
            <w:noWrap/>
            <w:vAlign w:val="center"/>
          </w:tcPr>
          <w:p w14:paraId="54CED28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1D7009C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E348EC7"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715666E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1AB744A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3D26BB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A7A9D7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0CF816E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494787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05FBB8E" w14:textId="77777777" w:rsidTr="001F4995">
        <w:trPr>
          <w:trHeight w:val="20"/>
        </w:trPr>
        <w:tc>
          <w:tcPr>
            <w:tcW w:w="469" w:type="dxa"/>
            <w:shd w:val="clear" w:color="auto" w:fill="auto"/>
            <w:noWrap/>
          </w:tcPr>
          <w:p w14:paraId="7D0C84A7"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14</w:t>
            </w:r>
          </w:p>
        </w:tc>
        <w:tc>
          <w:tcPr>
            <w:tcW w:w="4214" w:type="dxa"/>
            <w:shd w:val="clear" w:color="auto" w:fill="FFFFFF"/>
          </w:tcPr>
          <w:p w14:paraId="6449E4B1"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Bauweisen 13 unter Plattenbelägen</w:t>
            </w:r>
          </w:p>
        </w:tc>
        <w:tc>
          <w:tcPr>
            <w:tcW w:w="851" w:type="dxa"/>
            <w:noWrap/>
            <w:vAlign w:val="center"/>
          </w:tcPr>
          <w:p w14:paraId="01D7350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81A993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6F7407D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515D39B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007CECE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5398A98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2ABF9C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3A994D6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263A948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1EE04112" w14:textId="77777777" w:rsidTr="001F4995">
        <w:trPr>
          <w:trHeight w:val="20"/>
        </w:trPr>
        <w:tc>
          <w:tcPr>
            <w:tcW w:w="469" w:type="dxa"/>
            <w:shd w:val="clear" w:color="auto" w:fill="auto"/>
            <w:noWrap/>
          </w:tcPr>
          <w:p w14:paraId="63AB143F"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15</w:t>
            </w:r>
          </w:p>
        </w:tc>
        <w:tc>
          <w:tcPr>
            <w:tcW w:w="4214" w:type="dxa"/>
            <w:shd w:val="clear" w:color="auto" w:fill="FFFFFF"/>
          </w:tcPr>
          <w:p w14:paraId="353490AD"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 xml:space="preserve">Bauweisen 13 unter Pflaster </w:t>
            </w:r>
          </w:p>
        </w:tc>
        <w:tc>
          <w:tcPr>
            <w:tcW w:w="851" w:type="dxa"/>
            <w:noWrap/>
            <w:vAlign w:val="center"/>
          </w:tcPr>
          <w:p w14:paraId="3C9F03E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3B64B01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0C37A8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063F8A26"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EA37AC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70A99C6C"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35E2D8A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5A9ECE4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95CF99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5B708002" w14:textId="77777777" w:rsidTr="001F4995">
        <w:trPr>
          <w:trHeight w:val="20"/>
        </w:trPr>
        <w:tc>
          <w:tcPr>
            <w:tcW w:w="469" w:type="dxa"/>
            <w:shd w:val="clear" w:color="auto" w:fill="auto"/>
            <w:noWrap/>
          </w:tcPr>
          <w:p w14:paraId="1C2D04E4"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16</w:t>
            </w:r>
          </w:p>
        </w:tc>
        <w:tc>
          <w:tcPr>
            <w:tcW w:w="4214" w:type="dxa"/>
            <w:shd w:val="clear" w:color="auto" w:fill="FFFFFF"/>
          </w:tcPr>
          <w:p w14:paraId="06215EE5"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von Bauwerken oder Böschungsbereich von Dämmen unter durchwurzelbarer Bodenschicht sowie </w:t>
            </w:r>
            <w:proofErr w:type="spellStart"/>
            <w:r w:rsidRPr="001F4995">
              <w:rPr>
                <w:rFonts w:ascii="Times New Roman" w:eastAsia="Times New Roman" w:hAnsi="Times New Roman" w:cs="Times New Roman"/>
                <w:sz w:val="18"/>
                <w:szCs w:val="18"/>
                <w:lang w:eastAsia="de-DE"/>
              </w:rPr>
              <w:t>Hinterfüllung</w:t>
            </w:r>
            <w:proofErr w:type="spellEnd"/>
            <w:r w:rsidRPr="001F4995">
              <w:rPr>
                <w:rFonts w:ascii="Times New Roman" w:eastAsia="Times New Roman" w:hAnsi="Times New Roman" w:cs="Times New Roman"/>
                <w:sz w:val="18"/>
                <w:szCs w:val="18"/>
                <w:lang w:eastAsia="de-DE"/>
              </w:rPr>
              <w:t xml:space="preserve"> analog zu Bauweise E des MTSE </w:t>
            </w:r>
          </w:p>
        </w:tc>
        <w:tc>
          <w:tcPr>
            <w:tcW w:w="851" w:type="dxa"/>
            <w:noWrap/>
            <w:vAlign w:val="center"/>
          </w:tcPr>
          <w:p w14:paraId="4942364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0C293FC0"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57F693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23F3385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44C6577F"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08178BD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0A5B7AE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7286258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1F5A04A2"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r w:rsidR="001F4995" w:rsidRPr="001F4995" w14:paraId="306A42E7" w14:textId="77777777" w:rsidTr="001F4995">
        <w:trPr>
          <w:trHeight w:val="208"/>
        </w:trPr>
        <w:tc>
          <w:tcPr>
            <w:tcW w:w="469" w:type="dxa"/>
            <w:shd w:val="clear" w:color="auto" w:fill="auto"/>
            <w:noWrap/>
          </w:tcPr>
          <w:p w14:paraId="05EBBFAC" w14:textId="77777777" w:rsidR="001F4995" w:rsidRPr="001F4995" w:rsidRDefault="001F4995" w:rsidP="001F4995">
            <w:pPr>
              <w:spacing w:before="0" w:after="0"/>
              <w:jc w:val="left"/>
              <w:rPr>
                <w:rFonts w:ascii="Times New Roman" w:eastAsia="Times New Roman" w:hAnsi="Times New Roman" w:cs="Times New Roman"/>
                <w:sz w:val="20"/>
                <w:szCs w:val="24"/>
                <w:lang w:eastAsia="de-DE"/>
              </w:rPr>
            </w:pPr>
            <w:r w:rsidRPr="001F4995">
              <w:rPr>
                <w:rFonts w:ascii="Times New Roman" w:eastAsia="Times New Roman" w:hAnsi="Times New Roman" w:cs="Times New Roman"/>
                <w:sz w:val="20"/>
                <w:szCs w:val="24"/>
                <w:lang w:eastAsia="de-DE"/>
              </w:rPr>
              <w:t>17</w:t>
            </w:r>
          </w:p>
        </w:tc>
        <w:tc>
          <w:tcPr>
            <w:tcW w:w="4214" w:type="dxa"/>
            <w:shd w:val="clear" w:color="auto" w:fill="FFFFFF"/>
          </w:tcPr>
          <w:p w14:paraId="4024CF06" w14:textId="77777777" w:rsidR="001F4995" w:rsidRPr="001F4995" w:rsidRDefault="001F4995" w:rsidP="001F4995">
            <w:pPr>
              <w:spacing w:before="0" w:after="0"/>
              <w:jc w:val="left"/>
              <w:rPr>
                <w:rFonts w:ascii="Times New Roman" w:eastAsia="Times New Roman" w:hAnsi="Times New Roman" w:cs="Times New Roman"/>
                <w:sz w:val="18"/>
                <w:szCs w:val="18"/>
                <w:lang w:eastAsia="de-DE"/>
              </w:rPr>
            </w:pPr>
            <w:r w:rsidRPr="001F4995">
              <w:rPr>
                <w:rFonts w:ascii="Times New Roman" w:eastAsia="Times New Roman" w:hAnsi="Times New Roman" w:cs="Times New Roman"/>
                <w:sz w:val="18"/>
                <w:szCs w:val="18"/>
                <w:lang w:eastAsia="de-DE"/>
              </w:rPr>
              <w:t>Dämme und Schutzwälle ohne Maßnahmen nach MTSE unter durchwurzelbarer Bodenschicht</w:t>
            </w:r>
          </w:p>
        </w:tc>
        <w:tc>
          <w:tcPr>
            <w:tcW w:w="851" w:type="dxa"/>
            <w:noWrap/>
            <w:vAlign w:val="center"/>
          </w:tcPr>
          <w:p w14:paraId="5F26F318"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64" w:type="dxa"/>
            <w:noWrap/>
            <w:vAlign w:val="center"/>
          </w:tcPr>
          <w:p w14:paraId="7448B85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1185" w:type="dxa"/>
            <w:noWrap/>
            <w:vAlign w:val="center"/>
          </w:tcPr>
          <w:p w14:paraId="24D576B1"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780" w:type="dxa"/>
            <w:noWrap/>
            <w:vAlign w:val="center"/>
          </w:tcPr>
          <w:p w14:paraId="2C37330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vAlign w:val="center"/>
          </w:tcPr>
          <w:p w14:paraId="5CAE4FE4"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00" w:type="dxa"/>
            <w:noWrap/>
            <w:vAlign w:val="center"/>
          </w:tcPr>
          <w:p w14:paraId="263BB353"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5B5B344B"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542" w:type="dxa"/>
            <w:shd w:val="clear" w:color="auto" w:fill="auto"/>
            <w:noWrap/>
            <w:vAlign w:val="center"/>
          </w:tcPr>
          <w:p w14:paraId="54F2037A"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c>
          <w:tcPr>
            <w:tcW w:w="670" w:type="dxa"/>
            <w:shd w:val="clear" w:color="auto" w:fill="auto"/>
            <w:vAlign w:val="center"/>
          </w:tcPr>
          <w:p w14:paraId="637C3E2D" w14:textId="77777777" w:rsidR="001F4995" w:rsidRPr="001F4995" w:rsidRDefault="001F4995" w:rsidP="001F4995">
            <w:pPr>
              <w:spacing w:before="0" w:after="0"/>
              <w:jc w:val="center"/>
              <w:rPr>
                <w:rFonts w:ascii="Times New Roman" w:eastAsia="Times New Roman" w:hAnsi="Times New Roman" w:cs="Times New Roman"/>
                <w:sz w:val="24"/>
                <w:szCs w:val="24"/>
                <w:lang w:eastAsia="de-DE"/>
              </w:rPr>
            </w:pPr>
            <w:r w:rsidRPr="001F4995">
              <w:rPr>
                <w:rFonts w:ascii="Times New Roman" w:eastAsia="Times New Roman" w:hAnsi="Times New Roman" w:cs="Times New Roman"/>
                <w:sz w:val="24"/>
                <w:szCs w:val="24"/>
                <w:lang w:eastAsia="de-DE"/>
              </w:rPr>
              <w:t>-</w:t>
            </w:r>
          </w:p>
        </w:tc>
      </w:tr>
    </w:tbl>
    <w:p w14:paraId="779569BD" w14:textId="77777777"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 xml:space="preserve">1) Zulässig, wenn Kupfer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230 µg/l und Chrom, ges. </w:t>
      </w:r>
      <w:r w:rsidRPr="001F4995">
        <w:rPr>
          <w:rFonts w:ascii="Times New Roman" w:eastAsia="Times New Roman" w:hAnsi="Times New Roman" w:cs="Times New Roman"/>
          <w:sz w:val="16"/>
          <w:szCs w:val="16"/>
          <w:lang w:eastAsia="de-DE"/>
        </w:rPr>
        <w:sym w:font="Symbol" w:char="F0A3"/>
      </w:r>
      <w:r w:rsidRPr="001F4995">
        <w:rPr>
          <w:rFonts w:ascii="Times New Roman" w:eastAsia="Times New Roman" w:hAnsi="Times New Roman" w:cs="Times New Roman"/>
          <w:sz w:val="16"/>
          <w:szCs w:val="16"/>
          <w:lang w:eastAsia="de-DE"/>
        </w:rPr>
        <w:t xml:space="preserve"> 110 µg/l. </w:t>
      </w:r>
    </w:p>
    <w:p w14:paraId="3A065EFD" w14:textId="51F0F8DD" w:rsidR="001F4995" w:rsidRPr="001F4995" w:rsidRDefault="001F4995" w:rsidP="001F4995">
      <w:pPr>
        <w:spacing w:before="0" w:after="0"/>
        <w:jc w:val="left"/>
        <w:rPr>
          <w:rFonts w:ascii="Times New Roman" w:eastAsia="Times New Roman" w:hAnsi="Times New Roman" w:cs="Times New Roman"/>
          <w:sz w:val="16"/>
          <w:szCs w:val="16"/>
          <w:lang w:eastAsia="de-DE"/>
        </w:rPr>
      </w:pPr>
      <w:r w:rsidRPr="001F4995">
        <w:rPr>
          <w:rFonts w:ascii="Times New Roman" w:eastAsia="Times New Roman" w:hAnsi="Times New Roman" w:cs="Times New Roman"/>
          <w:sz w:val="16"/>
          <w:szCs w:val="16"/>
          <w:lang w:eastAsia="de-DE"/>
        </w:rPr>
        <w:t>2) Nicht zugelassen auf Kinderspielflächen, in Wohngebieten oder Park- und Freizeitanlagen, es gelten die Begriffsbestimm</w:t>
      </w:r>
      <w:r w:rsidR="00D5621D">
        <w:rPr>
          <w:rFonts w:ascii="Times New Roman" w:eastAsia="Times New Roman" w:hAnsi="Times New Roman" w:cs="Times New Roman"/>
          <w:sz w:val="16"/>
          <w:szCs w:val="16"/>
          <w:lang w:eastAsia="de-DE"/>
        </w:rPr>
        <w:t>ungen gemäß</w:t>
      </w:r>
      <w:r w:rsidRPr="001F4995">
        <w:rPr>
          <w:rFonts w:ascii="Times New Roman" w:eastAsia="Times New Roman" w:hAnsi="Times New Roman" w:cs="Times New Roman"/>
          <w:sz w:val="16"/>
          <w:szCs w:val="16"/>
          <w:lang w:eastAsia="de-DE"/>
        </w:rPr>
        <w:t xml:space="preserve"> § 2 Nummer 18, 19, 20 </w:t>
      </w:r>
      <w:proofErr w:type="spellStart"/>
      <w:r w:rsidRPr="001F4995">
        <w:rPr>
          <w:rFonts w:ascii="Times New Roman" w:eastAsia="Times New Roman" w:hAnsi="Times New Roman" w:cs="Times New Roman"/>
          <w:sz w:val="16"/>
          <w:szCs w:val="16"/>
          <w:lang w:eastAsia="de-DE"/>
        </w:rPr>
        <w:t>BBodSchV</w:t>
      </w:r>
      <w:proofErr w:type="spellEnd"/>
      <w:r>
        <w:rPr>
          <w:rFonts w:ascii="Times New Roman" w:eastAsia="Times New Roman" w:hAnsi="Times New Roman" w:cs="Times New Roman"/>
          <w:sz w:val="16"/>
          <w:szCs w:val="16"/>
          <w:lang w:eastAsia="de-DE"/>
        </w:rPr>
        <w:t>.</w:t>
      </w:r>
    </w:p>
    <w:p w14:paraId="2176D5F8" w14:textId="77777777" w:rsidR="001F4995" w:rsidRDefault="001F4995" w:rsidP="001F4995">
      <w:pPr>
        <w:sectPr w:rsidR="001F4995" w:rsidSect="007947FE">
          <w:pgSz w:w="11907" w:h="16839"/>
          <w:pgMar w:top="1134" w:right="1417" w:bottom="1134" w:left="1701" w:header="709" w:footer="709" w:gutter="0"/>
          <w:cols w:space="708"/>
          <w:docGrid w:linePitch="360"/>
        </w:sectPr>
      </w:pPr>
    </w:p>
    <w:p w14:paraId="66FB5E90" w14:textId="77777777" w:rsidR="001F4995" w:rsidRPr="001F4995" w:rsidRDefault="001F4995" w:rsidP="001F4995">
      <w:pPr>
        <w:pStyle w:val="AnlageBezeichnernummeriert"/>
      </w:pPr>
    </w:p>
    <w:p w14:paraId="5467A17D" w14:textId="77777777" w:rsidR="001F4995" w:rsidRPr="001F4995" w:rsidRDefault="001F4995" w:rsidP="001F4995">
      <w:pPr>
        <w:pStyle w:val="AnlageVerweis"/>
        <w:jc w:val="left"/>
      </w:pPr>
      <w:r w:rsidRPr="008D0377">
        <w:t>(zu § 2 Nummer 3 und 16, § 4 Absatz 3, § 19 Absatz 2, Absatz 3 Nummer 2, Absatz 6 bis 8, § 20, § 21 Absatz 2, § 22 Absatz 1 und 2 sowie § 25 Absatz 1 Nummer 5 und Absatz 3 Nummer 5 bis 8)</w:t>
      </w:r>
    </w:p>
    <w:p w14:paraId="26AB16D2" w14:textId="77777777" w:rsidR="001F4995" w:rsidRPr="00A10B6A" w:rsidRDefault="001F4995" w:rsidP="001F4995">
      <w:pPr>
        <w:pStyle w:val="Anlageberschrift"/>
      </w:pPr>
      <w:bookmarkStart w:id="47" w:name="_Toc64380064"/>
      <w:r w:rsidRPr="008D0377">
        <w:t>Einsatzmöglichkeiten von mineralischen Ersatzbaustoffen in spezifischen Bahnbauweisen</w:t>
      </w:r>
      <w:bookmarkEnd w:id="47"/>
    </w:p>
    <w:p w14:paraId="0C974B09" w14:textId="77777777" w:rsidR="001F4995" w:rsidRPr="008D0377" w:rsidRDefault="001F4995" w:rsidP="001F4995">
      <w:pPr>
        <w:pStyle w:val="Text"/>
      </w:pPr>
      <w:r w:rsidRPr="008D0377">
        <w:t>Erläuterungen</w:t>
      </w:r>
    </w:p>
    <w:p w14:paraId="23265C75" w14:textId="77777777" w:rsidR="001F4995" w:rsidRPr="008D0377" w:rsidRDefault="001F4995" w:rsidP="001F4995">
      <w:pPr>
        <w:pStyle w:val="Text"/>
      </w:pPr>
      <w:r w:rsidRPr="008D0377">
        <w:t>Die in diesem Anhang bezeichneten Bahnbauweisen beziehen sich auf die Richtlinie 836.4108 der Deutschen Bahn AG "Erdbauwerke und sonstige geotechnische Bauwerke; Bauweisen für den Einsatz mineralischer Ersatzbaustoffe", Ausgabe 2020.</w:t>
      </w:r>
      <w:r w:rsidRPr="008D0377">
        <w:rPr>
          <w:rStyle w:val="Funotenzeichen"/>
        </w:rPr>
        <w:footnoteReference w:id="5"/>
      </w:r>
      <w:r w:rsidRPr="008D0377">
        <w:rPr>
          <w:rStyle w:val="Funotenzeichen"/>
        </w:rPr>
        <w:t>)</w:t>
      </w:r>
      <w:r w:rsidRPr="008D0377">
        <w:t xml:space="preserve"> </w:t>
      </w:r>
    </w:p>
    <w:p w14:paraId="11B5B339" w14:textId="77777777" w:rsidR="001F4995" w:rsidRPr="008D0377" w:rsidRDefault="001F4995" w:rsidP="001F4995">
      <w:pPr>
        <w:pStyle w:val="Text"/>
      </w:pPr>
      <w:r w:rsidRPr="008D0377">
        <w:t>Die Beurteilung der Zulässigkeit von mineralischen Ersatzbaustoffen bei der „Hydraulisch gebundenen Tragschicht der Bahnbauweise Feste Fahrbahn“ nach Richtlinie 836.4108 (Bild 5 in der Richtlinie) erfolgt analog zur Einbauweise „Tragschicht mit hydraulischen Bindemitteln unter gebundener Deckschicht“ nach Anlage 2 Nummer 3 der jeweiligen Tabellen für die betreffenden mineralischen Ersatzbaustoffe.</w:t>
      </w:r>
    </w:p>
    <w:p w14:paraId="02A94676" w14:textId="77777777" w:rsidR="001F4995" w:rsidRPr="008D0377" w:rsidRDefault="001F4995" w:rsidP="001F4995">
      <w:pPr>
        <w:pStyle w:val="Text"/>
      </w:pPr>
      <w:r w:rsidRPr="008D0377">
        <w:t>Die Beurteilung der Zulässigkeit von mineralischen Ersatzbaustoffen in den Bahnbauweisen „Dämme gemäß Bauweise C und D nach der Richtlinie 836.4108 (Bilder 6-11 in der Richtlinie) sowie „</w:t>
      </w:r>
      <w:proofErr w:type="spellStart"/>
      <w:r w:rsidRPr="008D0377">
        <w:t>Hinterfüllungen</w:t>
      </w:r>
      <w:proofErr w:type="spellEnd"/>
      <w:r w:rsidRPr="008D0377">
        <w:t xml:space="preserve"> von Bauwerken im Böschungsbereich in analoger Bauweise“ erfolgt analog zur Einbauweise „Dämme oder Wälle gemäß Bauweisen C und D nach MTSE sowie </w:t>
      </w:r>
      <w:proofErr w:type="spellStart"/>
      <w:r w:rsidRPr="008D0377">
        <w:t>Hinterfüllung</w:t>
      </w:r>
      <w:proofErr w:type="spellEnd"/>
      <w:r w:rsidRPr="008D0377">
        <w:t xml:space="preserve"> von Bauwerken im Böschungsbereich in analoger Bauweise“ nach Anlage 2 Nummer 9 der jeweiligen Tabellen für die betreffenden mineralischen Ersatzbaustoffe, wenn im Bereich der bei den Bahnbauweisen fehlenden dichten Fahrbahndecke ein witterungsunempfindliches Dichtungselement gemäß MTSE - Bauweise C auf den Dammkörper aufgebracht wird und dieses den gesamten Dammkörper umschließt. Bei der Bauweise D überdeckt das witterungsunempfindliche Dichtungselement den Kern bis zum Böschungsbereich.</w:t>
      </w:r>
    </w:p>
    <w:p w14:paraId="3300CB8C" w14:textId="77777777" w:rsidR="001F4995" w:rsidRPr="008D0377" w:rsidRDefault="001F4995" w:rsidP="001F4995">
      <w:pPr>
        <w:pStyle w:val="Text"/>
      </w:pPr>
      <w:r w:rsidRPr="008D0377">
        <w:t xml:space="preserve">Außerhalb von Wasserschutzbereichen werden in den Einbautabellen die Konfigurationen der Grundwasserdeckschichten unterschieden in „ungünstig“, „günstig - Sand“ und „günstig - Lehm, Schluff, Ton“. </w:t>
      </w:r>
    </w:p>
    <w:p w14:paraId="408D99EC" w14:textId="77777777" w:rsidR="001F4995" w:rsidRPr="008D0377" w:rsidRDefault="001F4995" w:rsidP="001F4995">
      <w:pPr>
        <w:pStyle w:val="Text"/>
      </w:pPr>
      <w:r w:rsidRPr="008D0377">
        <w:t>Die Konfigurationen der natürlich vorliegenden oder herzustellenden Grundwasserdeckschichten werden gemäß den Erläuterungen zu Anlage 2 festgelegt.</w:t>
      </w:r>
      <w:r w:rsidRPr="008D0377">
        <w:tab/>
      </w:r>
    </w:p>
    <w:p w14:paraId="1356B7F9" w14:textId="77777777" w:rsidR="001F4995" w:rsidRPr="008D0377" w:rsidRDefault="001F4995" w:rsidP="001F4995">
      <w:pPr>
        <w:pStyle w:val="Text"/>
      </w:pPr>
      <w:r w:rsidRPr="008D0377">
        <w:t xml:space="preserve">Innerhalb von Wasserschutzbereichen sind die Einsatzmöglichkeiten von mineralischen Ersatzbaustoffen auf günstige Eigenschaften der Grundwasserdeckschichten (Sand oder Lehm, Schluff, Ton, grundwasserfreie Sickerstrecke &gt; 1m) beschränkt. </w:t>
      </w:r>
    </w:p>
    <w:p w14:paraId="00DC78A5" w14:textId="77777777" w:rsidR="001F4995" w:rsidRPr="008D0377" w:rsidRDefault="001F4995" w:rsidP="001F4995">
      <w:pPr>
        <w:pStyle w:val="Text"/>
      </w:pPr>
      <w:r w:rsidRPr="008D0377">
        <w:t>Eintragungen oder Bezeichnungen in den Tabellen:</w:t>
      </w:r>
    </w:p>
    <w:p w14:paraId="250CF35D" w14:textId="77777777" w:rsidR="001F4995" w:rsidRPr="008D0377" w:rsidRDefault="001F4995" w:rsidP="001F4995">
      <w:pPr>
        <w:pStyle w:val="Text"/>
      </w:pPr>
      <w:r w:rsidRPr="008D0377">
        <w:t>/</w:t>
      </w:r>
      <w:r w:rsidRPr="008D0377">
        <w:tab/>
        <w:t>nicht relevant</w:t>
      </w:r>
    </w:p>
    <w:p w14:paraId="7CE0EAB5" w14:textId="77777777" w:rsidR="001F4995" w:rsidRPr="008D0377" w:rsidRDefault="001F4995" w:rsidP="001F4995">
      <w:pPr>
        <w:pStyle w:val="Text"/>
      </w:pPr>
      <w:r w:rsidRPr="008D0377">
        <w:t>+</w:t>
      </w:r>
      <w:r w:rsidRPr="008D0377">
        <w:tab/>
        <w:t>Einbau zulässig</w:t>
      </w:r>
    </w:p>
    <w:p w14:paraId="5B9928BC" w14:textId="77777777" w:rsidR="001F4995" w:rsidRPr="008D0377" w:rsidRDefault="001F4995" w:rsidP="001F4995">
      <w:pPr>
        <w:pStyle w:val="Text"/>
      </w:pPr>
      <w:r w:rsidRPr="008D0377">
        <w:t>-</w:t>
      </w:r>
      <w:r w:rsidRPr="008D0377">
        <w:tab/>
        <w:t>Einbau unzulässig</w:t>
      </w:r>
    </w:p>
    <w:p w14:paraId="1DBCAA03" w14:textId="77777777" w:rsidR="001F4995" w:rsidRPr="008D0377" w:rsidRDefault="001F4995" w:rsidP="001F4995">
      <w:pPr>
        <w:pStyle w:val="Text"/>
      </w:pPr>
      <w:r w:rsidRPr="008D0377">
        <w:lastRenderedPageBreak/>
        <w:t>WSG III A</w:t>
      </w:r>
      <w:r w:rsidRPr="008D0377">
        <w:tab/>
        <w:t xml:space="preserve">Wasserschutzgebiet Zone III A </w:t>
      </w:r>
    </w:p>
    <w:p w14:paraId="69D2F646" w14:textId="77777777" w:rsidR="001F4995" w:rsidRPr="008D0377" w:rsidRDefault="001F4995" w:rsidP="001F4995">
      <w:pPr>
        <w:pStyle w:val="Text"/>
      </w:pPr>
      <w:r w:rsidRPr="008D0377">
        <w:t>WSG III B</w:t>
      </w:r>
      <w:r w:rsidRPr="008D0377">
        <w:tab/>
        <w:t>Wasserschutzgebiet Zone III B</w:t>
      </w:r>
    </w:p>
    <w:p w14:paraId="5D3EDCAE" w14:textId="77777777" w:rsidR="001F4995" w:rsidRPr="008D0377" w:rsidRDefault="001F4995" w:rsidP="001F4995">
      <w:pPr>
        <w:pStyle w:val="Text"/>
      </w:pPr>
      <w:r w:rsidRPr="008D0377">
        <w:t>HSG III</w:t>
      </w:r>
      <w:r w:rsidRPr="008D0377">
        <w:tab/>
        <w:t xml:space="preserve">Heilquellenschutzgebiet der Zone III </w:t>
      </w:r>
    </w:p>
    <w:p w14:paraId="4FA4E5B6" w14:textId="77777777" w:rsidR="001F4995" w:rsidRPr="008D0377" w:rsidRDefault="001F4995" w:rsidP="001F4995">
      <w:pPr>
        <w:pStyle w:val="Text"/>
      </w:pPr>
      <w:r w:rsidRPr="008D0377">
        <w:t>HSG IV</w:t>
      </w:r>
      <w:r w:rsidRPr="008D0377">
        <w:tab/>
        <w:t xml:space="preserve">Heilquellenschutzgebiet der Zone IV </w:t>
      </w:r>
    </w:p>
    <w:p w14:paraId="040D638B" w14:textId="77777777" w:rsidR="001F4995" w:rsidRPr="008D0377" w:rsidRDefault="001F4995" w:rsidP="001F4995">
      <w:pPr>
        <w:pStyle w:val="Text"/>
      </w:pPr>
      <w:r w:rsidRPr="008D0377">
        <w:t>Fußnotenregelungen</w:t>
      </w:r>
    </w:p>
    <w:p w14:paraId="10B0789B" w14:textId="77777777" w:rsidR="001F4995" w:rsidRPr="008D0377" w:rsidRDefault="001F4995" w:rsidP="001F4995">
      <w:pPr>
        <w:pStyle w:val="Text"/>
      </w:pPr>
      <w:r w:rsidRPr="008D0377">
        <w:t xml:space="preserve">Mit Fußnoten werden zusätzlich zu den Materialwerten der Anlage 1 einzelne Konzentrationswerte festgelegt, bei deren Einhaltung sich weitere Einsatzmöglichkeiten von mineralischen Ersatzbaustoffen ergeben. Mineralische Ersatzbaustoffe, die sowohl die Materialwerte aus Anlage 1 als auch die in den Fußnoten festgelegten Konzentrationswerte einhalten, sind in den mit Fußnoten gekennzeichneten Bauweisen der Einbautabellen, ggf. mit zusätzlichen Einschränkungen, zulässig. </w:t>
      </w:r>
    </w:p>
    <w:p w14:paraId="5D0F931F" w14:textId="77777777" w:rsidR="001F4995" w:rsidRPr="008D0377" w:rsidRDefault="001F4995" w:rsidP="001F4995">
      <w:pPr>
        <w:pStyle w:val="Text"/>
      </w:pPr>
      <w:r w:rsidRPr="008D0377">
        <w:t>Einzelne Fußnoten bezeichnen Einschränkungen der Einsatzmöglic</w:t>
      </w:r>
      <w:r w:rsidR="00722A47" w:rsidRPr="008D0377">
        <w:t>hkeiten.</w:t>
      </w:r>
    </w:p>
    <w:p w14:paraId="47B69D3A" w14:textId="1FF49318" w:rsidR="001F4995" w:rsidRPr="008D0377" w:rsidRDefault="00722A47" w:rsidP="001F4995">
      <w:pPr>
        <w:pStyle w:val="Text"/>
      </w:pPr>
      <w:r w:rsidRPr="008D0377">
        <w:br w:type="page"/>
      </w:r>
      <w:r w:rsidR="001F4995" w:rsidRPr="008D0377">
        <w:lastRenderedPageBreak/>
        <w:t>Tabellenverzeichnis:</w:t>
      </w:r>
    </w:p>
    <w:p w14:paraId="43BAA49E" w14:textId="77777777" w:rsidR="00722A47" w:rsidRPr="009E1E1F" w:rsidRDefault="00D27887" w:rsidP="00722A47">
      <w:pPr>
        <w:pStyle w:val="Abbildungsverzeichnis"/>
        <w:tabs>
          <w:tab w:val="right" w:leader="dot" w:pos="8778"/>
        </w:tabs>
        <w:rPr>
          <w:rFonts w:asciiTheme="minorHAnsi" w:eastAsiaTheme="minorEastAsia" w:hAnsiTheme="minorHAnsi" w:cstheme="minorBidi"/>
          <w:noProof/>
          <w:lang w:eastAsia="de-DE"/>
        </w:rPr>
      </w:pPr>
      <w:hyperlink w:anchor="_Toc30766618" w:history="1">
        <w:r w:rsidR="00722A47" w:rsidRPr="009E1E1F">
          <w:rPr>
            <w:rStyle w:val="Hyperlink"/>
            <w:noProof/>
          </w:rPr>
          <w:t>Tabelle 1: Bodenmaterial der Klassen 0*(BM-0*), F0*(BM-F0*</w:t>
        </w:r>
        <w:r w:rsidR="00722A47">
          <w:rPr>
            <w:rStyle w:val="Hyperlink"/>
            <w:noProof/>
          </w:rPr>
          <w:t>)</w:t>
        </w:r>
        <w:r w:rsidR="00722A47" w:rsidRPr="009E1E1F">
          <w:rPr>
            <w:rStyle w:val="Hyperlink"/>
            <w:noProof/>
          </w:rPr>
          <w:t>, Baggergut der Klassen 0* (BG-0*), F0* (BG-F0*); Gleisschotter der Klasse 0 (GS-0); Schmelzkammergranulat aus der Feuerung von Steinkohle (SKG)</w:t>
        </w:r>
        <w:r w:rsidR="00722A47" w:rsidRPr="009E1E1F">
          <w:rPr>
            <w:noProof/>
            <w:webHidden/>
          </w:rPr>
          <w:tab/>
        </w:r>
        <w:r w:rsidR="00722A47" w:rsidRPr="009E1E1F">
          <w:rPr>
            <w:noProof/>
            <w:webHidden/>
          </w:rPr>
          <w:fldChar w:fldCharType="begin"/>
        </w:r>
        <w:r w:rsidR="00722A47" w:rsidRPr="009E1E1F">
          <w:rPr>
            <w:noProof/>
            <w:webHidden/>
          </w:rPr>
          <w:instrText xml:space="preserve"> PAGEREF _Toc30766618 \h </w:instrText>
        </w:r>
        <w:r w:rsidR="00722A47" w:rsidRPr="009E1E1F">
          <w:rPr>
            <w:noProof/>
            <w:webHidden/>
          </w:rPr>
        </w:r>
        <w:r w:rsidR="00722A47" w:rsidRPr="009E1E1F">
          <w:rPr>
            <w:noProof/>
            <w:webHidden/>
          </w:rPr>
          <w:fldChar w:fldCharType="separate"/>
        </w:r>
        <w:r w:rsidR="00722A47">
          <w:rPr>
            <w:noProof/>
            <w:webHidden/>
          </w:rPr>
          <w:t>68</w:t>
        </w:r>
        <w:r w:rsidR="00722A47" w:rsidRPr="009E1E1F">
          <w:rPr>
            <w:noProof/>
            <w:webHidden/>
          </w:rPr>
          <w:fldChar w:fldCharType="end"/>
        </w:r>
      </w:hyperlink>
    </w:p>
    <w:p w14:paraId="6A4A2679" w14:textId="77777777" w:rsidR="00722A47" w:rsidRPr="009E1E1F" w:rsidRDefault="00D27887" w:rsidP="00722A47">
      <w:pPr>
        <w:pStyle w:val="Abbildungsverzeichnis"/>
        <w:tabs>
          <w:tab w:val="right" w:leader="dot" w:pos="8778"/>
        </w:tabs>
        <w:rPr>
          <w:rFonts w:asciiTheme="minorHAnsi" w:eastAsiaTheme="minorEastAsia" w:hAnsiTheme="minorHAnsi" w:cstheme="minorBidi"/>
          <w:noProof/>
          <w:lang w:eastAsia="de-DE"/>
        </w:rPr>
      </w:pPr>
      <w:hyperlink w:anchor="_Toc30766619" w:history="1">
        <w:r w:rsidR="00722A47" w:rsidRPr="009E1E1F">
          <w:rPr>
            <w:rStyle w:val="Hyperlink"/>
            <w:noProof/>
          </w:rPr>
          <w:t>Tabelle 2: Bodenmaterial der Klasse F1 (BM-F1), Baggergut der Klasse F1 (BG-F1)</w:t>
        </w:r>
        <w:r w:rsidR="00722A47" w:rsidRPr="009E1E1F">
          <w:rPr>
            <w:noProof/>
            <w:webHidden/>
          </w:rPr>
          <w:tab/>
        </w:r>
        <w:r w:rsidR="00722A47" w:rsidRPr="009E1E1F">
          <w:rPr>
            <w:noProof/>
            <w:webHidden/>
          </w:rPr>
          <w:fldChar w:fldCharType="begin"/>
        </w:r>
        <w:r w:rsidR="00722A47" w:rsidRPr="009E1E1F">
          <w:rPr>
            <w:noProof/>
            <w:webHidden/>
          </w:rPr>
          <w:instrText xml:space="preserve"> PAGEREF _Toc30766619 \h </w:instrText>
        </w:r>
        <w:r w:rsidR="00722A47" w:rsidRPr="009E1E1F">
          <w:rPr>
            <w:noProof/>
            <w:webHidden/>
          </w:rPr>
        </w:r>
        <w:r w:rsidR="00722A47" w:rsidRPr="009E1E1F">
          <w:rPr>
            <w:noProof/>
            <w:webHidden/>
          </w:rPr>
          <w:fldChar w:fldCharType="separate"/>
        </w:r>
        <w:r w:rsidR="00722A47">
          <w:rPr>
            <w:noProof/>
            <w:webHidden/>
          </w:rPr>
          <w:t>69</w:t>
        </w:r>
        <w:r w:rsidR="00722A47" w:rsidRPr="009E1E1F">
          <w:rPr>
            <w:noProof/>
            <w:webHidden/>
          </w:rPr>
          <w:fldChar w:fldCharType="end"/>
        </w:r>
      </w:hyperlink>
    </w:p>
    <w:p w14:paraId="39B2F16F" w14:textId="77777777" w:rsidR="00722A47" w:rsidRPr="009E1E1F" w:rsidRDefault="00D27887" w:rsidP="00722A47">
      <w:pPr>
        <w:pStyle w:val="Abbildungsverzeichnis"/>
        <w:tabs>
          <w:tab w:val="right" w:leader="dot" w:pos="8778"/>
        </w:tabs>
        <w:rPr>
          <w:rFonts w:asciiTheme="minorHAnsi" w:eastAsiaTheme="minorEastAsia" w:hAnsiTheme="minorHAnsi" w:cstheme="minorBidi"/>
          <w:noProof/>
          <w:lang w:eastAsia="de-DE"/>
        </w:rPr>
      </w:pPr>
      <w:hyperlink w:anchor="_Toc30766620" w:history="1">
        <w:r w:rsidR="00722A47" w:rsidRPr="009E1E1F">
          <w:rPr>
            <w:rStyle w:val="Hyperlink"/>
            <w:noProof/>
          </w:rPr>
          <w:t>Tabelle 3: Bodenmaterial der Klasse 2 (BM-F2), Baggergut der Klasse F2 (BG-F2)</w:t>
        </w:r>
        <w:r w:rsidR="00722A47" w:rsidRPr="009E1E1F">
          <w:rPr>
            <w:noProof/>
            <w:webHidden/>
          </w:rPr>
          <w:tab/>
        </w:r>
        <w:r w:rsidR="00722A47" w:rsidRPr="009E1E1F">
          <w:rPr>
            <w:noProof/>
            <w:webHidden/>
          </w:rPr>
          <w:fldChar w:fldCharType="begin"/>
        </w:r>
        <w:r w:rsidR="00722A47" w:rsidRPr="009E1E1F">
          <w:rPr>
            <w:noProof/>
            <w:webHidden/>
          </w:rPr>
          <w:instrText xml:space="preserve"> PAGEREF _Toc30766620 \h </w:instrText>
        </w:r>
        <w:r w:rsidR="00722A47" w:rsidRPr="009E1E1F">
          <w:rPr>
            <w:noProof/>
            <w:webHidden/>
          </w:rPr>
        </w:r>
        <w:r w:rsidR="00722A47" w:rsidRPr="009E1E1F">
          <w:rPr>
            <w:noProof/>
            <w:webHidden/>
          </w:rPr>
          <w:fldChar w:fldCharType="separate"/>
        </w:r>
        <w:r w:rsidR="00722A47">
          <w:rPr>
            <w:noProof/>
            <w:webHidden/>
          </w:rPr>
          <w:t>70</w:t>
        </w:r>
        <w:r w:rsidR="00722A47" w:rsidRPr="009E1E1F">
          <w:rPr>
            <w:noProof/>
            <w:webHidden/>
          </w:rPr>
          <w:fldChar w:fldCharType="end"/>
        </w:r>
      </w:hyperlink>
    </w:p>
    <w:p w14:paraId="20E5045F" w14:textId="77777777" w:rsidR="00722A47" w:rsidRPr="009E1E1F" w:rsidRDefault="00D27887" w:rsidP="00722A47">
      <w:pPr>
        <w:pStyle w:val="Abbildungsverzeichnis"/>
        <w:tabs>
          <w:tab w:val="right" w:leader="dot" w:pos="8778"/>
        </w:tabs>
        <w:rPr>
          <w:rFonts w:asciiTheme="minorHAnsi" w:eastAsiaTheme="minorEastAsia" w:hAnsiTheme="minorHAnsi" w:cstheme="minorBidi"/>
          <w:noProof/>
          <w:lang w:eastAsia="de-DE"/>
        </w:rPr>
      </w:pPr>
      <w:hyperlink w:anchor="_Toc30766621" w:history="1">
        <w:r w:rsidR="00722A47" w:rsidRPr="009E1E1F">
          <w:rPr>
            <w:rStyle w:val="Hyperlink"/>
            <w:noProof/>
          </w:rPr>
          <w:t>Tabelle 4: Bodenmaterial der Klasse F3 (BM-F3), Baggergut der Klasse F3 (BG-F3)</w:t>
        </w:r>
        <w:r w:rsidR="00722A47" w:rsidRPr="009E1E1F">
          <w:rPr>
            <w:noProof/>
            <w:webHidden/>
          </w:rPr>
          <w:tab/>
        </w:r>
        <w:r w:rsidR="00722A47" w:rsidRPr="009E1E1F">
          <w:rPr>
            <w:noProof/>
            <w:webHidden/>
          </w:rPr>
          <w:fldChar w:fldCharType="begin"/>
        </w:r>
        <w:r w:rsidR="00722A47" w:rsidRPr="009E1E1F">
          <w:rPr>
            <w:noProof/>
            <w:webHidden/>
          </w:rPr>
          <w:instrText xml:space="preserve"> PAGEREF _Toc30766621 \h </w:instrText>
        </w:r>
        <w:r w:rsidR="00722A47" w:rsidRPr="009E1E1F">
          <w:rPr>
            <w:noProof/>
            <w:webHidden/>
          </w:rPr>
        </w:r>
        <w:r w:rsidR="00722A47" w:rsidRPr="009E1E1F">
          <w:rPr>
            <w:noProof/>
            <w:webHidden/>
          </w:rPr>
          <w:fldChar w:fldCharType="separate"/>
        </w:r>
        <w:r w:rsidR="00722A47">
          <w:rPr>
            <w:noProof/>
            <w:webHidden/>
          </w:rPr>
          <w:t>71</w:t>
        </w:r>
        <w:r w:rsidR="00722A47" w:rsidRPr="009E1E1F">
          <w:rPr>
            <w:noProof/>
            <w:webHidden/>
          </w:rPr>
          <w:fldChar w:fldCharType="end"/>
        </w:r>
      </w:hyperlink>
    </w:p>
    <w:p w14:paraId="0CE56A36" w14:textId="77777777" w:rsidR="00722A47" w:rsidRPr="009E1E1F" w:rsidRDefault="00D27887" w:rsidP="00722A47">
      <w:pPr>
        <w:pStyle w:val="Abbildungsverzeichnis"/>
        <w:tabs>
          <w:tab w:val="right" w:leader="dot" w:pos="8778"/>
        </w:tabs>
        <w:rPr>
          <w:rFonts w:asciiTheme="minorHAnsi" w:eastAsiaTheme="minorEastAsia" w:hAnsiTheme="minorHAnsi" w:cstheme="minorBidi"/>
          <w:noProof/>
          <w:lang w:eastAsia="de-DE"/>
        </w:rPr>
      </w:pPr>
      <w:hyperlink w:anchor="_Toc30766622" w:history="1">
        <w:r w:rsidR="00722A47" w:rsidRPr="009E1E1F">
          <w:rPr>
            <w:rStyle w:val="Hyperlink"/>
            <w:noProof/>
          </w:rPr>
          <w:t>Tabelle 5: Gleisschotter der Klasse 1 (GS-1)</w:t>
        </w:r>
        <w:r w:rsidR="00722A47" w:rsidRPr="009E1E1F">
          <w:rPr>
            <w:noProof/>
            <w:webHidden/>
          </w:rPr>
          <w:tab/>
        </w:r>
        <w:r w:rsidR="00722A47" w:rsidRPr="009E1E1F">
          <w:rPr>
            <w:noProof/>
            <w:webHidden/>
          </w:rPr>
          <w:fldChar w:fldCharType="begin"/>
        </w:r>
        <w:r w:rsidR="00722A47" w:rsidRPr="009E1E1F">
          <w:rPr>
            <w:noProof/>
            <w:webHidden/>
          </w:rPr>
          <w:instrText xml:space="preserve"> PAGEREF _Toc30766622 \h </w:instrText>
        </w:r>
        <w:r w:rsidR="00722A47" w:rsidRPr="009E1E1F">
          <w:rPr>
            <w:noProof/>
            <w:webHidden/>
          </w:rPr>
        </w:r>
        <w:r w:rsidR="00722A47" w:rsidRPr="009E1E1F">
          <w:rPr>
            <w:noProof/>
            <w:webHidden/>
          </w:rPr>
          <w:fldChar w:fldCharType="separate"/>
        </w:r>
        <w:r w:rsidR="00722A47">
          <w:rPr>
            <w:noProof/>
            <w:webHidden/>
          </w:rPr>
          <w:t>72</w:t>
        </w:r>
        <w:r w:rsidR="00722A47" w:rsidRPr="009E1E1F">
          <w:rPr>
            <w:noProof/>
            <w:webHidden/>
          </w:rPr>
          <w:fldChar w:fldCharType="end"/>
        </w:r>
      </w:hyperlink>
    </w:p>
    <w:p w14:paraId="582847D9" w14:textId="77777777" w:rsidR="00722A47" w:rsidRPr="009E1E1F" w:rsidRDefault="00D27887" w:rsidP="00722A47">
      <w:pPr>
        <w:pStyle w:val="Abbildungsverzeichnis"/>
        <w:tabs>
          <w:tab w:val="right" w:leader="dot" w:pos="8778"/>
        </w:tabs>
        <w:rPr>
          <w:rFonts w:asciiTheme="minorHAnsi" w:eastAsiaTheme="minorEastAsia" w:hAnsiTheme="minorHAnsi" w:cstheme="minorBidi"/>
          <w:noProof/>
          <w:lang w:eastAsia="de-DE"/>
        </w:rPr>
      </w:pPr>
      <w:hyperlink w:anchor="_Toc30766623" w:history="1">
        <w:r w:rsidR="00722A47" w:rsidRPr="009E1E1F">
          <w:rPr>
            <w:rStyle w:val="Hyperlink"/>
            <w:noProof/>
          </w:rPr>
          <w:t>Tabelle 6: Gleisschotter der Klasse 2 (GS-2)</w:t>
        </w:r>
        <w:r w:rsidR="00722A47" w:rsidRPr="009E1E1F">
          <w:rPr>
            <w:noProof/>
            <w:webHidden/>
          </w:rPr>
          <w:tab/>
        </w:r>
        <w:r w:rsidR="00722A47" w:rsidRPr="009E1E1F">
          <w:rPr>
            <w:noProof/>
            <w:webHidden/>
          </w:rPr>
          <w:fldChar w:fldCharType="begin"/>
        </w:r>
        <w:r w:rsidR="00722A47" w:rsidRPr="009E1E1F">
          <w:rPr>
            <w:noProof/>
            <w:webHidden/>
          </w:rPr>
          <w:instrText xml:space="preserve"> PAGEREF _Toc30766623 \h </w:instrText>
        </w:r>
        <w:r w:rsidR="00722A47" w:rsidRPr="009E1E1F">
          <w:rPr>
            <w:noProof/>
            <w:webHidden/>
          </w:rPr>
        </w:r>
        <w:r w:rsidR="00722A47" w:rsidRPr="009E1E1F">
          <w:rPr>
            <w:noProof/>
            <w:webHidden/>
          </w:rPr>
          <w:fldChar w:fldCharType="separate"/>
        </w:r>
        <w:r w:rsidR="00722A47">
          <w:rPr>
            <w:noProof/>
            <w:webHidden/>
          </w:rPr>
          <w:t>73</w:t>
        </w:r>
        <w:r w:rsidR="00722A47" w:rsidRPr="009E1E1F">
          <w:rPr>
            <w:noProof/>
            <w:webHidden/>
          </w:rPr>
          <w:fldChar w:fldCharType="end"/>
        </w:r>
      </w:hyperlink>
    </w:p>
    <w:p w14:paraId="1C592C72" w14:textId="77777777" w:rsidR="00722A47" w:rsidRPr="009E1E1F" w:rsidRDefault="00D27887" w:rsidP="00722A47">
      <w:pPr>
        <w:pStyle w:val="Abbildungsverzeichnis"/>
        <w:tabs>
          <w:tab w:val="right" w:leader="dot" w:pos="8778"/>
        </w:tabs>
        <w:rPr>
          <w:rFonts w:asciiTheme="minorHAnsi" w:eastAsiaTheme="minorEastAsia" w:hAnsiTheme="minorHAnsi" w:cstheme="minorBidi"/>
          <w:noProof/>
          <w:lang w:eastAsia="de-DE"/>
        </w:rPr>
      </w:pPr>
      <w:hyperlink w:anchor="_Toc30766624" w:history="1">
        <w:r w:rsidR="00722A47" w:rsidRPr="009E1E1F">
          <w:rPr>
            <w:rStyle w:val="Hyperlink"/>
            <w:noProof/>
          </w:rPr>
          <w:t>Tabelle 7: Gleisschotter der Klasse 3 (GS-3)</w:t>
        </w:r>
        <w:r w:rsidR="00722A47" w:rsidRPr="009E1E1F">
          <w:rPr>
            <w:noProof/>
            <w:webHidden/>
          </w:rPr>
          <w:tab/>
        </w:r>
        <w:r w:rsidR="00722A47" w:rsidRPr="009E1E1F">
          <w:rPr>
            <w:noProof/>
            <w:webHidden/>
          </w:rPr>
          <w:fldChar w:fldCharType="begin"/>
        </w:r>
        <w:r w:rsidR="00722A47" w:rsidRPr="009E1E1F">
          <w:rPr>
            <w:noProof/>
            <w:webHidden/>
          </w:rPr>
          <w:instrText xml:space="preserve"> PAGEREF _Toc30766624 \h </w:instrText>
        </w:r>
        <w:r w:rsidR="00722A47" w:rsidRPr="009E1E1F">
          <w:rPr>
            <w:noProof/>
            <w:webHidden/>
          </w:rPr>
        </w:r>
        <w:r w:rsidR="00722A47" w:rsidRPr="009E1E1F">
          <w:rPr>
            <w:noProof/>
            <w:webHidden/>
          </w:rPr>
          <w:fldChar w:fldCharType="separate"/>
        </w:r>
        <w:r w:rsidR="00722A47">
          <w:rPr>
            <w:noProof/>
            <w:webHidden/>
          </w:rPr>
          <w:t>74</w:t>
        </w:r>
        <w:r w:rsidR="00722A47" w:rsidRPr="009E1E1F">
          <w:rPr>
            <w:noProof/>
            <w:webHidden/>
          </w:rPr>
          <w:fldChar w:fldCharType="end"/>
        </w:r>
      </w:hyperlink>
    </w:p>
    <w:p w14:paraId="240AD860" w14:textId="77777777" w:rsidR="00722A47" w:rsidRPr="009E1E1F" w:rsidRDefault="00D27887" w:rsidP="00722A47">
      <w:pPr>
        <w:pStyle w:val="Abbildungsverzeichnis"/>
        <w:tabs>
          <w:tab w:val="right" w:leader="dot" w:pos="8778"/>
        </w:tabs>
        <w:rPr>
          <w:rFonts w:asciiTheme="minorHAnsi" w:eastAsiaTheme="minorEastAsia" w:hAnsiTheme="minorHAnsi" w:cstheme="minorBidi"/>
          <w:noProof/>
          <w:lang w:eastAsia="de-DE"/>
        </w:rPr>
      </w:pPr>
      <w:hyperlink w:anchor="_Toc30766625" w:history="1">
        <w:r w:rsidR="00722A47" w:rsidRPr="009E1E1F">
          <w:rPr>
            <w:rStyle w:val="Hyperlink"/>
            <w:noProof/>
          </w:rPr>
          <w:t>Tabelle 8: Recycling-Baustoff der Klasse 1 (RC-1)</w:t>
        </w:r>
        <w:r w:rsidR="00722A47" w:rsidRPr="009E1E1F">
          <w:rPr>
            <w:noProof/>
            <w:webHidden/>
          </w:rPr>
          <w:tab/>
        </w:r>
        <w:r w:rsidR="00722A47" w:rsidRPr="009E1E1F">
          <w:rPr>
            <w:noProof/>
            <w:webHidden/>
          </w:rPr>
          <w:fldChar w:fldCharType="begin"/>
        </w:r>
        <w:r w:rsidR="00722A47" w:rsidRPr="009E1E1F">
          <w:rPr>
            <w:noProof/>
            <w:webHidden/>
          </w:rPr>
          <w:instrText xml:space="preserve"> PAGEREF _Toc30766625 \h </w:instrText>
        </w:r>
        <w:r w:rsidR="00722A47" w:rsidRPr="009E1E1F">
          <w:rPr>
            <w:noProof/>
            <w:webHidden/>
          </w:rPr>
        </w:r>
        <w:r w:rsidR="00722A47" w:rsidRPr="009E1E1F">
          <w:rPr>
            <w:noProof/>
            <w:webHidden/>
          </w:rPr>
          <w:fldChar w:fldCharType="separate"/>
        </w:r>
        <w:r w:rsidR="00722A47">
          <w:rPr>
            <w:noProof/>
            <w:webHidden/>
          </w:rPr>
          <w:t>75</w:t>
        </w:r>
        <w:r w:rsidR="00722A47" w:rsidRPr="009E1E1F">
          <w:rPr>
            <w:noProof/>
            <w:webHidden/>
          </w:rPr>
          <w:fldChar w:fldCharType="end"/>
        </w:r>
      </w:hyperlink>
    </w:p>
    <w:p w14:paraId="4F1B8EE0" w14:textId="77777777" w:rsidR="00722A47" w:rsidRPr="009E1E1F" w:rsidRDefault="00D27887" w:rsidP="00722A47">
      <w:pPr>
        <w:pStyle w:val="Abbildungsverzeichnis"/>
        <w:tabs>
          <w:tab w:val="right" w:leader="dot" w:pos="8778"/>
        </w:tabs>
        <w:rPr>
          <w:rFonts w:asciiTheme="minorHAnsi" w:eastAsiaTheme="minorEastAsia" w:hAnsiTheme="minorHAnsi" w:cstheme="minorBidi"/>
          <w:noProof/>
          <w:lang w:eastAsia="de-DE"/>
        </w:rPr>
      </w:pPr>
      <w:hyperlink w:anchor="_Toc30766626" w:history="1">
        <w:r w:rsidR="00722A47" w:rsidRPr="009E1E1F">
          <w:rPr>
            <w:rStyle w:val="Hyperlink"/>
            <w:noProof/>
          </w:rPr>
          <w:t>Tabelle 9: Recycling-Baustoff der Klasse 2 (RC-2)</w:t>
        </w:r>
        <w:r w:rsidR="00722A47" w:rsidRPr="009E1E1F">
          <w:rPr>
            <w:noProof/>
            <w:webHidden/>
          </w:rPr>
          <w:tab/>
        </w:r>
        <w:r w:rsidR="00722A47" w:rsidRPr="009E1E1F">
          <w:rPr>
            <w:noProof/>
            <w:webHidden/>
          </w:rPr>
          <w:fldChar w:fldCharType="begin"/>
        </w:r>
        <w:r w:rsidR="00722A47" w:rsidRPr="009E1E1F">
          <w:rPr>
            <w:noProof/>
            <w:webHidden/>
          </w:rPr>
          <w:instrText xml:space="preserve"> PAGEREF _Toc30766626 \h </w:instrText>
        </w:r>
        <w:r w:rsidR="00722A47" w:rsidRPr="009E1E1F">
          <w:rPr>
            <w:noProof/>
            <w:webHidden/>
          </w:rPr>
        </w:r>
        <w:r w:rsidR="00722A47" w:rsidRPr="009E1E1F">
          <w:rPr>
            <w:noProof/>
            <w:webHidden/>
          </w:rPr>
          <w:fldChar w:fldCharType="separate"/>
        </w:r>
        <w:r w:rsidR="00722A47">
          <w:rPr>
            <w:noProof/>
            <w:webHidden/>
          </w:rPr>
          <w:t>76</w:t>
        </w:r>
        <w:r w:rsidR="00722A47" w:rsidRPr="009E1E1F">
          <w:rPr>
            <w:noProof/>
            <w:webHidden/>
          </w:rPr>
          <w:fldChar w:fldCharType="end"/>
        </w:r>
      </w:hyperlink>
    </w:p>
    <w:p w14:paraId="6F450376" w14:textId="77777777" w:rsidR="00722A47" w:rsidRPr="009E1E1F" w:rsidRDefault="00D27887" w:rsidP="00722A47">
      <w:pPr>
        <w:pStyle w:val="Abbildungsverzeichnis"/>
        <w:tabs>
          <w:tab w:val="right" w:leader="dot" w:pos="8778"/>
        </w:tabs>
        <w:rPr>
          <w:rFonts w:asciiTheme="minorHAnsi" w:eastAsiaTheme="minorEastAsia" w:hAnsiTheme="minorHAnsi" w:cstheme="minorBidi"/>
          <w:noProof/>
          <w:lang w:eastAsia="de-DE"/>
        </w:rPr>
      </w:pPr>
      <w:hyperlink w:anchor="_Toc30766627" w:history="1">
        <w:r w:rsidR="00722A47" w:rsidRPr="009E1E1F">
          <w:rPr>
            <w:rStyle w:val="Hyperlink"/>
            <w:noProof/>
          </w:rPr>
          <w:t>Tabelle 10: Recycling-Baustoff der Klasse 3 (RC-3)</w:t>
        </w:r>
        <w:r w:rsidR="00722A47" w:rsidRPr="009E1E1F">
          <w:rPr>
            <w:noProof/>
            <w:webHidden/>
          </w:rPr>
          <w:tab/>
        </w:r>
        <w:r w:rsidR="00722A47" w:rsidRPr="009E1E1F">
          <w:rPr>
            <w:noProof/>
            <w:webHidden/>
          </w:rPr>
          <w:fldChar w:fldCharType="begin"/>
        </w:r>
        <w:r w:rsidR="00722A47" w:rsidRPr="009E1E1F">
          <w:rPr>
            <w:noProof/>
            <w:webHidden/>
          </w:rPr>
          <w:instrText xml:space="preserve"> PAGEREF _Toc30766627 \h </w:instrText>
        </w:r>
        <w:r w:rsidR="00722A47" w:rsidRPr="009E1E1F">
          <w:rPr>
            <w:noProof/>
            <w:webHidden/>
          </w:rPr>
        </w:r>
        <w:r w:rsidR="00722A47" w:rsidRPr="009E1E1F">
          <w:rPr>
            <w:noProof/>
            <w:webHidden/>
          </w:rPr>
          <w:fldChar w:fldCharType="separate"/>
        </w:r>
        <w:r w:rsidR="00722A47">
          <w:rPr>
            <w:noProof/>
            <w:webHidden/>
          </w:rPr>
          <w:t>77</w:t>
        </w:r>
        <w:r w:rsidR="00722A47" w:rsidRPr="009E1E1F">
          <w:rPr>
            <w:noProof/>
            <w:webHidden/>
          </w:rPr>
          <w:fldChar w:fldCharType="end"/>
        </w:r>
      </w:hyperlink>
    </w:p>
    <w:p w14:paraId="45A2A8C6" w14:textId="77777777" w:rsidR="00722A47" w:rsidRPr="009E1E1F" w:rsidRDefault="00D27887" w:rsidP="00722A47">
      <w:pPr>
        <w:pStyle w:val="Abbildungsverzeichnis"/>
        <w:tabs>
          <w:tab w:val="right" w:leader="dot" w:pos="8778"/>
        </w:tabs>
        <w:rPr>
          <w:rFonts w:asciiTheme="minorHAnsi" w:eastAsiaTheme="minorEastAsia" w:hAnsiTheme="minorHAnsi" w:cstheme="minorBidi"/>
          <w:noProof/>
          <w:lang w:eastAsia="de-DE"/>
        </w:rPr>
      </w:pPr>
      <w:hyperlink w:anchor="_Toc30766628" w:history="1">
        <w:r w:rsidR="00722A47" w:rsidRPr="009E1E1F">
          <w:rPr>
            <w:rStyle w:val="Hyperlink"/>
            <w:noProof/>
          </w:rPr>
          <w:t>Tabelle 11: Stahlwerksschlacke der Klasse 1 (SWS-1)</w:t>
        </w:r>
        <w:r w:rsidR="00722A47" w:rsidRPr="009E1E1F">
          <w:rPr>
            <w:noProof/>
            <w:webHidden/>
          </w:rPr>
          <w:tab/>
        </w:r>
        <w:r w:rsidR="00722A47" w:rsidRPr="009E1E1F">
          <w:rPr>
            <w:noProof/>
            <w:webHidden/>
          </w:rPr>
          <w:fldChar w:fldCharType="begin"/>
        </w:r>
        <w:r w:rsidR="00722A47" w:rsidRPr="009E1E1F">
          <w:rPr>
            <w:noProof/>
            <w:webHidden/>
          </w:rPr>
          <w:instrText xml:space="preserve"> PAGEREF _Toc30766628 \h </w:instrText>
        </w:r>
        <w:r w:rsidR="00722A47" w:rsidRPr="009E1E1F">
          <w:rPr>
            <w:noProof/>
            <w:webHidden/>
          </w:rPr>
        </w:r>
        <w:r w:rsidR="00722A47" w:rsidRPr="009E1E1F">
          <w:rPr>
            <w:noProof/>
            <w:webHidden/>
          </w:rPr>
          <w:fldChar w:fldCharType="separate"/>
        </w:r>
        <w:r w:rsidR="00722A47">
          <w:rPr>
            <w:noProof/>
            <w:webHidden/>
          </w:rPr>
          <w:t>78</w:t>
        </w:r>
        <w:r w:rsidR="00722A47" w:rsidRPr="009E1E1F">
          <w:rPr>
            <w:noProof/>
            <w:webHidden/>
          </w:rPr>
          <w:fldChar w:fldCharType="end"/>
        </w:r>
      </w:hyperlink>
    </w:p>
    <w:p w14:paraId="0C3184C8" w14:textId="77777777" w:rsidR="00722A47" w:rsidRPr="009E1E1F" w:rsidRDefault="00D27887" w:rsidP="00722A47">
      <w:pPr>
        <w:pStyle w:val="Abbildungsverzeichnis"/>
        <w:tabs>
          <w:tab w:val="right" w:leader="dot" w:pos="8778"/>
        </w:tabs>
        <w:rPr>
          <w:rFonts w:asciiTheme="minorHAnsi" w:eastAsiaTheme="minorEastAsia" w:hAnsiTheme="minorHAnsi" w:cstheme="minorBidi"/>
          <w:noProof/>
          <w:lang w:eastAsia="de-DE"/>
        </w:rPr>
      </w:pPr>
      <w:hyperlink w:anchor="_Toc30766629" w:history="1">
        <w:r w:rsidR="00722A47" w:rsidRPr="009E1E1F">
          <w:rPr>
            <w:rStyle w:val="Hyperlink"/>
            <w:noProof/>
          </w:rPr>
          <w:t>Tabelle 12: Stahlwerksschlacke der Klasse 1 (SWS-1)</w:t>
        </w:r>
        <w:r w:rsidR="00722A47" w:rsidRPr="009E1E1F">
          <w:rPr>
            <w:noProof/>
            <w:webHidden/>
          </w:rPr>
          <w:tab/>
        </w:r>
        <w:r w:rsidR="00722A47" w:rsidRPr="009E1E1F">
          <w:rPr>
            <w:noProof/>
            <w:webHidden/>
          </w:rPr>
          <w:fldChar w:fldCharType="begin"/>
        </w:r>
        <w:r w:rsidR="00722A47" w:rsidRPr="009E1E1F">
          <w:rPr>
            <w:noProof/>
            <w:webHidden/>
          </w:rPr>
          <w:instrText xml:space="preserve"> PAGEREF _Toc30766629 \h </w:instrText>
        </w:r>
        <w:r w:rsidR="00722A47" w:rsidRPr="009E1E1F">
          <w:rPr>
            <w:noProof/>
            <w:webHidden/>
          </w:rPr>
        </w:r>
        <w:r w:rsidR="00722A47" w:rsidRPr="009E1E1F">
          <w:rPr>
            <w:noProof/>
            <w:webHidden/>
          </w:rPr>
          <w:fldChar w:fldCharType="separate"/>
        </w:r>
        <w:r w:rsidR="00722A47">
          <w:rPr>
            <w:noProof/>
            <w:webHidden/>
          </w:rPr>
          <w:t>79</w:t>
        </w:r>
        <w:r w:rsidR="00722A47" w:rsidRPr="009E1E1F">
          <w:rPr>
            <w:noProof/>
            <w:webHidden/>
          </w:rPr>
          <w:fldChar w:fldCharType="end"/>
        </w:r>
      </w:hyperlink>
    </w:p>
    <w:p w14:paraId="62BF9FC1" w14:textId="77777777" w:rsidR="00722A47" w:rsidRDefault="00D27887" w:rsidP="00722A47">
      <w:pPr>
        <w:pStyle w:val="Abbildungsverzeichnis"/>
        <w:tabs>
          <w:tab w:val="right" w:leader="dot" w:pos="8778"/>
        </w:tabs>
        <w:rPr>
          <w:noProof/>
        </w:rPr>
      </w:pPr>
      <w:hyperlink w:anchor="_Toc30766630" w:history="1">
        <w:r w:rsidR="00722A47" w:rsidRPr="009E1E1F">
          <w:rPr>
            <w:rStyle w:val="Hyperlink"/>
            <w:noProof/>
          </w:rPr>
          <w:t>Tabelle 13: Hochofenstückschlacke der Klasse 1 (HOS-1)</w:t>
        </w:r>
        <w:r w:rsidR="00722A47" w:rsidRPr="009E1E1F">
          <w:rPr>
            <w:noProof/>
            <w:webHidden/>
          </w:rPr>
          <w:tab/>
        </w:r>
        <w:r w:rsidR="00722A47" w:rsidRPr="009E1E1F">
          <w:rPr>
            <w:noProof/>
            <w:webHidden/>
          </w:rPr>
          <w:fldChar w:fldCharType="begin"/>
        </w:r>
        <w:r w:rsidR="00722A47" w:rsidRPr="009E1E1F">
          <w:rPr>
            <w:noProof/>
            <w:webHidden/>
          </w:rPr>
          <w:instrText xml:space="preserve"> PAGEREF _Toc30766630 \h </w:instrText>
        </w:r>
        <w:r w:rsidR="00722A47" w:rsidRPr="009E1E1F">
          <w:rPr>
            <w:noProof/>
            <w:webHidden/>
          </w:rPr>
        </w:r>
        <w:r w:rsidR="00722A47" w:rsidRPr="009E1E1F">
          <w:rPr>
            <w:noProof/>
            <w:webHidden/>
          </w:rPr>
          <w:fldChar w:fldCharType="separate"/>
        </w:r>
        <w:r w:rsidR="00722A47">
          <w:rPr>
            <w:noProof/>
            <w:webHidden/>
          </w:rPr>
          <w:t>80</w:t>
        </w:r>
        <w:r w:rsidR="00722A47" w:rsidRPr="009E1E1F">
          <w:rPr>
            <w:noProof/>
            <w:webHidden/>
          </w:rPr>
          <w:fldChar w:fldCharType="end"/>
        </w:r>
      </w:hyperlink>
    </w:p>
    <w:p w14:paraId="5380501D" w14:textId="04BBCABA" w:rsidR="00722A47" w:rsidRPr="008D0377" w:rsidRDefault="00722A47" w:rsidP="00722A47">
      <w:pPr>
        <w:pStyle w:val="berschrift1"/>
      </w:pPr>
      <w:r>
        <w:rPr>
          <w:noProof/>
        </w:rPr>
        <w:br w:type="page"/>
      </w:r>
      <w:r w:rsidRPr="008D0377">
        <w:lastRenderedPageBreak/>
        <w:t>Tabelle 1: Bodenmaterial der Klassen 0*(BM-0*), F0*(BM-F0) *, Baggergut der Klassen 0* (BG-0*), F0* (BG-F0*); Gleisschotter der Klasse 0 (GS-0); Schmelzkammergranulat aus der Feuerung von Steinkohle (SKG)</w:t>
      </w:r>
    </w:p>
    <w:p w14:paraId="7C8E5B3F" w14:textId="77777777" w:rsidR="00722A47" w:rsidRPr="00722A47" w:rsidRDefault="00722A47" w:rsidP="00722A47">
      <w:pPr>
        <w:keepNext/>
        <w:spacing w:before="0" w:after="200"/>
        <w:rPr>
          <w:rFonts w:ascii="Times New Roman" w:eastAsia="Calibri" w:hAnsi="Times New Roman" w:cs="Times New Roman"/>
          <w:b/>
          <w:sz w:val="18"/>
          <w:szCs w:val="18"/>
        </w:rPr>
      </w:pPr>
    </w:p>
    <w:tbl>
      <w:tblPr>
        <w:tblW w:w="11185"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
        <w:gridCol w:w="4284"/>
        <w:gridCol w:w="865"/>
        <w:gridCol w:w="675"/>
        <w:gridCol w:w="1205"/>
        <w:gridCol w:w="576"/>
        <w:gridCol w:w="715"/>
        <w:gridCol w:w="508"/>
        <w:gridCol w:w="715"/>
        <w:gridCol w:w="551"/>
        <w:gridCol w:w="715"/>
      </w:tblGrid>
      <w:tr w:rsidR="00722A47" w:rsidRPr="00722A47" w14:paraId="7E54213A" w14:textId="77777777" w:rsidTr="004954C9">
        <w:trPr>
          <w:trHeight w:val="330"/>
        </w:trPr>
        <w:tc>
          <w:tcPr>
            <w:tcW w:w="11185" w:type="dxa"/>
            <w:gridSpan w:val="11"/>
            <w:noWrap/>
            <w:vAlign w:val="bottom"/>
          </w:tcPr>
          <w:p w14:paraId="7C4F839B" w14:textId="77777777" w:rsidR="00722A47" w:rsidRPr="00722A47" w:rsidRDefault="00722A47" w:rsidP="00722A47">
            <w:pPr>
              <w:spacing w:before="0" w:after="0"/>
              <w:jc w:val="center"/>
              <w:rPr>
                <w:rFonts w:ascii="Times New Roman" w:eastAsia="Times New Roman" w:hAnsi="Times New Roman" w:cs="Times New Roman"/>
                <w:b/>
                <w:sz w:val="24"/>
                <w:szCs w:val="20"/>
                <w:lang w:eastAsia="de-DE"/>
              </w:rPr>
            </w:pPr>
            <w:r w:rsidRPr="00722A47">
              <w:rPr>
                <w:rFonts w:ascii="Times New Roman" w:eastAsia="Times New Roman" w:hAnsi="Times New Roman" w:cs="Times New Roman"/>
                <w:b/>
                <w:sz w:val="24"/>
                <w:szCs w:val="20"/>
                <w:lang w:eastAsia="de-DE"/>
              </w:rPr>
              <w:br w:type="page"/>
              <w:t xml:space="preserve">Bodenmaterial der Klassen 0*(BM-0*), F0*(BM-F0) *, </w:t>
            </w:r>
            <w:r w:rsidRPr="00722A47">
              <w:rPr>
                <w:rFonts w:ascii="Times New Roman" w:eastAsia="Times New Roman" w:hAnsi="Times New Roman" w:cs="Times New Roman"/>
                <w:b/>
                <w:bCs/>
                <w:sz w:val="24"/>
                <w:szCs w:val="24"/>
                <w:lang w:eastAsia="de-DE"/>
              </w:rPr>
              <w:t>Baggergut der Klassen 0* (BG-0*), F0* (BG-F0*)</w:t>
            </w:r>
          </w:p>
          <w:p w14:paraId="1178DE1A" w14:textId="77777777" w:rsidR="00722A47" w:rsidRPr="00722A47" w:rsidRDefault="00722A47" w:rsidP="00722A47">
            <w:pPr>
              <w:spacing w:before="0" w:after="0"/>
              <w:jc w:val="center"/>
              <w:rPr>
                <w:rFonts w:ascii="Times New Roman" w:eastAsia="Times New Roman" w:hAnsi="Times New Roman" w:cs="Times New Roman"/>
                <w:b/>
                <w:bCs/>
                <w:sz w:val="24"/>
                <w:szCs w:val="24"/>
                <w:lang w:eastAsia="de-DE"/>
              </w:rPr>
            </w:pPr>
            <w:r w:rsidRPr="00722A47">
              <w:rPr>
                <w:rFonts w:ascii="Times New Roman" w:eastAsia="Times New Roman" w:hAnsi="Times New Roman" w:cs="Times New Roman"/>
                <w:b/>
                <w:sz w:val="24"/>
                <w:szCs w:val="20"/>
                <w:lang w:eastAsia="de-DE"/>
              </w:rPr>
              <w:t>Gleisschotter der Klasse 0 (GS-0),</w:t>
            </w:r>
          </w:p>
          <w:p w14:paraId="64ED4A9C" w14:textId="77777777" w:rsidR="00722A47" w:rsidRPr="00722A47" w:rsidRDefault="00722A47" w:rsidP="00722A47">
            <w:pPr>
              <w:spacing w:before="0" w:after="0"/>
              <w:jc w:val="center"/>
              <w:rPr>
                <w:rFonts w:ascii="Times New Roman" w:eastAsia="Times New Roman" w:hAnsi="Times New Roman" w:cs="Times New Roman"/>
                <w:b/>
                <w:bCs/>
                <w:sz w:val="24"/>
                <w:szCs w:val="24"/>
                <w:lang w:eastAsia="de-DE"/>
              </w:rPr>
            </w:pPr>
            <w:r w:rsidRPr="00722A47">
              <w:rPr>
                <w:rFonts w:ascii="Times New Roman" w:eastAsia="Times New Roman" w:hAnsi="Times New Roman" w:cs="Times New Roman"/>
                <w:b/>
                <w:bCs/>
                <w:sz w:val="24"/>
                <w:szCs w:val="24"/>
                <w:lang w:eastAsia="de-DE"/>
              </w:rPr>
              <w:t>Schmelzkammergranulat aus der Feuerung von Steinkohle (SKG)</w:t>
            </w:r>
          </w:p>
        </w:tc>
      </w:tr>
      <w:tr w:rsidR="00722A47" w:rsidRPr="00722A47" w14:paraId="77DBBEE0" w14:textId="77777777" w:rsidTr="004954C9">
        <w:trPr>
          <w:trHeight w:val="20"/>
        </w:trPr>
        <w:tc>
          <w:tcPr>
            <w:tcW w:w="4762" w:type="dxa"/>
            <w:gridSpan w:val="2"/>
            <w:vMerge w:val="restart"/>
            <w:shd w:val="clear" w:color="auto" w:fill="auto"/>
            <w:noWrap/>
          </w:tcPr>
          <w:p w14:paraId="7C8BB71C"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Einbauweise</w:t>
            </w:r>
          </w:p>
        </w:tc>
        <w:tc>
          <w:tcPr>
            <w:tcW w:w="6423" w:type="dxa"/>
            <w:gridSpan w:val="9"/>
            <w:shd w:val="clear" w:color="auto" w:fill="auto"/>
            <w:noWrap/>
            <w:vAlign w:val="center"/>
          </w:tcPr>
          <w:p w14:paraId="16FCB5EB"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Eigenschaft der Grundwasserdeckschicht</w:t>
            </w:r>
          </w:p>
        </w:tc>
      </w:tr>
      <w:tr w:rsidR="00722A47" w:rsidRPr="00722A47" w14:paraId="0AC79B74" w14:textId="77777777" w:rsidTr="004954C9">
        <w:trPr>
          <w:trHeight w:val="20"/>
        </w:trPr>
        <w:tc>
          <w:tcPr>
            <w:tcW w:w="4762" w:type="dxa"/>
            <w:gridSpan w:val="2"/>
            <w:vMerge/>
            <w:shd w:val="clear" w:color="auto" w:fill="auto"/>
            <w:noWrap/>
            <w:vAlign w:val="center"/>
          </w:tcPr>
          <w:p w14:paraId="443694A8" w14:textId="77777777" w:rsidR="00722A47" w:rsidRPr="00722A47" w:rsidRDefault="00722A47" w:rsidP="00722A47">
            <w:pPr>
              <w:spacing w:before="0" w:after="0"/>
              <w:jc w:val="center"/>
              <w:rPr>
                <w:rFonts w:ascii="Times New Roman" w:eastAsia="Times New Roman" w:hAnsi="Times New Roman" w:cs="Times New Roman"/>
                <w:sz w:val="20"/>
                <w:szCs w:val="24"/>
                <w:lang w:eastAsia="de-DE"/>
              </w:rPr>
            </w:pPr>
          </w:p>
        </w:tc>
        <w:tc>
          <w:tcPr>
            <w:tcW w:w="2745" w:type="dxa"/>
            <w:gridSpan w:val="3"/>
            <w:shd w:val="clear" w:color="auto" w:fill="auto"/>
            <w:noWrap/>
            <w:vAlign w:val="center"/>
          </w:tcPr>
          <w:p w14:paraId="7CF1BF7A"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außerhalb von</w:t>
            </w:r>
          </w:p>
          <w:p w14:paraId="614BB257"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c>
          <w:tcPr>
            <w:tcW w:w="3678" w:type="dxa"/>
            <w:gridSpan w:val="6"/>
            <w:shd w:val="clear" w:color="auto" w:fill="auto"/>
            <w:noWrap/>
            <w:vAlign w:val="center"/>
          </w:tcPr>
          <w:p w14:paraId="300599BC"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innerhalb von</w:t>
            </w:r>
          </w:p>
          <w:p w14:paraId="61E78AE0"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r>
      <w:tr w:rsidR="00722A47" w:rsidRPr="00722A47" w14:paraId="1215BD26" w14:textId="77777777" w:rsidTr="004954C9">
        <w:trPr>
          <w:trHeight w:val="20"/>
        </w:trPr>
        <w:tc>
          <w:tcPr>
            <w:tcW w:w="4762" w:type="dxa"/>
            <w:gridSpan w:val="2"/>
            <w:vMerge/>
            <w:shd w:val="clear" w:color="auto" w:fill="auto"/>
            <w:noWrap/>
            <w:vAlign w:val="center"/>
          </w:tcPr>
          <w:p w14:paraId="26A3701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670F9F48"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proofErr w:type="spellStart"/>
            <w:r w:rsidRPr="00722A47">
              <w:rPr>
                <w:rFonts w:ascii="Times New Roman" w:eastAsia="Times New Roman" w:hAnsi="Times New Roman" w:cs="Times New Roman"/>
                <w:sz w:val="20"/>
                <w:szCs w:val="20"/>
                <w:lang w:eastAsia="de-DE"/>
              </w:rPr>
              <w:t>un</w:t>
            </w:r>
            <w:proofErr w:type="spellEnd"/>
            <w:r w:rsidRPr="00722A47">
              <w:rPr>
                <w:rFonts w:ascii="Times New Roman" w:eastAsia="Times New Roman" w:hAnsi="Times New Roman" w:cs="Times New Roman"/>
                <w:sz w:val="20"/>
                <w:szCs w:val="20"/>
                <w:lang w:eastAsia="de-DE"/>
              </w:rPr>
              <w:t>-günstig</w:t>
            </w:r>
          </w:p>
        </w:tc>
        <w:tc>
          <w:tcPr>
            <w:tcW w:w="1880" w:type="dxa"/>
            <w:gridSpan w:val="2"/>
            <w:shd w:val="clear" w:color="auto" w:fill="auto"/>
            <w:noWrap/>
            <w:vAlign w:val="center"/>
          </w:tcPr>
          <w:p w14:paraId="5D5E7C33"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c>
          <w:tcPr>
            <w:tcW w:w="3678" w:type="dxa"/>
            <w:gridSpan w:val="6"/>
            <w:shd w:val="clear" w:color="auto" w:fill="auto"/>
            <w:noWrap/>
            <w:vAlign w:val="center"/>
          </w:tcPr>
          <w:p w14:paraId="0CCF91B6"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r>
      <w:tr w:rsidR="00722A47" w:rsidRPr="00722A47" w14:paraId="7CAD5E20" w14:textId="77777777" w:rsidTr="004954C9">
        <w:trPr>
          <w:trHeight w:val="20"/>
        </w:trPr>
        <w:tc>
          <w:tcPr>
            <w:tcW w:w="4762" w:type="dxa"/>
            <w:gridSpan w:val="2"/>
            <w:vMerge/>
            <w:shd w:val="clear" w:color="auto" w:fill="auto"/>
            <w:noWrap/>
            <w:vAlign w:val="center"/>
          </w:tcPr>
          <w:p w14:paraId="67061FF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val="restart"/>
            <w:shd w:val="clear" w:color="auto" w:fill="auto"/>
            <w:noWrap/>
            <w:vAlign w:val="bottom"/>
          </w:tcPr>
          <w:p w14:paraId="7105134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val="restart"/>
            <w:shd w:val="clear" w:color="auto" w:fill="auto"/>
            <w:noWrap/>
            <w:vAlign w:val="center"/>
          </w:tcPr>
          <w:p w14:paraId="6AC2899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1205" w:type="dxa"/>
            <w:vMerge w:val="restart"/>
            <w:shd w:val="clear" w:color="auto" w:fill="auto"/>
            <w:noWrap/>
            <w:vAlign w:val="center"/>
          </w:tcPr>
          <w:p w14:paraId="4425B2EF" w14:textId="316A53BF"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754E5A6E" w14:textId="571B997B"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59F0257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1257" w:type="dxa"/>
            <w:gridSpan w:val="2"/>
            <w:shd w:val="clear" w:color="auto" w:fill="auto"/>
            <w:noWrap/>
            <w:vAlign w:val="center"/>
          </w:tcPr>
          <w:p w14:paraId="6CDA620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A</w:t>
            </w:r>
          </w:p>
        </w:tc>
        <w:tc>
          <w:tcPr>
            <w:tcW w:w="1189" w:type="dxa"/>
            <w:gridSpan w:val="2"/>
            <w:shd w:val="clear" w:color="auto" w:fill="auto"/>
            <w:noWrap/>
            <w:vAlign w:val="center"/>
          </w:tcPr>
          <w:p w14:paraId="10EEB26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B</w:t>
            </w:r>
          </w:p>
        </w:tc>
        <w:tc>
          <w:tcPr>
            <w:tcW w:w="1232" w:type="dxa"/>
            <w:gridSpan w:val="2"/>
            <w:shd w:val="clear" w:color="auto" w:fill="auto"/>
            <w:noWrap/>
            <w:vAlign w:val="center"/>
          </w:tcPr>
          <w:p w14:paraId="303F04F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Wasservor-</w:t>
            </w:r>
          </w:p>
        </w:tc>
      </w:tr>
      <w:tr w:rsidR="00722A47" w:rsidRPr="00722A47" w14:paraId="3E586C20" w14:textId="77777777" w:rsidTr="004954C9">
        <w:trPr>
          <w:trHeight w:val="80"/>
        </w:trPr>
        <w:tc>
          <w:tcPr>
            <w:tcW w:w="4762" w:type="dxa"/>
            <w:gridSpan w:val="2"/>
            <w:vMerge/>
            <w:shd w:val="clear" w:color="auto" w:fill="auto"/>
            <w:noWrap/>
            <w:vAlign w:val="center"/>
          </w:tcPr>
          <w:p w14:paraId="2200E3E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17337BD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2D21E08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07AFB8E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57" w:type="dxa"/>
            <w:gridSpan w:val="2"/>
            <w:shd w:val="clear" w:color="auto" w:fill="auto"/>
            <w:noWrap/>
            <w:vAlign w:val="center"/>
          </w:tcPr>
          <w:p w14:paraId="7B55DE5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III</w:t>
            </w:r>
          </w:p>
        </w:tc>
        <w:tc>
          <w:tcPr>
            <w:tcW w:w="1189" w:type="dxa"/>
            <w:gridSpan w:val="2"/>
            <w:shd w:val="clear" w:color="auto" w:fill="auto"/>
            <w:noWrap/>
            <w:vAlign w:val="center"/>
          </w:tcPr>
          <w:p w14:paraId="283FC10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IV</w:t>
            </w:r>
          </w:p>
        </w:tc>
        <w:tc>
          <w:tcPr>
            <w:tcW w:w="1232" w:type="dxa"/>
            <w:gridSpan w:val="2"/>
            <w:shd w:val="clear" w:color="auto" w:fill="auto"/>
            <w:noWrap/>
            <w:vAlign w:val="center"/>
          </w:tcPr>
          <w:p w14:paraId="30DD8C3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ranggebiete</w:t>
            </w:r>
          </w:p>
        </w:tc>
      </w:tr>
      <w:tr w:rsidR="00722A47" w:rsidRPr="00722A47" w14:paraId="38E2242C" w14:textId="77777777" w:rsidTr="004954C9">
        <w:trPr>
          <w:trHeight w:val="80"/>
        </w:trPr>
        <w:tc>
          <w:tcPr>
            <w:tcW w:w="4762" w:type="dxa"/>
            <w:gridSpan w:val="2"/>
            <w:vMerge/>
            <w:shd w:val="clear" w:color="auto" w:fill="auto"/>
            <w:noWrap/>
            <w:vAlign w:val="center"/>
          </w:tcPr>
          <w:p w14:paraId="6138DB2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5D3CEEC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05A0AF7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007949E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576" w:type="dxa"/>
            <w:shd w:val="clear" w:color="auto" w:fill="auto"/>
            <w:noWrap/>
            <w:vAlign w:val="center"/>
          </w:tcPr>
          <w:p w14:paraId="481496D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58EC2008" w14:textId="56FB3928"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7595BB5A" w14:textId="7ECC9383"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0C4173D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08" w:type="dxa"/>
            <w:shd w:val="clear" w:color="auto" w:fill="auto"/>
            <w:noWrap/>
            <w:vAlign w:val="center"/>
          </w:tcPr>
          <w:p w14:paraId="4605DA9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699FCABD" w14:textId="0943FC95"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3231A67A" w14:textId="103D9A80"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35CC6CC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51" w:type="dxa"/>
            <w:shd w:val="clear" w:color="auto" w:fill="auto"/>
            <w:noWrap/>
            <w:vAlign w:val="center"/>
          </w:tcPr>
          <w:p w14:paraId="7E764C6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1B5D44FD" w14:textId="265CE716"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642C5B46" w14:textId="5519EE83"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14B6839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r>
      <w:tr w:rsidR="00722A47" w:rsidRPr="00722A47" w14:paraId="559FDA74" w14:textId="77777777" w:rsidTr="004954C9">
        <w:trPr>
          <w:trHeight w:val="111"/>
        </w:trPr>
        <w:tc>
          <w:tcPr>
            <w:tcW w:w="4762" w:type="dxa"/>
            <w:gridSpan w:val="2"/>
            <w:vMerge/>
            <w:shd w:val="clear" w:color="auto" w:fill="auto"/>
            <w:noWrap/>
            <w:vAlign w:val="center"/>
          </w:tcPr>
          <w:p w14:paraId="5692854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4E10A23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1</w:t>
            </w:r>
          </w:p>
        </w:tc>
        <w:tc>
          <w:tcPr>
            <w:tcW w:w="675" w:type="dxa"/>
            <w:shd w:val="clear" w:color="auto" w:fill="auto"/>
            <w:noWrap/>
            <w:vAlign w:val="center"/>
          </w:tcPr>
          <w:p w14:paraId="6F2C814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2</w:t>
            </w:r>
          </w:p>
        </w:tc>
        <w:tc>
          <w:tcPr>
            <w:tcW w:w="1205" w:type="dxa"/>
            <w:shd w:val="clear" w:color="auto" w:fill="auto"/>
            <w:noWrap/>
            <w:vAlign w:val="center"/>
          </w:tcPr>
          <w:p w14:paraId="19697F4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3</w:t>
            </w:r>
          </w:p>
        </w:tc>
        <w:tc>
          <w:tcPr>
            <w:tcW w:w="1257" w:type="dxa"/>
            <w:gridSpan w:val="2"/>
            <w:shd w:val="clear" w:color="auto" w:fill="auto"/>
            <w:noWrap/>
            <w:vAlign w:val="center"/>
          </w:tcPr>
          <w:p w14:paraId="7F45917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4</w:t>
            </w:r>
          </w:p>
        </w:tc>
        <w:tc>
          <w:tcPr>
            <w:tcW w:w="1189" w:type="dxa"/>
            <w:gridSpan w:val="2"/>
            <w:shd w:val="clear" w:color="auto" w:fill="auto"/>
            <w:noWrap/>
            <w:vAlign w:val="center"/>
          </w:tcPr>
          <w:p w14:paraId="2AE9D8D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5</w:t>
            </w:r>
          </w:p>
        </w:tc>
        <w:tc>
          <w:tcPr>
            <w:tcW w:w="1232" w:type="dxa"/>
            <w:gridSpan w:val="2"/>
            <w:shd w:val="clear" w:color="auto" w:fill="auto"/>
            <w:noWrap/>
            <w:vAlign w:val="center"/>
          </w:tcPr>
          <w:p w14:paraId="6831B2A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6</w:t>
            </w:r>
          </w:p>
        </w:tc>
      </w:tr>
      <w:tr w:rsidR="00722A47" w:rsidRPr="00722A47" w14:paraId="646E5CC9" w14:textId="77777777" w:rsidTr="004954C9">
        <w:trPr>
          <w:trHeight w:val="20"/>
        </w:trPr>
        <w:tc>
          <w:tcPr>
            <w:tcW w:w="478" w:type="dxa"/>
            <w:noWrap/>
          </w:tcPr>
          <w:p w14:paraId="708C84E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w:t>
            </w:r>
          </w:p>
        </w:tc>
        <w:tc>
          <w:tcPr>
            <w:tcW w:w="4284" w:type="dxa"/>
          </w:tcPr>
          <w:p w14:paraId="59D3A04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Schotteroberbau der Bahnbauweise Standard Damm </w:t>
            </w:r>
          </w:p>
        </w:tc>
        <w:tc>
          <w:tcPr>
            <w:tcW w:w="865" w:type="dxa"/>
            <w:noWrap/>
            <w:vAlign w:val="center"/>
          </w:tcPr>
          <w:p w14:paraId="26B8C87E"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19F0578D"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345B8488"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35F813B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91A650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54A25A7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375656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9C079B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80A0BA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DB0026A" w14:textId="77777777" w:rsidTr="004954C9">
        <w:trPr>
          <w:trHeight w:val="20"/>
        </w:trPr>
        <w:tc>
          <w:tcPr>
            <w:tcW w:w="478" w:type="dxa"/>
            <w:noWrap/>
          </w:tcPr>
          <w:p w14:paraId="78EA77A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w:t>
            </w:r>
          </w:p>
        </w:tc>
        <w:tc>
          <w:tcPr>
            <w:tcW w:w="4284" w:type="dxa"/>
          </w:tcPr>
          <w:p w14:paraId="55FD9D2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Standard Einschnitt</w:t>
            </w:r>
          </w:p>
        </w:tc>
        <w:tc>
          <w:tcPr>
            <w:tcW w:w="865" w:type="dxa"/>
            <w:noWrap/>
            <w:vAlign w:val="center"/>
          </w:tcPr>
          <w:p w14:paraId="7D81FC3C"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7EB696A9"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3DBEBDD1"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5984CE7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6F1BFB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13558FF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480326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51A33B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93EEA5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5E81F3A" w14:textId="77777777" w:rsidTr="004954C9">
        <w:trPr>
          <w:trHeight w:val="20"/>
        </w:trPr>
        <w:tc>
          <w:tcPr>
            <w:tcW w:w="478" w:type="dxa"/>
            <w:noWrap/>
          </w:tcPr>
          <w:p w14:paraId="54595FF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B3</w:t>
            </w:r>
          </w:p>
        </w:tc>
        <w:tc>
          <w:tcPr>
            <w:tcW w:w="4284" w:type="dxa"/>
          </w:tcPr>
          <w:p w14:paraId="03C28CA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w:t>
            </w:r>
          </w:p>
        </w:tc>
        <w:tc>
          <w:tcPr>
            <w:tcW w:w="865" w:type="dxa"/>
            <w:noWrap/>
            <w:vAlign w:val="center"/>
          </w:tcPr>
          <w:p w14:paraId="599B8071"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3D9B66B6"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0DC03108"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2125BC6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FB878C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22FD61B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D99E4D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3ED23F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B8A5B9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41D05F9" w14:textId="77777777" w:rsidTr="004954C9">
        <w:trPr>
          <w:trHeight w:val="20"/>
        </w:trPr>
        <w:tc>
          <w:tcPr>
            <w:tcW w:w="478" w:type="dxa"/>
            <w:noWrap/>
          </w:tcPr>
          <w:p w14:paraId="35029B4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B4</w:t>
            </w:r>
          </w:p>
        </w:tc>
        <w:tc>
          <w:tcPr>
            <w:tcW w:w="4284" w:type="dxa"/>
          </w:tcPr>
          <w:p w14:paraId="400B0CB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 modifiziert</w:t>
            </w:r>
          </w:p>
        </w:tc>
        <w:tc>
          <w:tcPr>
            <w:tcW w:w="865" w:type="dxa"/>
            <w:noWrap/>
            <w:vAlign w:val="center"/>
          </w:tcPr>
          <w:p w14:paraId="02F49FBB"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7DA08014"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115E737C"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6F811BF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71A83E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5F4254E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EC13AE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25FC8C5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4A11E8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79CA1E6" w14:textId="77777777" w:rsidTr="004954C9">
        <w:trPr>
          <w:trHeight w:val="20"/>
        </w:trPr>
        <w:tc>
          <w:tcPr>
            <w:tcW w:w="478" w:type="dxa"/>
            <w:noWrap/>
          </w:tcPr>
          <w:p w14:paraId="387AEEA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B5</w:t>
            </w:r>
          </w:p>
        </w:tc>
        <w:tc>
          <w:tcPr>
            <w:tcW w:w="4284" w:type="dxa"/>
          </w:tcPr>
          <w:p w14:paraId="5F219A2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2723100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Bahnbauweise Standard Damm </w:t>
            </w:r>
          </w:p>
        </w:tc>
        <w:tc>
          <w:tcPr>
            <w:tcW w:w="865" w:type="dxa"/>
            <w:noWrap/>
            <w:vAlign w:val="center"/>
          </w:tcPr>
          <w:p w14:paraId="072A91D2"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0728DE63"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45E83F2D"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79CC789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43A16A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33833B7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C8D0C5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A1E28D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2126AE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0A1C50F" w14:textId="77777777" w:rsidTr="004954C9">
        <w:trPr>
          <w:trHeight w:val="20"/>
        </w:trPr>
        <w:tc>
          <w:tcPr>
            <w:tcW w:w="478" w:type="dxa"/>
            <w:noWrap/>
          </w:tcPr>
          <w:p w14:paraId="3EFBB6F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B6</w:t>
            </w:r>
          </w:p>
        </w:tc>
        <w:tc>
          <w:tcPr>
            <w:tcW w:w="4284" w:type="dxa"/>
          </w:tcPr>
          <w:p w14:paraId="59A612D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532DB36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Standard Einschnitt</w:t>
            </w:r>
          </w:p>
        </w:tc>
        <w:tc>
          <w:tcPr>
            <w:tcW w:w="865" w:type="dxa"/>
            <w:noWrap/>
            <w:vAlign w:val="center"/>
          </w:tcPr>
          <w:p w14:paraId="1B481C1C"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386B1FA9"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00AA66CC"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24364FC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29ED9C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3314DEB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2B14F4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273C0CA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5BD0CD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285C005" w14:textId="77777777" w:rsidTr="004954C9">
        <w:trPr>
          <w:trHeight w:val="20"/>
        </w:trPr>
        <w:tc>
          <w:tcPr>
            <w:tcW w:w="478" w:type="dxa"/>
            <w:noWrap/>
          </w:tcPr>
          <w:p w14:paraId="5911921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B7</w:t>
            </w:r>
          </w:p>
        </w:tc>
        <w:tc>
          <w:tcPr>
            <w:tcW w:w="4284" w:type="dxa"/>
          </w:tcPr>
          <w:p w14:paraId="121E345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2BCA53C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0BFBF9C5"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5CA9A832"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73A677C1"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544D0F0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B46CA1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55C313C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7DA306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87EBB7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0EB00A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51BA123" w14:textId="77777777" w:rsidTr="004954C9">
        <w:trPr>
          <w:trHeight w:val="20"/>
        </w:trPr>
        <w:tc>
          <w:tcPr>
            <w:tcW w:w="478" w:type="dxa"/>
            <w:noWrap/>
          </w:tcPr>
          <w:p w14:paraId="30244B1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B8</w:t>
            </w:r>
          </w:p>
        </w:tc>
        <w:tc>
          <w:tcPr>
            <w:tcW w:w="4284" w:type="dxa"/>
          </w:tcPr>
          <w:p w14:paraId="7B62ACC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138BBAF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7291749E"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5133C324"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49D20BBA"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1A18BBA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1E3004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3C8DA59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117565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1759484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737073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EC36805" w14:textId="77777777" w:rsidTr="004954C9">
        <w:trPr>
          <w:trHeight w:val="20"/>
        </w:trPr>
        <w:tc>
          <w:tcPr>
            <w:tcW w:w="478" w:type="dxa"/>
            <w:noWrap/>
          </w:tcPr>
          <w:p w14:paraId="4001C0B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B9</w:t>
            </w:r>
          </w:p>
        </w:tc>
        <w:tc>
          <w:tcPr>
            <w:tcW w:w="4284" w:type="dxa"/>
          </w:tcPr>
          <w:p w14:paraId="1E4AEFD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3BDFF04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1910F60F"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3ABC6E5F"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69E312F1"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475A9EF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A9217E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51AC5B3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C33A2A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3F37C1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EEC6AA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B7C86F2" w14:textId="77777777" w:rsidTr="004954C9">
        <w:trPr>
          <w:trHeight w:val="20"/>
        </w:trPr>
        <w:tc>
          <w:tcPr>
            <w:tcW w:w="478" w:type="dxa"/>
            <w:noWrap/>
          </w:tcPr>
          <w:p w14:paraId="297A773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B10</w:t>
            </w:r>
          </w:p>
        </w:tc>
        <w:tc>
          <w:tcPr>
            <w:tcW w:w="4284" w:type="dxa"/>
          </w:tcPr>
          <w:p w14:paraId="5A3D168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7496422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4375082B"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7BC73B66"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253EB9D5"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726BEAE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120A26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4C02F94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922B51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338952E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63F0A5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161C5CD" w14:textId="77777777" w:rsidTr="004954C9">
        <w:trPr>
          <w:trHeight w:val="20"/>
        </w:trPr>
        <w:tc>
          <w:tcPr>
            <w:tcW w:w="478" w:type="dxa"/>
            <w:noWrap/>
          </w:tcPr>
          <w:p w14:paraId="6351B57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B11</w:t>
            </w:r>
          </w:p>
        </w:tc>
        <w:tc>
          <w:tcPr>
            <w:tcW w:w="4284" w:type="dxa"/>
          </w:tcPr>
          <w:p w14:paraId="50ACC33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Spezielle Bodenschicht der Bahnbauweise H</w:t>
            </w:r>
          </w:p>
        </w:tc>
        <w:tc>
          <w:tcPr>
            <w:tcW w:w="865" w:type="dxa"/>
            <w:noWrap/>
            <w:vAlign w:val="center"/>
          </w:tcPr>
          <w:p w14:paraId="0EC92AE3"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567EF226"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5F1C71AC"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6141B37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08ED03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71D6D51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9B926D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2F1430D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4A38CE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A9DDE69" w14:textId="77777777" w:rsidTr="004954C9">
        <w:trPr>
          <w:trHeight w:val="20"/>
        </w:trPr>
        <w:tc>
          <w:tcPr>
            <w:tcW w:w="478" w:type="dxa"/>
            <w:noWrap/>
          </w:tcPr>
          <w:p w14:paraId="1EEE065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B12</w:t>
            </w:r>
          </w:p>
        </w:tc>
        <w:tc>
          <w:tcPr>
            <w:tcW w:w="4284" w:type="dxa"/>
          </w:tcPr>
          <w:p w14:paraId="2C7517C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231E4E8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Standard Damm </w:t>
            </w:r>
          </w:p>
        </w:tc>
        <w:tc>
          <w:tcPr>
            <w:tcW w:w="865" w:type="dxa"/>
            <w:noWrap/>
            <w:vAlign w:val="center"/>
          </w:tcPr>
          <w:p w14:paraId="5CB669D7"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5D073D6D"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79CC585C"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2F66B27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11DA430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7D49057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56324A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782220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661A25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F965580" w14:textId="77777777" w:rsidTr="004954C9">
        <w:trPr>
          <w:trHeight w:val="20"/>
        </w:trPr>
        <w:tc>
          <w:tcPr>
            <w:tcW w:w="478" w:type="dxa"/>
            <w:noWrap/>
          </w:tcPr>
          <w:p w14:paraId="156A572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B13</w:t>
            </w:r>
          </w:p>
        </w:tc>
        <w:tc>
          <w:tcPr>
            <w:tcW w:w="4284" w:type="dxa"/>
          </w:tcPr>
          <w:p w14:paraId="2B9F756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1F6897C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Standard Einschnitt</w:t>
            </w:r>
          </w:p>
        </w:tc>
        <w:tc>
          <w:tcPr>
            <w:tcW w:w="865" w:type="dxa"/>
            <w:noWrap/>
            <w:vAlign w:val="center"/>
          </w:tcPr>
          <w:p w14:paraId="0A93D4E9"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645BAEC8"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2C4D1B14"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2514A1B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38D907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08EC505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CD3FAE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1B4CE76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055331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FA4D2B9" w14:textId="77777777" w:rsidTr="004954C9">
        <w:trPr>
          <w:trHeight w:val="20"/>
        </w:trPr>
        <w:tc>
          <w:tcPr>
            <w:tcW w:w="478" w:type="dxa"/>
            <w:noWrap/>
          </w:tcPr>
          <w:p w14:paraId="155AB61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B14</w:t>
            </w:r>
          </w:p>
        </w:tc>
        <w:tc>
          <w:tcPr>
            <w:tcW w:w="4284" w:type="dxa"/>
          </w:tcPr>
          <w:p w14:paraId="540858B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H</w:t>
            </w:r>
          </w:p>
        </w:tc>
        <w:tc>
          <w:tcPr>
            <w:tcW w:w="865" w:type="dxa"/>
            <w:noWrap/>
            <w:vAlign w:val="center"/>
          </w:tcPr>
          <w:p w14:paraId="5F410FF8"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5E0E779B"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6C0F5F54"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24C91A8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20C183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350AE2E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DAEC23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345D376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722730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513F21C2" w14:textId="77777777" w:rsidTr="004954C9">
        <w:trPr>
          <w:trHeight w:val="20"/>
        </w:trPr>
        <w:tc>
          <w:tcPr>
            <w:tcW w:w="478" w:type="dxa"/>
            <w:noWrap/>
          </w:tcPr>
          <w:p w14:paraId="7135001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B15</w:t>
            </w:r>
          </w:p>
        </w:tc>
        <w:tc>
          <w:tcPr>
            <w:tcW w:w="4284" w:type="dxa"/>
          </w:tcPr>
          <w:p w14:paraId="19522A9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00386C1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H modifiziert</w:t>
            </w:r>
          </w:p>
        </w:tc>
        <w:tc>
          <w:tcPr>
            <w:tcW w:w="865" w:type="dxa"/>
            <w:noWrap/>
            <w:vAlign w:val="center"/>
          </w:tcPr>
          <w:p w14:paraId="0F96D57E"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28890C48"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2CA8EF45"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67EFF03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ADEAEF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4BEB1CC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15BC29F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EA254C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49C0A2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FD39D92" w14:textId="77777777" w:rsidTr="004954C9">
        <w:trPr>
          <w:trHeight w:val="20"/>
        </w:trPr>
        <w:tc>
          <w:tcPr>
            <w:tcW w:w="478" w:type="dxa"/>
            <w:noWrap/>
          </w:tcPr>
          <w:p w14:paraId="7DFEFF4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B16</w:t>
            </w:r>
          </w:p>
        </w:tc>
        <w:tc>
          <w:tcPr>
            <w:tcW w:w="4284" w:type="dxa"/>
          </w:tcPr>
          <w:p w14:paraId="3A93D43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w:t>
            </w:r>
          </w:p>
        </w:tc>
        <w:tc>
          <w:tcPr>
            <w:tcW w:w="865" w:type="dxa"/>
            <w:noWrap/>
            <w:vAlign w:val="center"/>
          </w:tcPr>
          <w:p w14:paraId="5440BC83"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528CBD76"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7C4D49D4"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3C1654C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FBF65C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2CB07D6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9C89B4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FFA0D7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6E2A4A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6983F9E" w14:textId="77777777" w:rsidTr="004954C9">
        <w:trPr>
          <w:trHeight w:val="20"/>
        </w:trPr>
        <w:tc>
          <w:tcPr>
            <w:tcW w:w="478" w:type="dxa"/>
            <w:noWrap/>
          </w:tcPr>
          <w:p w14:paraId="1450AA0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B17</w:t>
            </w:r>
          </w:p>
        </w:tc>
        <w:tc>
          <w:tcPr>
            <w:tcW w:w="4284" w:type="dxa"/>
          </w:tcPr>
          <w:p w14:paraId="7597AD0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w:t>
            </w:r>
          </w:p>
        </w:tc>
        <w:tc>
          <w:tcPr>
            <w:tcW w:w="865" w:type="dxa"/>
            <w:noWrap/>
            <w:vAlign w:val="center"/>
          </w:tcPr>
          <w:p w14:paraId="56D5C141"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6163C10A"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4AF18216"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2E185D9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7CB03E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4262A36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D231CC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2712E16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1A5DABE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291EE4B" w14:textId="77777777" w:rsidTr="004954C9">
        <w:trPr>
          <w:trHeight w:val="20"/>
        </w:trPr>
        <w:tc>
          <w:tcPr>
            <w:tcW w:w="478" w:type="dxa"/>
            <w:noWrap/>
          </w:tcPr>
          <w:p w14:paraId="69CD588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B18</w:t>
            </w:r>
          </w:p>
        </w:tc>
        <w:tc>
          <w:tcPr>
            <w:tcW w:w="4284" w:type="dxa"/>
          </w:tcPr>
          <w:p w14:paraId="05CB165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 mit Randwegabdichtung oberhalb der FSS</w:t>
            </w:r>
          </w:p>
        </w:tc>
        <w:tc>
          <w:tcPr>
            <w:tcW w:w="865" w:type="dxa"/>
            <w:noWrap/>
            <w:vAlign w:val="center"/>
          </w:tcPr>
          <w:p w14:paraId="5B256192"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441D06F0"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28A00A6B"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1EBC6D8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DC3D3C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1C9F4D8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66F348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133DEC4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99DB76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2DEFFE0" w14:textId="77777777" w:rsidTr="004954C9">
        <w:trPr>
          <w:trHeight w:val="20"/>
        </w:trPr>
        <w:tc>
          <w:tcPr>
            <w:tcW w:w="478" w:type="dxa"/>
            <w:noWrap/>
          </w:tcPr>
          <w:p w14:paraId="736F811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B19</w:t>
            </w:r>
          </w:p>
        </w:tc>
        <w:tc>
          <w:tcPr>
            <w:tcW w:w="4284" w:type="dxa"/>
          </w:tcPr>
          <w:p w14:paraId="17B86B5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 mit Randwegabdichtung</w:t>
            </w:r>
          </w:p>
        </w:tc>
        <w:tc>
          <w:tcPr>
            <w:tcW w:w="865" w:type="dxa"/>
            <w:noWrap/>
            <w:vAlign w:val="center"/>
          </w:tcPr>
          <w:p w14:paraId="18FB62CB"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7F09CC53"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35F09067"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68E089D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914254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64E7663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1C49401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12DAD9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1068786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565EECC8" w14:textId="77777777" w:rsidTr="004954C9">
        <w:trPr>
          <w:trHeight w:val="20"/>
        </w:trPr>
        <w:tc>
          <w:tcPr>
            <w:tcW w:w="478" w:type="dxa"/>
            <w:noWrap/>
          </w:tcPr>
          <w:p w14:paraId="100AF7A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B20</w:t>
            </w:r>
          </w:p>
        </w:tc>
        <w:tc>
          <w:tcPr>
            <w:tcW w:w="4284" w:type="dxa"/>
          </w:tcPr>
          <w:p w14:paraId="0FCBEC9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unterhalb </w:t>
            </w: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bzw. PSS der Bahnbauweise E 1</w:t>
            </w:r>
          </w:p>
        </w:tc>
        <w:tc>
          <w:tcPr>
            <w:tcW w:w="865" w:type="dxa"/>
            <w:noWrap/>
            <w:vAlign w:val="center"/>
          </w:tcPr>
          <w:p w14:paraId="1D3FCFF8"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341A2DA5"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6B55D088"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562DD71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7A12D3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3D4FDEE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C2855C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26ED2A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09384E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39928ADF" w14:textId="77777777" w:rsidTr="004954C9">
        <w:trPr>
          <w:trHeight w:val="20"/>
        </w:trPr>
        <w:tc>
          <w:tcPr>
            <w:tcW w:w="478" w:type="dxa"/>
            <w:noWrap/>
          </w:tcPr>
          <w:p w14:paraId="12AEA47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B21</w:t>
            </w:r>
          </w:p>
        </w:tc>
        <w:tc>
          <w:tcPr>
            <w:tcW w:w="4284" w:type="dxa"/>
          </w:tcPr>
          <w:p w14:paraId="50E7A9E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1 mit Dichtungselement auf dem Planum</w:t>
            </w:r>
          </w:p>
        </w:tc>
        <w:tc>
          <w:tcPr>
            <w:tcW w:w="865" w:type="dxa"/>
            <w:noWrap/>
            <w:vAlign w:val="center"/>
          </w:tcPr>
          <w:p w14:paraId="626E638D"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3FEE077E"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29A23C80"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4FF7B82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D610FE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3FABF94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3878D2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23E37D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7F1929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A68868D" w14:textId="77777777" w:rsidTr="004954C9">
        <w:trPr>
          <w:trHeight w:val="20"/>
        </w:trPr>
        <w:tc>
          <w:tcPr>
            <w:tcW w:w="478" w:type="dxa"/>
            <w:noWrap/>
          </w:tcPr>
          <w:p w14:paraId="45E64DD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B22</w:t>
            </w:r>
          </w:p>
        </w:tc>
        <w:tc>
          <w:tcPr>
            <w:tcW w:w="4284" w:type="dxa"/>
          </w:tcPr>
          <w:p w14:paraId="2F44761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Tragschicht als witterungsunempfindliches Dichtungselement der Bahnbauweise E 2</w:t>
            </w:r>
          </w:p>
        </w:tc>
        <w:tc>
          <w:tcPr>
            <w:tcW w:w="865" w:type="dxa"/>
            <w:noWrap/>
            <w:vAlign w:val="center"/>
          </w:tcPr>
          <w:p w14:paraId="7072188E"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6424EA22"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7736FF94"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13F7B9D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1A053E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1EBEA71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131E159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042E5C8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1A1774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A0538E8" w14:textId="77777777" w:rsidTr="004954C9">
        <w:trPr>
          <w:trHeight w:val="20"/>
        </w:trPr>
        <w:tc>
          <w:tcPr>
            <w:tcW w:w="478" w:type="dxa"/>
            <w:noWrap/>
          </w:tcPr>
          <w:p w14:paraId="06FEA0D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B23</w:t>
            </w:r>
          </w:p>
        </w:tc>
        <w:tc>
          <w:tcPr>
            <w:tcW w:w="4284" w:type="dxa"/>
          </w:tcPr>
          <w:p w14:paraId="716C763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2</w:t>
            </w:r>
          </w:p>
        </w:tc>
        <w:tc>
          <w:tcPr>
            <w:tcW w:w="865" w:type="dxa"/>
            <w:noWrap/>
            <w:vAlign w:val="center"/>
          </w:tcPr>
          <w:p w14:paraId="68FFD69C"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39D910F0"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576BA11A"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57103B1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4B7904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312628F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1FFD6DC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8696F6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FE3321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3FE8B6B9" w14:textId="77777777" w:rsidTr="004954C9">
        <w:trPr>
          <w:trHeight w:val="20"/>
        </w:trPr>
        <w:tc>
          <w:tcPr>
            <w:tcW w:w="478" w:type="dxa"/>
            <w:noWrap/>
          </w:tcPr>
          <w:p w14:paraId="2564D7A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B24</w:t>
            </w:r>
          </w:p>
        </w:tc>
        <w:tc>
          <w:tcPr>
            <w:tcW w:w="4284" w:type="dxa"/>
          </w:tcPr>
          <w:p w14:paraId="28B0E99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und Unterbau (Damm) der Bahnbauweise E 3a</w:t>
            </w:r>
          </w:p>
        </w:tc>
        <w:tc>
          <w:tcPr>
            <w:tcW w:w="865" w:type="dxa"/>
            <w:noWrap/>
            <w:vAlign w:val="center"/>
          </w:tcPr>
          <w:p w14:paraId="25FD54B7"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02A7BFAF"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78714FD2"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2E1034C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EC5D96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47327B8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6BA5AA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634029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4536F7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82215AB" w14:textId="77777777" w:rsidTr="004954C9">
        <w:trPr>
          <w:trHeight w:val="20"/>
        </w:trPr>
        <w:tc>
          <w:tcPr>
            <w:tcW w:w="478" w:type="dxa"/>
            <w:noWrap/>
          </w:tcPr>
          <w:p w14:paraId="5DB6A68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B25</w:t>
            </w:r>
          </w:p>
        </w:tc>
        <w:tc>
          <w:tcPr>
            <w:tcW w:w="4284" w:type="dxa"/>
          </w:tcPr>
          <w:p w14:paraId="43207D2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der Bahnbauweise E 3b</w:t>
            </w:r>
          </w:p>
        </w:tc>
        <w:tc>
          <w:tcPr>
            <w:tcW w:w="865" w:type="dxa"/>
            <w:noWrap/>
            <w:vAlign w:val="center"/>
          </w:tcPr>
          <w:p w14:paraId="506D829A"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14383473"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4B40E5D6"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13BE163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E66FCC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4FFCD62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1B0914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DC214F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9AB9FE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A88364E" w14:textId="77777777" w:rsidTr="004954C9">
        <w:trPr>
          <w:trHeight w:val="208"/>
        </w:trPr>
        <w:tc>
          <w:tcPr>
            <w:tcW w:w="478" w:type="dxa"/>
            <w:noWrap/>
          </w:tcPr>
          <w:p w14:paraId="5EA6162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B26</w:t>
            </w:r>
          </w:p>
        </w:tc>
        <w:tc>
          <w:tcPr>
            <w:tcW w:w="4284" w:type="dxa"/>
          </w:tcPr>
          <w:p w14:paraId="24AD295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3b</w:t>
            </w:r>
          </w:p>
        </w:tc>
        <w:tc>
          <w:tcPr>
            <w:tcW w:w="865" w:type="dxa"/>
            <w:noWrap/>
            <w:vAlign w:val="center"/>
          </w:tcPr>
          <w:p w14:paraId="2216DD06"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6229E56D"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7C5373EA"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76" w:type="dxa"/>
            <w:shd w:val="clear" w:color="auto" w:fill="auto"/>
            <w:noWrap/>
            <w:vAlign w:val="center"/>
          </w:tcPr>
          <w:p w14:paraId="2892D8B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491808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7CFCD23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A1AA9D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3BF310D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6DA29F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bl>
    <w:p w14:paraId="436F09CB" w14:textId="65E1C243" w:rsidR="00391B63" w:rsidRPr="00391B63" w:rsidRDefault="00391B63" w:rsidP="00391B63">
      <w:pPr>
        <w:pStyle w:val="Text"/>
        <w:rPr>
          <w:lang w:eastAsia="de-DE"/>
        </w:rPr>
      </w:pPr>
      <w:bookmarkStart w:id="48" w:name="_Toc30766619"/>
    </w:p>
    <w:p w14:paraId="36A95356" w14:textId="335CEE3B" w:rsidR="00722A47" w:rsidRPr="003900D9" w:rsidRDefault="00722A47" w:rsidP="003900D9">
      <w:pPr>
        <w:pStyle w:val="berschrift1"/>
      </w:pPr>
      <w:r>
        <w:rPr>
          <w:lang w:eastAsia="de-DE"/>
        </w:rPr>
        <w:br w:type="page"/>
      </w:r>
      <w:r w:rsidRPr="008D0377">
        <w:lastRenderedPageBreak/>
        <w:t>Tabelle 2: Bodenmaterial der Klasse F1 (BM-F1), Baggergut der Klasse F1 (BG-F1)</w:t>
      </w:r>
      <w:bookmarkEnd w:id="48"/>
    </w:p>
    <w:tbl>
      <w:tblPr>
        <w:tblW w:w="11214" w:type="dxa"/>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
        <w:gridCol w:w="4284"/>
        <w:gridCol w:w="865"/>
        <w:gridCol w:w="675"/>
        <w:gridCol w:w="1205"/>
        <w:gridCol w:w="607"/>
        <w:gridCol w:w="715"/>
        <w:gridCol w:w="508"/>
        <w:gridCol w:w="715"/>
        <w:gridCol w:w="551"/>
        <w:gridCol w:w="715"/>
      </w:tblGrid>
      <w:tr w:rsidR="00722A47" w:rsidRPr="00722A47" w14:paraId="1FC7CA45" w14:textId="77777777" w:rsidTr="004954C9">
        <w:trPr>
          <w:trHeight w:val="330"/>
        </w:trPr>
        <w:tc>
          <w:tcPr>
            <w:tcW w:w="11214" w:type="dxa"/>
            <w:gridSpan w:val="11"/>
            <w:noWrap/>
            <w:vAlign w:val="bottom"/>
          </w:tcPr>
          <w:p w14:paraId="18EEE4AF" w14:textId="77777777" w:rsidR="00722A47" w:rsidRPr="00722A47" w:rsidRDefault="00722A47" w:rsidP="00722A47">
            <w:pPr>
              <w:spacing w:before="0" w:after="0"/>
              <w:jc w:val="center"/>
              <w:rPr>
                <w:rFonts w:ascii="Times New Roman" w:eastAsia="Times New Roman" w:hAnsi="Times New Roman" w:cs="Times New Roman"/>
                <w:b/>
                <w:bCs/>
                <w:sz w:val="24"/>
                <w:szCs w:val="24"/>
                <w:lang w:eastAsia="de-DE"/>
              </w:rPr>
            </w:pPr>
            <w:r w:rsidRPr="00722A47">
              <w:rPr>
                <w:rFonts w:ascii="Times New Roman" w:eastAsia="Times New Roman" w:hAnsi="Times New Roman" w:cs="Times New Roman"/>
                <w:b/>
                <w:sz w:val="24"/>
                <w:szCs w:val="20"/>
                <w:lang w:eastAsia="de-DE"/>
              </w:rPr>
              <w:br w:type="page"/>
            </w:r>
            <w:r w:rsidRPr="00722A47">
              <w:rPr>
                <w:rFonts w:ascii="Times New Roman" w:eastAsia="Times New Roman" w:hAnsi="Times New Roman" w:cs="Times New Roman"/>
                <w:b/>
                <w:sz w:val="24"/>
                <w:szCs w:val="24"/>
                <w:lang w:eastAsia="de-DE"/>
              </w:rPr>
              <w:t>Bodenmaterial der Klasse F1 (</w:t>
            </w:r>
            <w:r w:rsidRPr="00722A47">
              <w:rPr>
                <w:rFonts w:ascii="Times New Roman" w:eastAsia="Times New Roman" w:hAnsi="Times New Roman" w:cs="Tahoma"/>
                <w:b/>
                <w:bCs/>
                <w:sz w:val="24"/>
                <w:szCs w:val="24"/>
                <w:lang w:eastAsia="de-DE"/>
              </w:rPr>
              <w:t>BM-F1), Baggergut der Klasse F1 (BG-F1)</w:t>
            </w:r>
          </w:p>
        </w:tc>
      </w:tr>
      <w:tr w:rsidR="00722A47" w:rsidRPr="00722A47" w14:paraId="5347B1CB" w14:textId="77777777" w:rsidTr="004954C9">
        <w:trPr>
          <w:trHeight w:val="20"/>
        </w:trPr>
        <w:tc>
          <w:tcPr>
            <w:tcW w:w="4762" w:type="dxa"/>
            <w:gridSpan w:val="2"/>
            <w:vMerge w:val="restart"/>
            <w:shd w:val="clear" w:color="auto" w:fill="auto"/>
            <w:noWrap/>
          </w:tcPr>
          <w:p w14:paraId="4EA7717D"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Einbauweise</w:t>
            </w:r>
          </w:p>
        </w:tc>
        <w:tc>
          <w:tcPr>
            <w:tcW w:w="6452" w:type="dxa"/>
            <w:gridSpan w:val="9"/>
            <w:shd w:val="clear" w:color="auto" w:fill="auto"/>
            <w:noWrap/>
            <w:vAlign w:val="center"/>
          </w:tcPr>
          <w:p w14:paraId="08B999A3"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Eigenschaft der Grundwasserdeckschicht</w:t>
            </w:r>
          </w:p>
        </w:tc>
      </w:tr>
      <w:tr w:rsidR="00722A47" w:rsidRPr="00722A47" w14:paraId="6A46D7C5" w14:textId="77777777" w:rsidTr="004954C9">
        <w:trPr>
          <w:trHeight w:val="20"/>
        </w:trPr>
        <w:tc>
          <w:tcPr>
            <w:tcW w:w="4762" w:type="dxa"/>
            <w:gridSpan w:val="2"/>
            <w:vMerge/>
            <w:shd w:val="clear" w:color="auto" w:fill="auto"/>
            <w:noWrap/>
            <w:vAlign w:val="center"/>
          </w:tcPr>
          <w:p w14:paraId="007C9FB4" w14:textId="77777777" w:rsidR="00722A47" w:rsidRPr="00722A47" w:rsidRDefault="00722A47" w:rsidP="00722A47">
            <w:pPr>
              <w:spacing w:before="0" w:after="0"/>
              <w:jc w:val="center"/>
              <w:rPr>
                <w:rFonts w:ascii="Times New Roman" w:eastAsia="Times New Roman" w:hAnsi="Times New Roman" w:cs="Times New Roman"/>
                <w:sz w:val="20"/>
                <w:szCs w:val="24"/>
                <w:lang w:eastAsia="de-DE"/>
              </w:rPr>
            </w:pPr>
          </w:p>
        </w:tc>
        <w:tc>
          <w:tcPr>
            <w:tcW w:w="2745" w:type="dxa"/>
            <w:gridSpan w:val="3"/>
            <w:shd w:val="clear" w:color="auto" w:fill="auto"/>
            <w:noWrap/>
            <w:vAlign w:val="center"/>
          </w:tcPr>
          <w:p w14:paraId="48075F88"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außerhalb von</w:t>
            </w:r>
          </w:p>
          <w:p w14:paraId="5DE8C583"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c>
          <w:tcPr>
            <w:tcW w:w="3707" w:type="dxa"/>
            <w:gridSpan w:val="6"/>
            <w:shd w:val="clear" w:color="auto" w:fill="auto"/>
            <w:noWrap/>
            <w:vAlign w:val="center"/>
          </w:tcPr>
          <w:p w14:paraId="45EE277A"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innerhalb von</w:t>
            </w:r>
          </w:p>
          <w:p w14:paraId="5C6D5AF2"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r>
      <w:tr w:rsidR="00722A47" w:rsidRPr="00722A47" w14:paraId="3A6ADD8A" w14:textId="77777777" w:rsidTr="004954C9">
        <w:trPr>
          <w:trHeight w:val="20"/>
        </w:trPr>
        <w:tc>
          <w:tcPr>
            <w:tcW w:w="4762" w:type="dxa"/>
            <w:gridSpan w:val="2"/>
            <w:vMerge/>
            <w:shd w:val="clear" w:color="auto" w:fill="auto"/>
            <w:noWrap/>
            <w:vAlign w:val="center"/>
          </w:tcPr>
          <w:p w14:paraId="3AD082F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6C3C6AB5"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proofErr w:type="spellStart"/>
            <w:r w:rsidRPr="00722A47">
              <w:rPr>
                <w:rFonts w:ascii="Times New Roman" w:eastAsia="Times New Roman" w:hAnsi="Times New Roman" w:cs="Times New Roman"/>
                <w:sz w:val="20"/>
                <w:szCs w:val="20"/>
                <w:lang w:eastAsia="de-DE"/>
              </w:rPr>
              <w:t>un</w:t>
            </w:r>
            <w:proofErr w:type="spellEnd"/>
            <w:r w:rsidRPr="00722A47">
              <w:rPr>
                <w:rFonts w:ascii="Times New Roman" w:eastAsia="Times New Roman" w:hAnsi="Times New Roman" w:cs="Times New Roman"/>
                <w:sz w:val="20"/>
                <w:szCs w:val="20"/>
                <w:lang w:eastAsia="de-DE"/>
              </w:rPr>
              <w:t>-günstig</w:t>
            </w:r>
          </w:p>
        </w:tc>
        <w:tc>
          <w:tcPr>
            <w:tcW w:w="1880" w:type="dxa"/>
            <w:gridSpan w:val="2"/>
            <w:shd w:val="clear" w:color="auto" w:fill="auto"/>
            <w:noWrap/>
            <w:vAlign w:val="center"/>
          </w:tcPr>
          <w:p w14:paraId="64D69810"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c>
          <w:tcPr>
            <w:tcW w:w="3707" w:type="dxa"/>
            <w:gridSpan w:val="6"/>
            <w:shd w:val="clear" w:color="auto" w:fill="auto"/>
            <w:noWrap/>
            <w:vAlign w:val="center"/>
          </w:tcPr>
          <w:p w14:paraId="179496D3"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r>
      <w:tr w:rsidR="00722A47" w:rsidRPr="00722A47" w14:paraId="4986F736" w14:textId="77777777" w:rsidTr="004954C9">
        <w:trPr>
          <w:trHeight w:val="20"/>
        </w:trPr>
        <w:tc>
          <w:tcPr>
            <w:tcW w:w="4762" w:type="dxa"/>
            <w:gridSpan w:val="2"/>
            <w:vMerge/>
            <w:shd w:val="clear" w:color="auto" w:fill="auto"/>
            <w:noWrap/>
            <w:vAlign w:val="center"/>
          </w:tcPr>
          <w:p w14:paraId="30C1DC8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val="restart"/>
            <w:shd w:val="clear" w:color="auto" w:fill="auto"/>
            <w:noWrap/>
            <w:vAlign w:val="bottom"/>
          </w:tcPr>
          <w:p w14:paraId="18355E3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val="restart"/>
            <w:shd w:val="clear" w:color="auto" w:fill="auto"/>
            <w:noWrap/>
            <w:vAlign w:val="center"/>
          </w:tcPr>
          <w:p w14:paraId="526C288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1205" w:type="dxa"/>
            <w:vMerge w:val="restart"/>
            <w:shd w:val="clear" w:color="auto" w:fill="auto"/>
            <w:noWrap/>
            <w:vAlign w:val="center"/>
          </w:tcPr>
          <w:p w14:paraId="1A5C17B1" w14:textId="5EE00848"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5A05A7CF" w14:textId="53AA9330"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2603871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1286" w:type="dxa"/>
            <w:gridSpan w:val="2"/>
            <w:shd w:val="clear" w:color="auto" w:fill="auto"/>
            <w:noWrap/>
            <w:vAlign w:val="center"/>
          </w:tcPr>
          <w:p w14:paraId="7063585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A</w:t>
            </w:r>
          </w:p>
        </w:tc>
        <w:tc>
          <w:tcPr>
            <w:tcW w:w="1189" w:type="dxa"/>
            <w:gridSpan w:val="2"/>
            <w:shd w:val="clear" w:color="auto" w:fill="auto"/>
            <w:noWrap/>
            <w:vAlign w:val="center"/>
          </w:tcPr>
          <w:p w14:paraId="2E412EF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B</w:t>
            </w:r>
          </w:p>
        </w:tc>
        <w:tc>
          <w:tcPr>
            <w:tcW w:w="1232" w:type="dxa"/>
            <w:gridSpan w:val="2"/>
            <w:shd w:val="clear" w:color="auto" w:fill="auto"/>
            <w:noWrap/>
            <w:vAlign w:val="center"/>
          </w:tcPr>
          <w:p w14:paraId="15B4860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Wasservor-</w:t>
            </w:r>
          </w:p>
        </w:tc>
      </w:tr>
      <w:tr w:rsidR="00722A47" w:rsidRPr="00722A47" w14:paraId="3396C565" w14:textId="77777777" w:rsidTr="004954C9">
        <w:trPr>
          <w:trHeight w:val="80"/>
        </w:trPr>
        <w:tc>
          <w:tcPr>
            <w:tcW w:w="4762" w:type="dxa"/>
            <w:gridSpan w:val="2"/>
            <w:vMerge/>
            <w:shd w:val="clear" w:color="auto" w:fill="auto"/>
            <w:noWrap/>
            <w:vAlign w:val="center"/>
          </w:tcPr>
          <w:p w14:paraId="59C6BAB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37F4FD9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4CB1ECF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60DC886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86" w:type="dxa"/>
            <w:gridSpan w:val="2"/>
            <w:shd w:val="clear" w:color="auto" w:fill="auto"/>
            <w:noWrap/>
            <w:vAlign w:val="center"/>
          </w:tcPr>
          <w:p w14:paraId="076A055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III</w:t>
            </w:r>
          </w:p>
        </w:tc>
        <w:tc>
          <w:tcPr>
            <w:tcW w:w="1189" w:type="dxa"/>
            <w:gridSpan w:val="2"/>
            <w:shd w:val="clear" w:color="auto" w:fill="auto"/>
            <w:noWrap/>
            <w:vAlign w:val="center"/>
          </w:tcPr>
          <w:p w14:paraId="095B318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IV</w:t>
            </w:r>
          </w:p>
        </w:tc>
        <w:tc>
          <w:tcPr>
            <w:tcW w:w="1232" w:type="dxa"/>
            <w:gridSpan w:val="2"/>
            <w:shd w:val="clear" w:color="auto" w:fill="auto"/>
            <w:noWrap/>
            <w:vAlign w:val="center"/>
          </w:tcPr>
          <w:p w14:paraId="0A888D0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ranggebiete</w:t>
            </w:r>
          </w:p>
        </w:tc>
      </w:tr>
      <w:tr w:rsidR="00722A47" w:rsidRPr="00722A47" w14:paraId="19D15045" w14:textId="77777777" w:rsidTr="004954C9">
        <w:trPr>
          <w:trHeight w:val="80"/>
        </w:trPr>
        <w:tc>
          <w:tcPr>
            <w:tcW w:w="4762" w:type="dxa"/>
            <w:gridSpan w:val="2"/>
            <w:vMerge/>
            <w:shd w:val="clear" w:color="auto" w:fill="auto"/>
            <w:noWrap/>
            <w:vAlign w:val="center"/>
          </w:tcPr>
          <w:p w14:paraId="3A1F7F9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656EC42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656724F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4102F98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07" w:type="dxa"/>
            <w:shd w:val="clear" w:color="auto" w:fill="auto"/>
            <w:noWrap/>
            <w:vAlign w:val="center"/>
          </w:tcPr>
          <w:p w14:paraId="2A2C181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79" w:type="dxa"/>
            <w:shd w:val="clear" w:color="auto" w:fill="auto"/>
            <w:vAlign w:val="center"/>
          </w:tcPr>
          <w:p w14:paraId="78A53F4F" w14:textId="51DD7AE4"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767ABDCB" w14:textId="38C07098"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5DD01DF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08" w:type="dxa"/>
            <w:shd w:val="clear" w:color="auto" w:fill="auto"/>
            <w:noWrap/>
            <w:vAlign w:val="center"/>
          </w:tcPr>
          <w:p w14:paraId="1419708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2EFDE96B" w14:textId="49AC430C"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5DF07E91" w14:textId="7094F64D"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6E34729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51" w:type="dxa"/>
            <w:shd w:val="clear" w:color="auto" w:fill="auto"/>
            <w:noWrap/>
            <w:vAlign w:val="center"/>
          </w:tcPr>
          <w:p w14:paraId="6D1C021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6689D97D" w14:textId="1DB9EB19"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51699136" w14:textId="007CF321"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59F4A7A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r>
      <w:tr w:rsidR="00722A47" w:rsidRPr="00722A47" w14:paraId="47076A48" w14:textId="77777777" w:rsidTr="004954C9">
        <w:trPr>
          <w:trHeight w:val="111"/>
        </w:trPr>
        <w:tc>
          <w:tcPr>
            <w:tcW w:w="4762" w:type="dxa"/>
            <w:gridSpan w:val="2"/>
            <w:vMerge/>
            <w:shd w:val="clear" w:color="auto" w:fill="auto"/>
            <w:noWrap/>
            <w:vAlign w:val="center"/>
          </w:tcPr>
          <w:p w14:paraId="0E01384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5FD944D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1</w:t>
            </w:r>
          </w:p>
        </w:tc>
        <w:tc>
          <w:tcPr>
            <w:tcW w:w="675" w:type="dxa"/>
            <w:shd w:val="clear" w:color="auto" w:fill="auto"/>
            <w:noWrap/>
            <w:vAlign w:val="center"/>
          </w:tcPr>
          <w:p w14:paraId="2D32399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2</w:t>
            </w:r>
          </w:p>
        </w:tc>
        <w:tc>
          <w:tcPr>
            <w:tcW w:w="1205" w:type="dxa"/>
            <w:shd w:val="clear" w:color="auto" w:fill="auto"/>
            <w:noWrap/>
            <w:vAlign w:val="center"/>
          </w:tcPr>
          <w:p w14:paraId="7AD8B8C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3</w:t>
            </w:r>
          </w:p>
        </w:tc>
        <w:tc>
          <w:tcPr>
            <w:tcW w:w="1286" w:type="dxa"/>
            <w:gridSpan w:val="2"/>
            <w:shd w:val="clear" w:color="auto" w:fill="auto"/>
            <w:noWrap/>
            <w:vAlign w:val="center"/>
          </w:tcPr>
          <w:p w14:paraId="6736E4A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4</w:t>
            </w:r>
          </w:p>
        </w:tc>
        <w:tc>
          <w:tcPr>
            <w:tcW w:w="1189" w:type="dxa"/>
            <w:gridSpan w:val="2"/>
            <w:shd w:val="clear" w:color="auto" w:fill="auto"/>
            <w:noWrap/>
            <w:vAlign w:val="center"/>
          </w:tcPr>
          <w:p w14:paraId="3FEF5D8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5</w:t>
            </w:r>
          </w:p>
        </w:tc>
        <w:tc>
          <w:tcPr>
            <w:tcW w:w="1232" w:type="dxa"/>
            <w:gridSpan w:val="2"/>
            <w:shd w:val="clear" w:color="auto" w:fill="auto"/>
            <w:noWrap/>
            <w:vAlign w:val="center"/>
          </w:tcPr>
          <w:p w14:paraId="5CE48D2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6</w:t>
            </w:r>
          </w:p>
        </w:tc>
      </w:tr>
      <w:tr w:rsidR="00722A47" w:rsidRPr="00722A47" w14:paraId="4333D28F" w14:textId="77777777" w:rsidTr="004954C9">
        <w:trPr>
          <w:trHeight w:val="20"/>
        </w:trPr>
        <w:tc>
          <w:tcPr>
            <w:tcW w:w="478" w:type="dxa"/>
            <w:noWrap/>
          </w:tcPr>
          <w:p w14:paraId="02851B9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w:t>
            </w:r>
          </w:p>
        </w:tc>
        <w:tc>
          <w:tcPr>
            <w:tcW w:w="4284" w:type="dxa"/>
          </w:tcPr>
          <w:p w14:paraId="477FEB4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Schotteroberbau der Bahnbauweise Standard Damm </w:t>
            </w:r>
          </w:p>
        </w:tc>
        <w:tc>
          <w:tcPr>
            <w:tcW w:w="865" w:type="dxa"/>
            <w:noWrap/>
            <w:vAlign w:val="center"/>
          </w:tcPr>
          <w:p w14:paraId="1172264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333BC6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2CF74E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7BC40E8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B6DC6E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D755E5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0AB2280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6FB71D6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EF0492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D3C5DEC" w14:textId="77777777" w:rsidTr="004954C9">
        <w:trPr>
          <w:trHeight w:val="20"/>
        </w:trPr>
        <w:tc>
          <w:tcPr>
            <w:tcW w:w="478" w:type="dxa"/>
            <w:noWrap/>
          </w:tcPr>
          <w:p w14:paraId="36218CE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w:t>
            </w:r>
          </w:p>
        </w:tc>
        <w:tc>
          <w:tcPr>
            <w:tcW w:w="4284" w:type="dxa"/>
          </w:tcPr>
          <w:p w14:paraId="4027EC7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Standard Einschnitt</w:t>
            </w:r>
          </w:p>
        </w:tc>
        <w:tc>
          <w:tcPr>
            <w:tcW w:w="865" w:type="dxa"/>
            <w:noWrap/>
            <w:vAlign w:val="center"/>
          </w:tcPr>
          <w:p w14:paraId="56A7439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9D8875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2CDEBA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20D5481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13B9AE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6B390F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41CD8B9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0571896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FB13B4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78AEAE7" w14:textId="77777777" w:rsidTr="004954C9">
        <w:trPr>
          <w:trHeight w:val="20"/>
        </w:trPr>
        <w:tc>
          <w:tcPr>
            <w:tcW w:w="478" w:type="dxa"/>
            <w:noWrap/>
          </w:tcPr>
          <w:p w14:paraId="0FEC111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B3</w:t>
            </w:r>
          </w:p>
        </w:tc>
        <w:tc>
          <w:tcPr>
            <w:tcW w:w="4284" w:type="dxa"/>
          </w:tcPr>
          <w:p w14:paraId="6E573CB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w:t>
            </w:r>
          </w:p>
        </w:tc>
        <w:tc>
          <w:tcPr>
            <w:tcW w:w="865" w:type="dxa"/>
            <w:noWrap/>
            <w:vAlign w:val="center"/>
          </w:tcPr>
          <w:p w14:paraId="23C0671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7406D1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DA710D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3D3D9BA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7F898BF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ACB804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4C06410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26F9535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45FF8B2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E80755E" w14:textId="77777777" w:rsidTr="004954C9">
        <w:trPr>
          <w:trHeight w:val="20"/>
        </w:trPr>
        <w:tc>
          <w:tcPr>
            <w:tcW w:w="478" w:type="dxa"/>
            <w:noWrap/>
          </w:tcPr>
          <w:p w14:paraId="27628A8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B4</w:t>
            </w:r>
          </w:p>
        </w:tc>
        <w:tc>
          <w:tcPr>
            <w:tcW w:w="4284" w:type="dxa"/>
          </w:tcPr>
          <w:p w14:paraId="0A69BC4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 modifiziert</w:t>
            </w:r>
          </w:p>
        </w:tc>
        <w:tc>
          <w:tcPr>
            <w:tcW w:w="865" w:type="dxa"/>
            <w:noWrap/>
            <w:vAlign w:val="center"/>
          </w:tcPr>
          <w:p w14:paraId="1567E79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E2BC3B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FFF86E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08E8880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5BB6F1C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465F72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26C630F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1C5118E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E34E6A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3DDB6DA" w14:textId="77777777" w:rsidTr="004954C9">
        <w:trPr>
          <w:trHeight w:val="20"/>
        </w:trPr>
        <w:tc>
          <w:tcPr>
            <w:tcW w:w="478" w:type="dxa"/>
            <w:noWrap/>
          </w:tcPr>
          <w:p w14:paraId="2123910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B5</w:t>
            </w:r>
          </w:p>
        </w:tc>
        <w:tc>
          <w:tcPr>
            <w:tcW w:w="4284" w:type="dxa"/>
          </w:tcPr>
          <w:p w14:paraId="6C80B44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2091F59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Bahnbauweise Standard Damm </w:t>
            </w:r>
          </w:p>
        </w:tc>
        <w:tc>
          <w:tcPr>
            <w:tcW w:w="865" w:type="dxa"/>
            <w:noWrap/>
            <w:vAlign w:val="center"/>
          </w:tcPr>
          <w:p w14:paraId="1A87995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F137A1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940E25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1937C66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0BC20F2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ECBAFB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721F9C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D78BE8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C33375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DE7973F" w14:textId="77777777" w:rsidTr="004954C9">
        <w:trPr>
          <w:trHeight w:val="20"/>
        </w:trPr>
        <w:tc>
          <w:tcPr>
            <w:tcW w:w="478" w:type="dxa"/>
            <w:noWrap/>
          </w:tcPr>
          <w:p w14:paraId="2BBCAB4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B6</w:t>
            </w:r>
          </w:p>
        </w:tc>
        <w:tc>
          <w:tcPr>
            <w:tcW w:w="4284" w:type="dxa"/>
          </w:tcPr>
          <w:p w14:paraId="000393B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2446B3E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Standard Einschnitt</w:t>
            </w:r>
          </w:p>
        </w:tc>
        <w:tc>
          <w:tcPr>
            <w:tcW w:w="865" w:type="dxa"/>
            <w:noWrap/>
            <w:vAlign w:val="center"/>
          </w:tcPr>
          <w:p w14:paraId="4770E91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1AAA07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9DA982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720BB60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6523A2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B8DB25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5FEF0E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006D4E4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C5FAFC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2D4CD7B" w14:textId="77777777" w:rsidTr="004954C9">
        <w:trPr>
          <w:trHeight w:val="20"/>
        </w:trPr>
        <w:tc>
          <w:tcPr>
            <w:tcW w:w="478" w:type="dxa"/>
            <w:noWrap/>
          </w:tcPr>
          <w:p w14:paraId="38A2408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B7</w:t>
            </w:r>
          </w:p>
        </w:tc>
        <w:tc>
          <w:tcPr>
            <w:tcW w:w="4284" w:type="dxa"/>
          </w:tcPr>
          <w:p w14:paraId="4393340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013F72A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7A1DDAB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65C6FD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33BED9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2D177DB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793DF17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864CD2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2E200FB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1F06B2B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F0235B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7A7EC13" w14:textId="77777777" w:rsidTr="004954C9">
        <w:trPr>
          <w:trHeight w:val="20"/>
        </w:trPr>
        <w:tc>
          <w:tcPr>
            <w:tcW w:w="478" w:type="dxa"/>
            <w:noWrap/>
          </w:tcPr>
          <w:p w14:paraId="68DBD38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B8</w:t>
            </w:r>
          </w:p>
        </w:tc>
        <w:tc>
          <w:tcPr>
            <w:tcW w:w="4284" w:type="dxa"/>
          </w:tcPr>
          <w:p w14:paraId="544DE46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4B3F92B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60EC4DC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4706FD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88016F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74FE364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5776451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F45A62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E04DAD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B4D84A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7E6431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31ED707F" w14:textId="77777777" w:rsidTr="004954C9">
        <w:trPr>
          <w:trHeight w:val="20"/>
        </w:trPr>
        <w:tc>
          <w:tcPr>
            <w:tcW w:w="478" w:type="dxa"/>
            <w:noWrap/>
          </w:tcPr>
          <w:p w14:paraId="501842E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B9</w:t>
            </w:r>
          </w:p>
        </w:tc>
        <w:tc>
          <w:tcPr>
            <w:tcW w:w="4284" w:type="dxa"/>
          </w:tcPr>
          <w:p w14:paraId="4DCBAC5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199FCC0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22628EB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A0902F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6C31EA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067B1E7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C4BBCF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409D9A3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7930F55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640AC2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A19FC3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98F9BF2" w14:textId="77777777" w:rsidTr="004954C9">
        <w:trPr>
          <w:trHeight w:val="20"/>
        </w:trPr>
        <w:tc>
          <w:tcPr>
            <w:tcW w:w="478" w:type="dxa"/>
            <w:noWrap/>
          </w:tcPr>
          <w:p w14:paraId="7D01798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B10</w:t>
            </w:r>
          </w:p>
        </w:tc>
        <w:tc>
          <w:tcPr>
            <w:tcW w:w="4284" w:type="dxa"/>
          </w:tcPr>
          <w:p w14:paraId="3CA0DFA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02B0E3D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5720436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BC5CF8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EB694F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7D7D2F9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698146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3540EE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ACBCEE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7CDC68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C468CA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B511B4A" w14:textId="77777777" w:rsidTr="004954C9">
        <w:trPr>
          <w:trHeight w:val="20"/>
        </w:trPr>
        <w:tc>
          <w:tcPr>
            <w:tcW w:w="478" w:type="dxa"/>
            <w:noWrap/>
          </w:tcPr>
          <w:p w14:paraId="655E573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B11</w:t>
            </w:r>
          </w:p>
        </w:tc>
        <w:tc>
          <w:tcPr>
            <w:tcW w:w="4284" w:type="dxa"/>
          </w:tcPr>
          <w:p w14:paraId="6F45FEE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Spezielle Bodenschicht der Bahnbauweise H</w:t>
            </w:r>
          </w:p>
        </w:tc>
        <w:tc>
          <w:tcPr>
            <w:tcW w:w="865" w:type="dxa"/>
            <w:noWrap/>
            <w:vAlign w:val="center"/>
          </w:tcPr>
          <w:p w14:paraId="6B50B6C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1281395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2810C2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2BBD112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vAlign w:val="center"/>
          </w:tcPr>
          <w:p w14:paraId="0F49151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imes New Roman"/>
                <w:sz w:val="24"/>
                <w:szCs w:val="24"/>
                <w:lang w:eastAsia="de-DE"/>
              </w:rPr>
              <w:t>+</w:t>
            </w:r>
          </w:p>
        </w:tc>
        <w:tc>
          <w:tcPr>
            <w:tcW w:w="508" w:type="dxa"/>
            <w:noWrap/>
            <w:vAlign w:val="center"/>
          </w:tcPr>
          <w:p w14:paraId="01B9E14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vAlign w:val="center"/>
          </w:tcPr>
          <w:p w14:paraId="5303374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3D6D8A2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E58AF7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CFD441A" w14:textId="77777777" w:rsidTr="004954C9">
        <w:trPr>
          <w:trHeight w:val="20"/>
        </w:trPr>
        <w:tc>
          <w:tcPr>
            <w:tcW w:w="478" w:type="dxa"/>
            <w:noWrap/>
          </w:tcPr>
          <w:p w14:paraId="1190A74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B12</w:t>
            </w:r>
          </w:p>
        </w:tc>
        <w:tc>
          <w:tcPr>
            <w:tcW w:w="4284" w:type="dxa"/>
          </w:tcPr>
          <w:p w14:paraId="756ED80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3862D1C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Standard Damm </w:t>
            </w:r>
          </w:p>
        </w:tc>
        <w:tc>
          <w:tcPr>
            <w:tcW w:w="865" w:type="dxa"/>
            <w:noWrap/>
            <w:vAlign w:val="center"/>
          </w:tcPr>
          <w:p w14:paraId="4216603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F74E14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1F485A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4CB8AF3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642780F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A8B5A5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2F15E14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570053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584A6B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87C34A1" w14:textId="77777777" w:rsidTr="004954C9">
        <w:trPr>
          <w:trHeight w:val="20"/>
        </w:trPr>
        <w:tc>
          <w:tcPr>
            <w:tcW w:w="478" w:type="dxa"/>
            <w:noWrap/>
          </w:tcPr>
          <w:p w14:paraId="0B2A701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B13</w:t>
            </w:r>
          </w:p>
        </w:tc>
        <w:tc>
          <w:tcPr>
            <w:tcW w:w="4284" w:type="dxa"/>
          </w:tcPr>
          <w:p w14:paraId="7619EEC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5BE92CE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Standard Einschnitt</w:t>
            </w:r>
          </w:p>
        </w:tc>
        <w:tc>
          <w:tcPr>
            <w:tcW w:w="865" w:type="dxa"/>
            <w:noWrap/>
            <w:vAlign w:val="center"/>
          </w:tcPr>
          <w:p w14:paraId="1B6C0B7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B005F2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84FE26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2BACF42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51ECC7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995C9D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726D1F2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F52455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23BBAD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8A14365" w14:textId="77777777" w:rsidTr="004954C9">
        <w:trPr>
          <w:trHeight w:val="20"/>
        </w:trPr>
        <w:tc>
          <w:tcPr>
            <w:tcW w:w="478" w:type="dxa"/>
            <w:noWrap/>
          </w:tcPr>
          <w:p w14:paraId="4FFBF30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B14</w:t>
            </w:r>
          </w:p>
        </w:tc>
        <w:tc>
          <w:tcPr>
            <w:tcW w:w="4284" w:type="dxa"/>
          </w:tcPr>
          <w:p w14:paraId="0FA66A9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H</w:t>
            </w:r>
          </w:p>
        </w:tc>
        <w:tc>
          <w:tcPr>
            <w:tcW w:w="865" w:type="dxa"/>
            <w:noWrap/>
            <w:vAlign w:val="center"/>
          </w:tcPr>
          <w:p w14:paraId="7E532A8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793151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09D1F6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66CA522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7ABFD5D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C7CD56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4C14BBE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2791F5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BB48D6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2BE8D5C" w14:textId="77777777" w:rsidTr="004954C9">
        <w:trPr>
          <w:trHeight w:val="20"/>
        </w:trPr>
        <w:tc>
          <w:tcPr>
            <w:tcW w:w="478" w:type="dxa"/>
            <w:noWrap/>
          </w:tcPr>
          <w:p w14:paraId="4DA33C2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B15</w:t>
            </w:r>
          </w:p>
        </w:tc>
        <w:tc>
          <w:tcPr>
            <w:tcW w:w="4284" w:type="dxa"/>
          </w:tcPr>
          <w:p w14:paraId="0A47826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74637CC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H modifiziert</w:t>
            </w:r>
          </w:p>
        </w:tc>
        <w:tc>
          <w:tcPr>
            <w:tcW w:w="865" w:type="dxa"/>
            <w:noWrap/>
            <w:vAlign w:val="center"/>
          </w:tcPr>
          <w:p w14:paraId="27B65DF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75" w:type="dxa"/>
            <w:noWrap/>
            <w:vAlign w:val="center"/>
          </w:tcPr>
          <w:p w14:paraId="1A40BD9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0B69F1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3902805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79" w:type="dxa"/>
            <w:vAlign w:val="center"/>
          </w:tcPr>
          <w:p w14:paraId="30023F8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imes New Roman"/>
                <w:sz w:val="24"/>
                <w:szCs w:val="24"/>
                <w:lang w:eastAsia="de-DE"/>
              </w:rPr>
              <w:t>+</w:t>
            </w:r>
          </w:p>
        </w:tc>
        <w:tc>
          <w:tcPr>
            <w:tcW w:w="508" w:type="dxa"/>
            <w:noWrap/>
            <w:vAlign w:val="center"/>
          </w:tcPr>
          <w:p w14:paraId="614CFC0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81" w:type="dxa"/>
            <w:vAlign w:val="center"/>
          </w:tcPr>
          <w:p w14:paraId="616DA9C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47162BB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897630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3B172F64" w14:textId="77777777" w:rsidTr="004954C9">
        <w:trPr>
          <w:trHeight w:val="20"/>
        </w:trPr>
        <w:tc>
          <w:tcPr>
            <w:tcW w:w="478" w:type="dxa"/>
            <w:noWrap/>
          </w:tcPr>
          <w:p w14:paraId="0341D46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B16</w:t>
            </w:r>
          </w:p>
        </w:tc>
        <w:tc>
          <w:tcPr>
            <w:tcW w:w="4284" w:type="dxa"/>
          </w:tcPr>
          <w:p w14:paraId="0F7DF59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w:t>
            </w:r>
          </w:p>
        </w:tc>
        <w:tc>
          <w:tcPr>
            <w:tcW w:w="865" w:type="dxa"/>
            <w:noWrap/>
            <w:vAlign w:val="center"/>
          </w:tcPr>
          <w:p w14:paraId="6E4385F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675" w:type="dxa"/>
            <w:noWrap/>
            <w:vAlign w:val="center"/>
          </w:tcPr>
          <w:p w14:paraId="2F77129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612391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04255E0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679" w:type="dxa"/>
            <w:vAlign w:val="center"/>
          </w:tcPr>
          <w:p w14:paraId="28952C9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imes New Roman"/>
                <w:sz w:val="24"/>
                <w:szCs w:val="24"/>
                <w:lang w:eastAsia="de-DE"/>
              </w:rPr>
              <w:t>+</w:t>
            </w:r>
          </w:p>
        </w:tc>
        <w:tc>
          <w:tcPr>
            <w:tcW w:w="508" w:type="dxa"/>
            <w:noWrap/>
            <w:vAlign w:val="center"/>
          </w:tcPr>
          <w:p w14:paraId="7DDCE5A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681" w:type="dxa"/>
            <w:vAlign w:val="center"/>
          </w:tcPr>
          <w:p w14:paraId="1E637CC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69B7C0C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96B793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8D71756" w14:textId="77777777" w:rsidTr="004954C9">
        <w:trPr>
          <w:trHeight w:val="20"/>
        </w:trPr>
        <w:tc>
          <w:tcPr>
            <w:tcW w:w="478" w:type="dxa"/>
            <w:noWrap/>
          </w:tcPr>
          <w:p w14:paraId="0381F07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B17</w:t>
            </w:r>
          </w:p>
        </w:tc>
        <w:tc>
          <w:tcPr>
            <w:tcW w:w="4284" w:type="dxa"/>
          </w:tcPr>
          <w:p w14:paraId="2AF1BBC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w:t>
            </w:r>
          </w:p>
        </w:tc>
        <w:tc>
          <w:tcPr>
            <w:tcW w:w="865" w:type="dxa"/>
            <w:noWrap/>
            <w:vAlign w:val="center"/>
          </w:tcPr>
          <w:p w14:paraId="16BC7E0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83BC51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805929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58D5BFB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1B298C6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3FD187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FA0C2D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156030C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63C781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AFFC6CF" w14:textId="77777777" w:rsidTr="004954C9">
        <w:trPr>
          <w:trHeight w:val="20"/>
        </w:trPr>
        <w:tc>
          <w:tcPr>
            <w:tcW w:w="478" w:type="dxa"/>
            <w:noWrap/>
          </w:tcPr>
          <w:p w14:paraId="6EA7456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B18</w:t>
            </w:r>
          </w:p>
        </w:tc>
        <w:tc>
          <w:tcPr>
            <w:tcW w:w="4284" w:type="dxa"/>
          </w:tcPr>
          <w:p w14:paraId="221EC11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 mit Randwegabdichtung oberhalb der FSS</w:t>
            </w:r>
          </w:p>
        </w:tc>
        <w:tc>
          <w:tcPr>
            <w:tcW w:w="865" w:type="dxa"/>
            <w:noWrap/>
            <w:vAlign w:val="center"/>
          </w:tcPr>
          <w:p w14:paraId="10E1364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AEC868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EF2CEF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53FB1B0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6349671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2058F8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7A5F757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3B2A777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73658F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5D50B66E" w14:textId="77777777" w:rsidTr="004954C9">
        <w:trPr>
          <w:trHeight w:val="20"/>
        </w:trPr>
        <w:tc>
          <w:tcPr>
            <w:tcW w:w="478" w:type="dxa"/>
            <w:noWrap/>
          </w:tcPr>
          <w:p w14:paraId="317ACD3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B19</w:t>
            </w:r>
          </w:p>
        </w:tc>
        <w:tc>
          <w:tcPr>
            <w:tcW w:w="4284" w:type="dxa"/>
          </w:tcPr>
          <w:p w14:paraId="4F1E8A0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 mit Randwegabdichtung</w:t>
            </w:r>
          </w:p>
        </w:tc>
        <w:tc>
          <w:tcPr>
            <w:tcW w:w="865" w:type="dxa"/>
            <w:noWrap/>
            <w:vAlign w:val="center"/>
          </w:tcPr>
          <w:p w14:paraId="61A2BF8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675" w:type="dxa"/>
            <w:noWrap/>
            <w:vAlign w:val="center"/>
          </w:tcPr>
          <w:p w14:paraId="3B99AD3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196689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5237A51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679" w:type="dxa"/>
            <w:vAlign w:val="center"/>
          </w:tcPr>
          <w:p w14:paraId="3BC4AE8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imes New Roman"/>
                <w:sz w:val="24"/>
                <w:szCs w:val="24"/>
                <w:lang w:eastAsia="de-DE"/>
              </w:rPr>
              <w:t>+</w:t>
            </w:r>
          </w:p>
        </w:tc>
        <w:tc>
          <w:tcPr>
            <w:tcW w:w="508" w:type="dxa"/>
            <w:noWrap/>
            <w:vAlign w:val="center"/>
          </w:tcPr>
          <w:p w14:paraId="03686F1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681" w:type="dxa"/>
            <w:vAlign w:val="center"/>
          </w:tcPr>
          <w:p w14:paraId="5879F34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5977FB8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AF893F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5384C68B" w14:textId="77777777" w:rsidTr="004954C9">
        <w:trPr>
          <w:trHeight w:val="20"/>
        </w:trPr>
        <w:tc>
          <w:tcPr>
            <w:tcW w:w="478" w:type="dxa"/>
            <w:noWrap/>
          </w:tcPr>
          <w:p w14:paraId="7C737C3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B20</w:t>
            </w:r>
          </w:p>
        </w:tc>
        <w:tc>
          <w:tcPr>
            <w:tcW w:w="4284" w:type="dxa"/>
          </w:tcPr>
          <w:p w14:paraId="757042A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unterhalb </w:t>
            </w: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bzw. PSS der Bahnbauweise E 1</w:t>
            </w:r>
          </w:p>
        </w:tc>
        <w:tc>
          <w:tcPr>
            <w:tcW w:w="865" w:type="dxa"/>
            <w:noWrap/>
            <w:vAlign w:val="center"/>
          </w:tcPr>
          <w:p w14:paraId="6EBA25B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6467D2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93B411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413DE58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7E9C414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4B80AEE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22C2049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0836212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1FA3371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68078266" w14:textId="77777777" w:rsidTr="004954C9">
        <w:trPr>
          <w:trHeight w:val="20"/>
        </w:trPr>
        <w:tc>
          <w:tcPr>
            <w:tcW w:w="478" w:type="dxa"/>
            <w:noWrap/>
          </w:tcPr>
          <w:p w14:paraId="27C198E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B21</w:t>
            </w:r>
          </w:p>
        </w:tc>
        <w:tc>
          <w:tcPr>
            <w:tcW w:w="4284" w:type="dxa"/>
          </w:tcPr>
          <w:p w14:paraId="491326D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1 mit Dichtungselement auf dem Planum</w:t>
            </w:r>
          </w:p>
        </w:tc>
        <w:tc>
          <w:tcPr>
            <w:tcW w:w="865" w:type="dxa"/>
            <w:noWrap/>
            <w:vAlign w:val="center"/>
          </w:tcPr>
          <w:p w14:paraId="7EC6C36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A440FF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024D81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708292A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5C41795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6D8187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3B2FEA6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3840EC8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DBDDE5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5364B83" w14:textId="77777777" w:rsidTr="004954C9">
        <w:trPr>
          <w:trHeight w:val="20"/>
        </w:trPr>
        <w:tc>
          <w:tcPr>
            <w:tcW w:w="478" w:type="dxa"/>
            <w:noWrap/>
          </w:tcPr>
          <w:p w14:paraId="0322783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B22</w:t>
            </w:r>
          </w:p>
        </w:tc>
        <w:tc>
          <w:tcPr>
            <w:tcW w:w="4284" w:type="dxa"/>
          </w:tcPr>
          <w:p w14:paraId="5C6BBFA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Tragschicht als witterungsunempfindliches Dichtungselement der Bahnbauweise E 2</w:t>
            </w:r>
          </w:p>
        </w:tc>
        <w:tc>
          <w:tcPr>
            <w:tcW w:w="865" w:type="dxa"/>
            <w:noWrap/>
            <w:vAlign w:val="center"/>
          </w:tcPr>
          <w:p w14:paraId="2CA487C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75" w:type="dxa"/>
            <w:noWrap/>
            <w:vAlign w:val="center"/>
          </w:tcPr>
          <w:p w14:paraId="3EF9651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0A7D2A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4148824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79" w:type="dxa"/>
            <w:vAlign w:val="center"/>
          </w:tcPr>
          <w:p w14:paraId="15BB513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imes New Roman"/>
                <w:sz w:val="24"/>
                <w:szCs w:val="24"/>
                <w:lang w:eastAsia="de-DE"/>
              </w:rPr>
              <w:t>+</w:t>
            </w:r>
          </w:p>
        </w:tc>
        <w:tc>
          <w:tcPr>
            <w:tcW w:w="508" w:type="dxa"/>
            <w:noWrap/>
            <w:vAlign w:val="center"/>
          </w:tcPr>
          <w:p w14:paraId="4E2855D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81" w:type="dxa"/>
            <w:vAlign w:val="center"/>
          </w:tcPr>
          <w:p w14:paraId="7C73152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65FEEAB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F7EF97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5B7536E5" w14:textId="77777777" w:rsidTr="004954C9">
        <w:trPr>
          <w:trHeight w:val="20"/>
        </w:trPr>
        <w:tc>
          <w:tcPr>
            <w:tcW w:w="478" w:type="dxa"/>
            <w:noWrap/>
          </w:tcPr>
          <w:p w14:paraId="4EFBBA6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B23</w:t>
            </w:r>
          </w:p>
        </w:tc>
        <w:tc>
          <w:tcPr>
            <w:tcW w:w="4284" w:type="dxa"/>
          </w:tcPr>
          <w:p w14:paraId="2A2BDFA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2</w:t>
            </w:r>
          </w:p>
        </w:tc>
        <w:tc>
          <w:tcPr>
            <w:tcW w:w="865" w:type="dxa"/>
            <w:noWrap/>
            <w:vAlign w:val="center"/>
          </w:tcPr>
          <w:p w14:paraId="702F233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B67CFB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899C48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7E1454D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6D079CF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81E6A8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21E8B38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73CF62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8BBE60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3EAD56CF" w14:textId="77777777" w:rsidTr="004954C9">
        <w:trPr>
          <w:trHeight w:val="20"/>
        </w:trPr>
        <w:tc>
          <w:tcPr>
            <w:tcW w:w="478" w:type="dxa"/>
            <w:noWrap/>
          </w:tcPr>
          <w:p w14:paraId="3AC7D59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B24</w:t>
            </w:r>
          </w:p>
        </w:tc>
        <w:tc>
          <w:tcPr>
            <w:tcW w:w="4284" w:type="dxa"/>
          </w:tcPr>
          <w:p w14:paraId="1F5AF3D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und Unterbau (Damm) der Bahnbauweise E 3a</w:t>
            </w:r>
          </w:p>
        </w:tc>
        <w:tc>
          <w:tcPr>
            <w:tcW w:w="865" w:type="dxa"/>
            <w:noWrap/>
            <w:vAlign w:val="center"/>
          </w:tcPr>
          <w:p w14:paraId="7F49C9C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CCF0AD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DDEFC3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2E7ED9B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537243F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1A69E2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00DC07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3A9E6D7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AD9C02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368AFFAF" w14:textId="77777777" w:rsidTr="004954C9">
        <w:trPr>
          <w:trHeight w:val="20"/>
        </w:trPr>
        <w:tc>
          <w:tcPr>
            <w:tcW w:w="478" w:type="dxa"/>
            <w:noWrap/>
          </w:tcPr>
          <w:p w14:paraId="1AE8175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B25</w:t>
            </w:r>
          </w:p>
        </w:tc>
        <w:tc>
          <w:tcPr>
            <w:tcW w:w="4284" w:type="dxa"/>
          </w:tcPr>
          <w:p w14:paraId="54D4642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der Bahnbauweise E 3b</w:t>
            </w:r>
          </w:p>
        </w:tc>
        <w:tc>
          <w:tcPr>
            <w:tcW w:w="865" w:type="dxa"/>
            <w:noWrap/>
            <w:vAlign w:val="center"/>
          </w:tcPr>
          <w:p w14:paraId="73124C0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FFBCD6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A0319D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0402526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681EF27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6494F1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456B3F1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3E5FBE6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A19457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99C6B2E" w14:textId="77777777" w:rsidTr="004954C9">
        <w:trPr>
          <w:trHeight w:val="208"/>
        </w:trPr>
        <w:tc>
          <w:tcPr>
            <w:tcW w:w="478" w:type="dxa"/>
            <w:noWrap/>
          </w:tcPr>
          <w:p w14:paraId="0D7FB66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B26</w:t>
            </w:r>
          </w:p>
        </w:tc>
        <w:tc>
          <w:tcPr>
            <w:tcW w:w="4284" w:type="dxa"/>
          </w:tcPr>
          <w:p w14:paraId="7785D22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3b</w:t>
            </w:r>
          </w:p>
        </w:tc>
        <w:tc>
          <w:tcPr>
            <w:tcW w:w="865" w:type="dxa"/>
            <w:noWrap/>
            <w:vAlign w:val="center"/>
          </w:tcPr>
          <w:p w14:paraId="63DD081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18C9BB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A3FC11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7AE0170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01E048E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458916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24CF79C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67EE7A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D8B071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bl>
    <w:p w14:paraId="70C88B6A" w14:textId="77777777" w:rsidR="00722A47" w:rsidRPr="00722A47" w:rsidRDefault="00722A47" w:rsidP="00722A47">
      <w:pPr>
        <w:spacing w:before="0" w:after="0"/>
        <w:jc w:val="left"/>
        <w:rPr>
          <w:rFonts w:ascii="Times New Roman" w:eastAsia="Times New Roman" w:hAnsi="Times New Roman" w:cs="Times New Roman"/>
          <w:sz w:val="16"/>
          <w:szCs w:val="20"/>
          <w:lang w:eastAsia="de-DE"/>
        </w:rPr>
      </w:pPr>
      <w:r w:rsidRPr="00722A47">
        <w:rPr>
          <w:rFonts w:ascii="Times New Roman" w:eastAsia="Times New Roman" w:hAnsi="Times New Roman" w:cs="Times New Roman"/>
          <w:sz w:val="16"/>
          <w:szCs w:val="20"/>
          <w:lang w:eastAsia="de-DE"/>
        </w:rPr>
        <w:t xml:space="preserve">1) Zulässig, wenn Chrom, ges.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120 µg/l. </w:t>
      </w:r>
    </w:p>
    <w:p w14:paraId="58995B31" w14:textId="77777777" w:rsidR="00722A47" w:rsidRPr="00722A47" w:rsidRDefault="00722A47" w:rsidP="00722A47">
      <w:pPr>
        <w:spacing w:before="0" w:after="0"/>
        <w:ind w:left="227" w:hanging="227"/>
        <w:jc w:val="left"/>
        <w:rPr>
          <w:rFonts w:ascii="Times New Roman" w:eastAsia="Times New Roman" w:hAnsi="Times New Roman" w:cs="Times New Roman"/>
          <w:sz w:val="16"/>
          <w:szCs w:val="20"/>
          <w:lang w:eastAsia="de-DE"/>
        </w:rPr>
      </w:pPr>
      <w:r w:rsidRPr="00722A47">
        <w:rPr>
          <w:rFonts w:ascii="Times New Roman" w:eastAsia="Times New Roman" w:hAnsi="Times New Roman" w:cs="Times New Roman"/>
          <w:sz w:val="16"/>
          <w:szCs w:val="20"/>
          <w:lang w:eastAsia="de-DE"/>
        </w:rPr>
        <w:t xml:space="preserve">2) Zulässig, wenn Chrom, ges.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100 µg/l, Chlorphenole, ges.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10 µg/l, PAK</w:t>
      </w:r>
      <w:r w:rsidRPr="00722A47">
        <w:rPr>
          <w:rFonts w:ascii="Times New Roman" w:eastAsia="Times New Roman" w:hAnsi="Times New Roman" w:cs="Times New Roman"/>
          <w:b/>
          <w:sz w:val="16"/>
          <w:szCs w:val="20"/>
          <w:vertAlign w:val="subscript"/>
          <w:lang w:eastAsia="de-DE"/>
        </w:rPr>
        <w:t>15</w:t>
      </w:r>
      <w:r w:rsidRPr="00722A47">
        <w:rPr>
          <w:rFonts w:ascii="Times New Roman" w:eastAsia="Times New Roman" w:hAnsi="Times New Roman" w:cs="Times New Roman"/>
          <w:sz w:val="16"/>
          <w:szCs w:val="20"/>
          <w:lang w:eastAsia="de-DE"/>
        </w:rPr>
        <w:t xml:space="preserv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2,0 µg/l und Phenole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80 µg/l.</w:t>
      </w:r>
    </w:p>
    <w:p w14:paraId="0E4C400B" w14:textId="77777777" w:rsidR="00722A47" w:rsidRDefault="00722A47" w:rsidP="00722A47">
      <w:pPr>
        <w:spacing w:before="0" w:after="0"/>
        <w:ind w:left="227" w:hanging="227"/>
        <w:jc w:val="left"/>
        <w:rPr>
          <w:rFonts w:ascii="Times New Roman" w:eastAsia="Times New Roman" w:hAnsi="Times New Roman" w:cs="Times New Roman"/>
          <w:sz w:val="16"/>
          <w:szCs w:val="20"/>
          <w:lang w:eastAsia="de-DE"/>
        </w:rPr>
      </w:pPr>
      <w:r w:rsidRPr="00722A47">
        <w:rPr>
          <w:rFonts w:ascii="Times New Roman" w:eastAsia="Times New Roman" w:hAnsi="Times New Roman" w:cs="Times New Roman"/>
          <w:sz w:val="16"/>
          <w:szCs w:val="20"/>
          <w:lang w:eastAsia="de-DE"/>
        </w:rPr>
        <w:t xml:space="preserve">3) Zulässig, wenn Chrom, ges.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130 µg/l.</w:t>
      </w:r>
    </w:p>
    <w:p w14:paraId="57951283" w14:textId="0F2C0ACE" w:rsidR="00722A47" w:rsidRPr="008D0377" w:rsidRDefault="00722A47" w:rsidP="00722A47">
      <w:pPr>
        <w:pStyle w:val="berschrift1"/>
      </w:pPr>
      <w:r>
        <w:rPr>
          <w:lang w:eastAsia="de-DE"/>
        </w:rPr>
        <w:br w:type="page"/>
      </w:r>
      <w:r w:rsidRPr="008D0377">
        <w:lastRenderedPageBreak/>
        <w:t>Tabelle 3: Bodenmaterial der Klasse 2 (BM-F2), Baggergut der Klasse F2 (BG-F2)</w:t>
      </w:r>
    </w:p>
    <w:p w14:paraId="0CF41D2F" w14:textId="77777777" w:rsidR="00722A47" w:rsidRPr="00722A47" w:rsidRDefault="00722A47" w:rsidP="00722A47">
      <w:pPr>
        <w:pStyle w:val="Text"/>
      </w:pPr>
    </w:p>
    <w:tbl>
      <w:tblPr>
        <w:tblW w:w="11214" w:type="dxa"/>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
        <w:gridCol w:w="4284"/>
        <w:gridCol w:w="865"/>
        <w:gridCol w:w="675"/>
        <w:gridCol w:w="1205"/>
        <w:gridCol w:w="607"/>
        <w:gridCol w:w="715"/>
        <w:gridCol w:w="508"/>
        <w:gridCol w:w="715"/>
        <w:gridCol w:w="551"/>
        <w:gridCol w:w="715"/>
      </w:tblGrid>
      <w:tr w:rsidR="00722A47" w:rsidRPr="00722A47" w14:paraId="69B22594" w14:textId="77777777" w:rsidTr="004954C9">
        <w:trPr>
          <w:trHeight w:val="330"/>
        </w:trPr>
        <w:tc>
          <w:tcPr>
            <w:tcW w:w="11214" w:type="dxa"/>
            <w:gridSpan w:val="11"/>
            <w:noWrap/>
            <w:vAlign w:val="bottom"/>
          </w:tcPr>
          <w:p w14:paraId="0C1055A4" w14:textId="77777777" w:rsidR="00722A47" w:rsidRPr="00722A47" w:rsidRDefault="00722A47" w:rsidP="00722A47">
            <w:pPr>
              <w:spacing w:before="0" w:after="0"/>
              <w:jc w:val="center"/>
              <w:rPr>
                <w:rFonts w:ascii="Times New Roman" w:eastAsia="Times New Roman" w:hAnsi="Times New Roman" w:cs="Times New Roman"/>
                <w:b/>
                <w:bCs/>
                <w:sz w:val="24"/>
                <w:szCs w:val="24"/>
                <w:lang w:eastAsia="de-DE"/>
              </w:rPr>
            </w:pPr>
            <w:r w:rsidRPr="00722A47">
              <w:rPr>
                <w:rFonts w:ascii="Times New Roman" w:eastAsia="Times New Roman" w:hAnsi="Times New Roman" w:cs="Times New Roman"/>
                <w:b/>
                <w:sz w:val="24"/>
                <w:szCs w:val="20"/>
                <w:lang w:eastAsia="de-DE"/>
              </w:rPr>
              <w:br w:type="page"/>
            </w:r>
            <w:r w:rsidRPr="00722A47">
              <w:rPr>
                <w:rFonts w:ascii="Times New Roman" w:eastAsia="Times New Roman" w:hAnsi="Times New Roman" w:cs="Times New Roman"/>
                <w:b/>
                <w:sz w:val="24"/>
                <w:szCs w:val="24"/>
                <w:lang w:eastAsia="de-DE"/>
              </w:rPr>
              <w:t>Bodenmaterial der Klasse 2 (</w:t>
            </w:r>
            <w:r w:rsidRPr="00722A47">
              <w:rPr>
                <w:rFonts w:ascii="Times New Roman" w:eastAsia="Times New Roman" w:hAnsi="Times New Roman" w:cs="Tahoma"/>
                <w:b/>
                <w:bCs/>
                <w:sz w:val="24"/>
                <w:szCs w:val="24"/>
                <w:lang w:eastAsia="de-DE"/>
              </w:rPr>
              <w:t>BM-F2), Baggergut der Klasse F2 (BG-F2)</w:t>
            </w:r>
          </w:p>
        </w:tc>
      </w:tr>
      <w:tr w:rsidR="00722A47" w:rsidRPr="00722A47" w14:paraId="54A69D2E" w14:textId="77777777" w:rsidTr="004954C9">
        <w:trPr>
          <w:trHeight w:val="20"/>
        </w:trPr>
        <w:tc>
          <w:tcPr>
            <w:tcW w:w="4762" w:type="dxa"/>
            <w:gridSpan w:val="2"/>
            <w:vMerge w:val="restart"/>
            <w:shd w:val="clear" w:color="auto" w:fill="auto"/>
            <w:noWrap/>
          </w:tcPr>
          <w:p w14:paraId="72589706"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Einbauweise</w:t>
            </w:r>
          </w:p>
        </w:tc>
        <w:tc>
          <w:tcPr>
            <w:tcW w:w="6452" w:type="dxa"/>
            <w:gridSpan w:val="9"/>
            <w:shd w:val="clear" w:color="auto" w:fill="auto"/>
            <w:noWrap/>
            <w:vAlign w:val="center"/>
          </w:tcPr>
          <w:p w14:paraId="4BA6AF79"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Eigenschaft der Grundwasserdeckschicht</w:t>
            </w:r>
          </w:p>
        </w:tc>
      </w:tr>
      <w:tr w:rsidR="00722A47" w:rsidRPr="00722A47" w14:paraId="53A8D7D3" w14:textId="77777777" w:rsidTr="004954C9">
        <w:trPr>
          <w:trHeight w:val="20"/>
        </w:trPr>
        <w:tc>
          <w:tcPr>
            <w:tcW w:w="4762" w:type="dxa"/>
            <w:gridSpan w:val="2"/>
            <w:vMerge/>
            <w:shd w:val="clear" w:color="auto" w:fill="auto"/>
            <w:noWrap/>
            <w:vAlign w:val="center"/>
          </w:tcPr>
          <w:p w14:paraId="16E8E0F4" w14:textId="77777777" w:rsidR="00722A47" w:rsidRPr="00722A47" w:rsidRDefault="00722A47" w:rsidP="00722A47">
            <w:pPr>
              <w:spacing w:before="0" w:after="0"/>
              <w:jc w:val="center"/>
              <w:rPr>
                <w:rFonts w:ascii="Times New Roman" w:eastAsia="Times New Roman" w:hAnsi="Times New Roman" w:cs="Times New Roman"/>
                <w:sz w:val="20"/>
                <w:szCs w:val="24"/>
                <w:lang w:eastAsia="de-DE"/>
              </w:rPr>
            </w:pPr>
          </w:p>
        </w:tc>
        <w:tc>
          <w:tcPr>
            <w:tcW w:w="2745" w:type="dxa"/>
            <w:gridSpan w:val="3"/>
            <w:shd w:val="clear" w:color="auto" w:fill="auto"/>
            <w:noWrap/>
            <w:vAlign w:val="center"/>
          </w:tcPr>
          <w:p w14:paraId="7F0AB20D"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außerhalb von</w:t>
            </w:r>
          </w:p>
          <w:p w14:paraId="585D8C84"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c>
          <w:tcPr>
            <w:tcW w:w="3707" w:type="dxa"/>
            <w:gridSpan w:val="6"/>
            <w:shd w:val="clear" w:color="auto" w:fill="auto"/>
            <w:noWrap/>
            <w:vAlign w:val="center"/>
          </w:tcPr>
          <w:p w14:paraId="17E47E18"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innerhalb von</w:t>
            </w:r>
          </w:p>
          <w:p w14:paraId="33C625E7"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r>
      <w:tr w:rsidR="00722A47" w:rsidRPr="00722A47" w14:paraId="673ED7D3" w14:textId="77777777" w:rsidTr="004954C9">
        <w:trPr>
          <w:trHeight w:val="20"/>
        </w:trPr>
        <w:tc>
          <w:tcPr>
            <w:tcW w:w="4762" w:type="dxa"/>
            <w:gridSpan w:val="2"/>
            <w:vMerge/>
            <w:shd w:val="clear" w:color="auto" w:fill="auto"/>
            <w:noWrap/>
            <w:vAlign w:val="center"/>
          </w:tcPr>
          <w:p w14:paraId="0F6C896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51DF0BE7"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proofErr w:type="spellStart"/>
            <w:r w:rsidRPr="00722A47">
              <w:rPr>
                <w:rFonts w:ascii="Times New Roman" w:eastAsia="Times New Roman" w:hAnsi="Times New Roman" w:cs="Times New Roman"/>
                <w:sz w:val="20"/>
                <w:szCs w:val="20"/>
                <w:lang w:eastAsia="de-DE"/>
              </w:rPr>
              <w:t>un</w:t>
            </w:r>
            <w:proofErr w:type="spellEnd"/>
            <w:r w:rsidRPr="00722A47">
              <w:rPr>
                <w:rFonts w:ascii="Times New Roman" w:eastAsia="Times New Roman" w:hAnsi="Times New Roman" w:cs="Times New Roman"/>
                <w:sz w:val="20"/>
                <w:szCs w:val="20"/>
                <w:lang w:eastAsia="de-DE"/>
              </w:rPr>
              <w:t>-günstig</w:t>
            </w:r>
          </w:p>
        </w:tc>
        <w:tc>
          <w:tcPr>
            <w:tcW w:w="1880" w:type="dxa"/>
            <w:gridSpan w:val="2"/>
            <w:shd w:val="clear" w:color="auto" w:fill="auto"/>
            <w:noWrap/>
            <w:vAlign w:val="center"/>
          </w:tcPr>
          <w:p w14:paraId="74D88990"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c>
          <w:tcPr>
            <w:tcW w:w="3707" w:type="dxa"/>
            <w:gridSpan w:val="6"/>
            <w:shd w:val="clear" w:color="auto" w:fill="auto"/>
            <w:noWrap/>
            <w:vAlign w:val="center"/>
          </w:tcPr>
          <w:p w14:paraId="322241B0"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r>
      <w:tr w:rsidR="00722A47" w:rsidRPr="00722A47" w14:paraId="5FB6FD19" w14:textId="77777777" w:rsidTr="004954C9">
        <w:trPr>
          <w:trHeight w:val="20"/>
        </w:trPr>
        <w:tc>
          <w:tcPr>
            <w:tcW w:w="4762" w:type="dxa"/>
            <w:gridSpan w:val="2"/>
            <w:vMerge/>
            <w:shd w:val="clear" w:color="auto" w:fill="auto"/>
            <w:noWrap/>
            <w:vAlign w:val="center"/>
          </w:tcPr>
          <w:p w14:paraId="70EAA02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val="restart"/>
            <w:shd w:val="clear" w:color="auto" w:fill="auto"/>
            <w:noWrap/>
            <w:vAlign w:val="bottom"/>
          </w:tcPr>
          <w:p w14:paraId="740EE49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val="restart"/>
            <w:shd w:val="clear" w:color="auto" w:fill="auto"/>
            <w:noWrap/>
            <w:vAlign w:val="center"/>
          </w:tcPr>
          <w:p w14:paraId="7A64486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1205" w:type="dxa"/>
            <w:vMerge w:val="restart"/>
            <w:shd w:val="clear" w:color="auto" w:fill="auto"/>
            <w:noWrap/>
            <w:vAlign w:val="center"/>
          </w:tcPr>
          <w:p w14:paraId="743A5F45" w14:textId="5487F2AF"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7E65E1C2" w14:textId="7E75F82A"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2592CDE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1286" w:type="dxa"/>
            <w:gridSpan w:val="2"/>
            <w:shd w:val="clear" w:color="auto" w:fill="auto"/>
            <w:noWrap/>
            <w:vAlign w:val="center"/>
          </w:tcPr>
          <w:p w14:paraId="0BF11B1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A</w:t>
            </w:r>
          </w:p>
        </w:tc>
        <w:tc>
          <w:tcPr>
            <w:tcW w:w="1189" w:type="dxa"/>
            <w:gridSpan w:val="2"/>
            <w:shd w:val="clear" w:color="auto" w:fill="auto"/>
            <w:noWrap/>
            <w:vAlign w:val="center"/>
          </w:tcPr>
          <w:p w14:paraId="3BA804F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B</w:t>
            </w:r>
          </w:p>
        </w:tc>
        <w:tc>
          <w:tcPr>
            <w:tcW w:w="1232" w:type="dxa"/>
            <w:gridSpan w:val="2"/>
            <w:shd w:val="clear" w:color="auto" w:fill="auto"/>
            <w:noWrap/>
            <w:vAlign w:val="center"/>
          </w:tcPr>
          <w:p w14:paraId="37D41F0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Wasservor-</w:t>
            </w:r>
          </w:p>
        </w:tc>
      </w:tr>
      <w:tr w:rsidR="00722A47" w:rsidRPr="00722A47" w14:paraId="3462CFE9" w14:textId="77777777" w:rsidTr="004954C9">
        <w:trPr>
          <w:trHeight w:val="80"/>
        </w:trPr>
        <w:tc>
          <w:tcPr>
            <w:tcW w:w="4762" w:type="dxa"/>
            <w:gridSpan w:val="2"/>
            <w:vMerge/>
            <w:shd w:val="clear" w:color="auto" w:fill="auto"/>
            <w:noWrap/>
            <w:vAlign w:val="center"/>
          </w:tcPr>
          <w:p w14:paraId="0A1892B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6BC0EF6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63AE72A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367252B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86" w:type="dxa"/>
            <w:gridSpan w:val="2"/>
            <w:shd w:val="clear" w:color="auto" w:fill="auto"/>
            <w:noWrap/>
            <w:vAlign w:val="center"/>
          </w:tcPr>
          <w:p w14:paraId="5ADBA6E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III</w:t>
            </w:r>
          </w:p>
        </w:tc>
        <w:tc>
          <w:tcPr>
            <w:tcW w:w="1189" w:type="dxa"/>
            <w:gridSpan w:val="2"/>
            <w:shd w:val="clear" w:color="auto" w:fill="auto"/>
            <w:noWrap/>
            <w:vAlign w:val="center"/>
          </w:tcPr>
          <w:p w14:paraId="379E816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IV</w:t>
            </w:r>
          </w:p>
        </w:tc>
        <w:tc>
          <w:tcPr>
            <w:tcW w:w="1232" w:type="dxa"/>
            <w:gridSpan w:val="2"/>
            <w:shd w:val="clear" w:color="auto" w:fill="auto"/>
            <w:noWrap/>
            <w:vAlign w:val="center"/>
          </w:tcPr>
          <w:p w14:paraId="56D7EB1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ranggebiete</w:t>
            </w:r>
          </w:p>
        </w:tc>
      </w:tr>
      <w:tr w:rsidR="00722A47" w:rsidRPr="00722A47" w14:paraId="6B527804" w14:textId="77777777" w:rsidTr="004954C9">
        <w:trPr>
          <w:trHeight w:val="80"/>
        </w:trPr>
        <w:tc>
          <w:tcPr>
            <w:tcW w:w="4762" w:type="dxa"/>
            <w:gridSpan w:val="2"/>
            <w:vMerge/>
            <w:shd w:val="clear" w:color="auto" w:fill="auto"/>
            <w:noWrap/>
            <w:vAlign w:val="center"/>
          </w:tcPr>
          <w:p w14:paraId="4DCEEF7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16C58F8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342126E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76DF6B5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07" w:type="dxa"/>
            <w:shd w:val="clear" w:color="auto" w:fill="auto"/>
            <w:noWrap/>
            <w:vAlign w:val="center"/>
          </w:tcPr>
          <w:p w14:paraId="74253A7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79" w:type="dxa"/>
            <w:shd w:val="clear" w:color="auto" w:fill="auto"/>
            <w:vAlign w:val="center"/>
          </w:tcPr>
          <w:p w14:paraId="53402BD0" w14:textId="0EBE71B3"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5FDDA2E7" w14:textId="3B1C9F0B"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54BF57A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08" w:type="dxa"/>
            <w:shd w:val="clear" w:color="auto" w:fill="auto"/>
            <w:noWrap/>
            <w:vAlign w:val="center"/>
          </w:tcPr>
          <w:p w14:paraId="4B9366E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70E0A58E" w14:textId="540E399E"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753C2468" w14:textId="40C54D52"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1F4D924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51" w:type="dxa"/>
            <w:shd w:val="clear" w:color="auto" w:fill="auto"/>
            <w:noWrap/>
            <w:vAlign w:val="center"/>
          </w:tcPr>
          <w:p w14:paraId="7DF2A32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606A3A27" w14:textId="6C342458"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6645D77D" w14:textId="276330D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2068B0C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r>
      <w:tr w:rsidR="00722A47" w:rsidRPr="00722A47" w14:paraId="27A4FB41" w14:textId="77777777" w:rsidTr="004954C9">
        <w:trPr>
          <w:trHeight w:val="111"/>
        </w:trPr>
        <w:tc>
          <w:tcPr>
            <w:tcW w:w="4762" w:type="dxa"/>
            <w:gridSpan w:val="2"/>
            <w:vMerge/>
            <w:shd w:val="clear" w:color="auto" w:fill="auto"/>
            <w:noWrap/>
            <w:vAlign w:val="center"/>
          </w:tcPr>
          <w:p w14:paraId="55D3145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1DC0DE4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1</w:t>
            </w:r>
          </w:p>
        </w:tc>
        <w:tc>
          <w:tcPr>
            <w:tcW w:w="675" w:type="dxa"/>
            <w:shd w:val="clear" w:color="auto" w:fill="auto"/>
            <w:noWrap/>
            <w:vAlign w:val="center"/>
          </w:tcPr>
          <w:p w14:paraId="0B1BD68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2</w:t>
            </w:r>
          </w:p>
        </w:tc>
        <w:tc>
          <w:tcPr>
            <w:tcW w:w="1205" w:type="dxa"/>
            <w:shd w:val="clear" w:color="auto" w:fill="auto"/>
            <w:noWrap/>
            <w:vAlign w:val="center"/>
          </w:tcPr>
          <w:p w14:paraId="4601F49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3</w:t>
            </w:r>
          </w:p>
        </w:tc>
        <w:tc>
          <w:tcPr>
            <w:tcW w:w="1286" w:type="dxa"/>
            <w:gridSpan w:val="2"/>
            <w:shd w:val="clear" w:color="auto" w:fill="auto"/>
            <w:noWrap/>
            <w:vAlign w:val="center"/>
          </w:tcPr>
          <w:p w14:paraId="54117F9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4</w:t>
            </w:r>
          </w:p>
        </w:tc>
        <w:tc>
          <w:tcPr>
            <w:tcW w:w="1189" w:type="dxa"/>
            <w:gridSpan w:val="2"/>
            <w:shd w:val="clear" w:color="auto" w:fill="auto"/>
            <w:noWrap/>
            <w:vAlign w:val="center"/>
          </w:tcPr>
          <w:p w14:paraId="3E581D1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5</w:t>
            </w:r>
          </w:p>
        </w:tc>
        <w:tc>
          <w:tcPr>
            <w:tcW w:w="1232" w:type="dxa"/>
            <w:gridSpan w:val="2"/>
            <w:shd w:val="clear" w:color="auto" w:fill="auto"/>
            <w:noWrap/>
            <w:vAlign w:val="center"/>
          </w:tcPr>
          <w:p w14:paraId="5561E54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6</w:t>
            </w:r>
          </w:p>
        </w:tc>
      </w:tr>
      <w:tr w:rsidR="00722A47" w:rsidRPr="00722A47" w14:paraId="2752255B" w14:textId="77777777" w:rsidTr="004954C9">
        <w:trPr>
          <w:trHeight w:val="20"/>
        </w:trPr>
        <w:tc>
          <w:tcPr>
            <w:tcW w:w="478" w:type="dxa"/>
            <w:noWrap/>
          </w:tcPr>
          <w:p w14:paraId="7F47C42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w:t>
            </w:r>
          </w:p>
        </w:tc>
        <w:tc>
          <w:tcPr>
            <w:tcW w:w="4284" w:type="dxa"/>
          </w:tcPr>
          <w:p w14:paraId="7F3C05D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Schotteroberbau der Bahnbauweise Standard Damm </w:t>
            </w:r>
          </w:p>
        </w:tc>
        <w:tc>
          <w:tcPr>
            <w:tcW w:w="865" w:type="dxa"/>
            <w:noWrap/>
            <w:vAlign w:val="center"/>
          </w:tcPr>
          <w:p w14:paraId="3CB82F6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0FFE58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41534B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6C947E6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17C197F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8EFF69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8D49FA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7FFCBF1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1E3D0E1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01EBFC10" w14:textId="77777777" w:rsidTr="004954C9">
        <w:trPr>
          <w:trHeight w:val="20"/>
        </w:trPr>
        <w:tc>
          <w:tcPr>
            <w:tcW w:w="478" w:type="dxa"/>
            <w:noWrap/>
          </w:tcPr>
          <w:p w14:paraId="156FD2D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w:t>
            </w:r>
          </w:p>
        </w:tc>
        <w:tc>
          <w:tcPr>
            <w:tcW w:w="4284" w:type="dxa"/>
          </w:tcPr>
          <w:p w14:paraId="7DF8B0E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Standard Einschnitt</w:t>
            </w:r>
          </w:p>
        </w:tc>
        <w:tc>
          <w:tcPr>
            <w:tcW w:w="865" w:type="dxa"/>
            <w:noWrap/>
            <w:vAlign w:val="center"/>
          </w:tcPr>
          <w:p w14:paraId="48A7D1E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92D77E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05D5D4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68CFC1B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05472BF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66DD20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0E1F650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6574B65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4984ACF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1DD230B8" w14:textId="77777777" w:rsidTr="004954C9">
        <w:trPr>
          <w:trHeight w:val="20"/>
        </w:trPr>
        <w:tc>
          <w:tcPr>
            <w:tcW w:w="478" w:type="dxa"/>
            <w:noWrap/>
          </w:tcPr>
          <w:p w14:paraId="5531A91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B3</w:t>
            </w:r>
          </w:p>
        </w:tc>
        <w:tc>
          <w:tcPr>
            <w:tcW w:w="4284" w:type="dxa"/>
          </w:tcPr>
          <w:p w14:paraId="6D3172F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w:t>
            </w:r>
          </w:p>
        </w:tc>
        <w:tc>
          <w:tcPr>
            <w:tcW w:w="865" w:type="dxa"/>
            <w:noWrap/>
            <w:vAlign w:val="center"/>
          </w:tcPr>
          <w:p w14:paraId="1D14256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8EBB8C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61BCA3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232A3EE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6BB2AE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569F91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D850BD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742525E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502B07A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12454E68" w14:textId="77777777" w:rsidTr="004954C9">
        <w:trPr>
          <w:trHeight w:val="20"/>
        </w:trPr>
        <w:tc>
          <w:tcPr>
            <w:tcW w:w="478" w:type="dxa"/>
            <w:noWrap/>
          </w:tcPr>
          <w:p w14:paraId="23A3D78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B4</w:t>
            </w:r>
          </w:p>
        </w:tc>
        <w:tc>
          <w:tcPr>
            <w:tcW w:w="4284" w:type="dxa"/>
          </w:tcPr>
          <w:p w14:paraId="5F8FA02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 modifiziert</w:t>
            </w:r>
          </w:p>
        </w:tc>
        <w:tc>
          <w:tcPr>
            <w:tcW w:w="865" w:type="dxa"/>
            <w:noWrap/>
            <w:vAlign w:val="center"/>
          </w:tcPr>
          <w:p w14:paraId="24007AD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174A50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2EBD61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1C81BE7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874FAA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AC1AD1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319466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2BAFE17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1569AE0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1361DDA7" w14:textId="77777777" w:rsidTr="004954C9">
        <w:trPr>
          <w:trHeight w:val="20"/>
        </w:trPr>
        <w:tc>
          <w:tcPr>
            <w:tcW w:w="478" w:type="dxa"/>
            <w:noWrap/>
          </w:tcPr>
          <w:p w14:paraId="07DDB0C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B5</w:t>
            </w:r>
          </w:p>
        </w:tc>
        <w:tc>
          <w:tcPr>
            <w:tcW w:w="4284" w:type="dxa"/>
          </w:tcPr>
          <w:p w14:paraId="5ED41A6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0A051C1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Bahnbauweise Standard Damm </w:t>
            </w:r>
          </w:p>
        </w:tc>
        <w:tc>
          <w:tcPr>
            <w:tcW w:w="865" w:type="dxa"/>
            <w:noWrap/>
            <w:vAlign w:val="center"/>
          </w:tcPr>
          <w:p w14:paraId="0114375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F9BBDE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1205" w:type="dxa"/>
            <w:noWrap/>
            <w:vAlign w:val="center"/>
          </w:tcPr>
          <w:p w14:paraId="14D2053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581EE55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345257E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08" w:type="dxa"/>
            <w:shd w:val="clear" w:color="auto" w:fill="auto"/>
            <w:noWrap/>
            <w:vAlign w:val="center"/>
          </w:tcPr>
          <w:p w14:paraId="56035CC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A0B6E6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51" w:type="dxa"/>
            <w:shd w:val="clear" w:color="auto" w:fill="auto"/>
            <w:noWrap/>
            <w:vAlign w:val="center"/>
          </w:tcPr>
          <w:p w14:paraId="03962D2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81" w:type="dxa"/>
            <w:shd w:val="clear" w:color="auto" w:fill="auto"/>
            <w:vAlign w:val="center"/>
          </w:tcPr>
          <w:p w14:paraId="334FB1B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E9D24D3" w14:textId="77777777" w:rsidTr="004954C9">
        <w:trPr>
          <w:trHeight w:val="20"/>
        </w:trPr>
        <w:tc>
          <w:tcPr>
            <w:tcW w:w="478" w:type="dxa"/>
            <w:noWrap/>
          </w:tcPr>
          <w:p w14:paraId="2C81022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B6</w:t>
            </w:r>
          </w:p>
        </w:tc>
        <w:tc>
          <w:tcPr>
            <w:tcW w:w="4284" w:type="dxa"/>
          </w:tcPr>
          <w:p w14:paraId="6C3D15C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7E79F55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Standard Einschnitt</w:t>
            </w:r>
          </w:p>
        </w:tc>
        <w:tc>
          <w:tcPr>
            <w:tcW w:w="865" w:type="dxa"/>
            <w:noWrap/>
            <w:vAlign w:val="center"/>
          </w:tcPr>
          <w:p w14:paraId="27C620B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6E0D32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1205" w:type="dxa"/>
            <w:noWrap/>
            <w:vAlign w:val="center"/>
          </w:tcPr>
          <w:p w14:paraId="2A12845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236C0EE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0384226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08" w:type="dxa"/>
            <w:shd w:val="clear" w:color="auto" w:fill="auto"/>
            <w:noWrap/>
            <w:vAlign w:val="center"/>
          </w:tcPr>
          <w:p w14:paraId="7F27F67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B2756E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51" w:type="dxa"/>
            <w:shd w:val="clear" w:color="auto" w:fill="auto"/>
            <w:noWrap/>
            <w:vAlign w:val="center"/>
          </w:tcPr>
          <w:p w14:paraId="6F3C9DD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81" w:type="dxa"/>
            <w:shd w:val="clear" w:color="auto" w:fill="auto"/>
            <w:vAlign w:val="center"/>
          </w:tcPr>
          <w:p w14:paraId="037F885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0CE9D097" w14:textId="77777777" w:rsidTr="004954C9">
        <w:trPr>
          <w:trHeight w:val="20"/>
        </w:trPr>
        <w:tc>
          <w:tcPr>
            <w:tcW w:w="478" w:type="dxa"/>
            <w:noWrap/>
          </w:tcPr>
          <w:p w14:paraId="7D9AA29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B7</w:t>
            </w:r>
          </w:p>
        </w:tc>
        <w:tc>
          <w:tcPr>
            <w:tcW w:w="4284" w:type="dxa"/>
          </w:tcPr>
          <w:p w14:paraId="305C894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690BE79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08C1B5C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A664B5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163F74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4311657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0D6F1CF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7AB6FE2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9420B5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5BAFB4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1469C6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A20008A" w14:textId="77777777" w:rsidTr="004954C9">
        <w:trPr>
          <w:trHeight w:val="20"/>
        </w:trPr>
        <w:tc>
          <w:tcPr>
            <w:tcW w:w="478" w:type="dxa"/>
            <w:noWrap/>
          </w:tcPr>
          <w:p w14:paraId="00F3EFC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B8</w:t>
            </w:r>
          </w:p>
        </w:tc>
        <w:tc>
          <w:tcPr>
            <w:tcW w:w="4284" w:type="dxa"/>
          </w:tcPr>
          <w:p w14:paraId="29433A4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131F1A0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2B36920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78BF5D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F6261B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7C4C717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1BA8D78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37619AB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679CA5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954D76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6D87C2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8073604" w14:textId="77777777" w:rsidTr="004954C9">
        <w:trPr>
          <w:trHeight w:val="20"/>
        </w:trPr>
        <w:tc>
          <w:tcPr>
            <w:tcW w:w="478" w:type="dxa"/>
            <w:noWrap/>
          </w:tcPr>
          <w:p w14:paraId="38C1B18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B9</w:t>
            </w:r>
          </w:p>
        </w:tc>
        <w:tc>
          <w:tcPr>
            <w:tcW w:w="4284" w:type="dxa"/>
          </w:tcPr>
          <w:p w14:paraId="79C5858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299F757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65691FE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CFAC9E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C21421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72F25B8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56AD3F3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4F5E718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753708E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B5CBE0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FF43E5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F2BBC0A" w14:textId="77777777" w:rsidTr="004954C9">
        <w:trPr>
          <w:trHeight w:val="20"/>
        </w:trPr>
        <w:tc>
          <w:tcPr>
            <w:tcW w:w="478" w:type="dxa"/>
            <w:noWrap/>
          </w:tcPr>
          <w:p w14:paraId="37AFFEB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B10</w:t>
            </w:r>
          </w:p>
        </w:tc>
        <w:tc>
          <w:tcPr>
            <w:tcW w:w="4284" w:type="dxa"/>
          </w:tcPr>
          <w:p w14:paraId="75CB5BF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1594EAE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0D0377D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919D64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F3EA48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313AD27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38A9100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48D791A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10FAF88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071E070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5FF534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3CACE709" w14:textId="77777777" w:rsidTr="004954C9">
        <w:trPr>
          <w:trHeight w:val="20"/>
        </w:trPr>
        <w:tc>
          <w:tcPr>
            <w:tcW w:w="478" w:type="dxa"/>
            <w:noWrap/>
          </w:tcPr>
          <w:p w14:paraId="5BD9AA4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B11</w:t>
            </w:r>
          </w:p>
        </w:tc>
        <w:tc>
          <w:tcPr>
            <w:tcW w:w="4284" w:type="dxa"/>
          </w:tcPr>
          <w:p w14:paraId="4865DC5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Spezielle Bodenschicht der Bahnbauweise H</w:t>
            </w:r>
          </w:p>
        </w:tc>
        <w:tc>
          <w:tcPr>
            <w:tcW w:w="865" w:type="dxa"/>
            <w:noWrap/>
            <w:vAlign w:val="center"/>
          </w:tcPr>
          <w:p w14:paraId="06C346E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0C830BF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A6DED1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062DBC0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shd w:val="clear" w:color="auto" w:fill="auto"/>
            <w:vAlign w:val="center"/>
          </w:tcPr>
          <w:p w14:paraId="23938AF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imes New Roman"/>
                <w:b/>
                <w:sz w:val="24"/>
                <w:szCs w:val="20"/>
                <w:lang w:eastAsia="de-DE"/>
              </w:rPr>
              <w:t>+</w:t>
            </w:r>
          </w:p>
        </w:tc>
        <w:tc>
          <w:tcPr>
            <w:tcW w:w="508" w:type="dxa"/>
            <w:shd w:val="clear" w:color="auto" w:fill="auto"/>
            <w:noWrap/>
            <w:vAlign w:val="center"/>
          </w:tcPr>
          <w:p w14:paraId="6E46526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auto"/>
            <w:vAlign w:val="center"/>
          </w:tcPr>
          <w:p w14:paraId="1AD4609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608A174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CAB24B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5ACD041" w14:textId="77777777" w:rsidTr="004954C9">
        <w:trPr>
          <w:trHeight w:val="20"/>
        </w:trPr>
        <w:tc>
          <w:tcPr>
            <w:tcW w:w="478" w:type="dxa"/>
            <w:noWrap/>
          </w:tcPr>
          <w:p w14:paraId="50281A9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B12</w:t>
            </w:r>
          </w:p>
        </w:tc>
        <w:tc>
          <w:tcPr>
            <w:tcW w:w="4284" w:type="dxa"/>
          </w:tcPr>
          <w:p w14:paraId="2D90CFE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27856C0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Standard Damm </w:t>
            </w:r>
          </w:p>
        </w:tc>
        <w:tc>
          <w:tcPr>
            <w:tcW w:w="865" w:type="dxa"/>
            <w:noWrap/>
            <w:vAlign w:val="center"/>
          </w:tcPr>
          <w:p w14:paraId="448CF89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F2A9D3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1205" w:type="dxa"/>
            <w:noWrap/>
            <w:vAlign w:val="center"/>
          </w:tcPr>
          <w:p w14:paraId="50DE1C5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73F171C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10A76A3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08" w:type="dxa"/>
            <w:shd w:val="clear" w:color="auto" w:fill="auto"/>
            <w:noWrap/>
            <w:vAlign w:val="center"/>
          </w:tcPr>
          <w:p w14:paraId="01A18D9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DC12DF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51" w:type="dxa"/>
            <w:shd w:val="clear" w:color="auto" w:fill="auto"/>
            <w:noWrap/>
            <w:vAlign w:val="center"/>
          </w:tcPr>
          <w:p w14:paraId="670C8C2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81" w:type="dxa"/>
            <w:shd w:val="clear" w:color="auto" w:fill="auto"/>
            <w:vAlign w:val="center"/>
          </w:tcPr>
          <w:p w14:paraId="676AC24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31691C28" w14:textId="77777777" w:rsidTr="004954C9">
        <w:trPr>
          <w:trHeight w:val="20"/>
        </w:trPr>
        <w:tc>
          <w:tcPr>
            <w:tcW w:w="478" w:type="dxa"/>
            <w:noWrap/>
          </w:tcPr>
          <w:p w14:paraId="51BDFDA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B13</w:t>
            </w:r>
          </w:p>
        </w:tc>
        <w:tc>
          <w:tcPr>
            <w:tcW w:w="4284" w:type="dxa"/>
          </w:tcPr>
          <w:p w14:paraId="00B866F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3D535BF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Standard Einschnitt</w:t>
            </w:r>
          </w:p>
        </w:tc>
        <w:tc>
          <w:tcPr>
            <w:tcW w:w="865" w:type="dxa"/>
            <w:noWrap/>
            <w:vAlign w:val="center"/>
          </w:tcPr>
          <w:p w14:paraId="41FBCFB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45CCBF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1205" w:type="dxa"/>
            <w:noWrap/>
            <w:vAlign w:val="center"/>
          </w:tcPr>
          <w:p w14:paraId="2709A1D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379195B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672A19B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08" w:type="dxa"/>
            <w:shd w:val="clear" w:color="auto" w:fill="auto"/>
            <w:noWrap/>
            <w:vAlign w:val="center"/>
          </w:tcPr>
          <w:p w14:paraId="5529B28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BB313E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51" w:type="dxa"/>
            <w:shd w:val="clear" w:color="auto" w:fill="auto"/>
            <w:noWrap/>
            <w:vAlign w:val="center"/>
          </w:tcPr>
          <w:p w14:paraId="601042F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81" w:type="dxa"/>
            <w:shd w:val="clear" w:color="auto" w:fill="auto"/>
            <w:vAlign w:val="center"/>
          </w:tcPr>
          <w:p w14:paraId="6AE6C03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687A7576" w14:textId="77777777" w:rsidTr="004954C9">
        <w:trPr>
          <w:trHeight w:val="20"/>
        </w:trPr>
        <w:tc>
          <w:tcPr>
            <w:tcW w:w="478" w:type="dxa"/>
            <w:noWrap/>
          </w:tcPr>
          <w:p w14:paraId="2869EF1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B14</w:t>
            </w:r>
          </w:p>
        </w:tc>
        <w:tc>
          <w:tcPr>
            <w:tcW w:w="4284" w:type="dxa"/>
          </w:tcPr>
          <w:p w14:paraId="030626E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H</w:t>
            </w:r>
          </w:p>
        </w:tc>
        <w:tc>
          <w:tcPr>
            <w:tcW w:w="865" w:type="dxa"/>
            <w:noWrap/>
            <w:vAlign w:val="center"/>
          </w:tcPr>
          <w:p w14:paraId="1E0FA58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94D8FD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F95437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6C4A03D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6E81761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779C324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E4203F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059E244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1EE23E3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8D2449F" w14:textId="77777777" w:rsidTr="004954C9">
        <w:trPr>
          <w:trHeight w:val="20"/>
        </w:trPr>
        <w:tc>
          <w:tcPr>
            <w:tcW w:w="478" w:type="dxa"/>
            <w:noWrap/>
          </w:tcPr>
          <w:p w14:paraId="3CF91EC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B15</w:t>
            </w:r>
          </w:p>
        </w:tc>
        <w:tc>
          <w:tcPr>
            <w:tcW w:w="4284" w:type="dxa"/>
          </w:tcPr>
          <w:p w14:paraId="3C1DF21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63DD084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H modifiziert</w:t>
            </w:r>
          </w:p>
        </w:tc>
        <w:tc>
          <w:tcPr>
            <w:tcW w:w="865" w:type="dxa"/>
            <w:noWrap/>
            <w:vAlign w:val="center"/>
          </w:tcPr>
          <w:p w14:paraId="3192DD1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A39752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9504E4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58D7F65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7011A3A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6FBFD47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2D45FBA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0D3C7D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7A7BB8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0B3B2E1" w14:textId="77777777" w:rsidTr="004954C9">
        <w:trPr>
          <w:trHeight w:val="20"/>
        </w:trPr>
        <w:tc>
          <w:tcPr>
            <w:tcW w:w="478" w:type="dxa"/>
            <w:noWrap/>
          </w:tcPr>
          <w:p w14:paraId="459F570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B16</w:t>
            </w:r>
          </w:p>
        </w:tc>
        <w:tc>
          <w:tcPr>
            <w:tcW w:w="4284" w:type="dxa"/>
          </w:tcPr>
          <w:p w14:paraId="0CDAD4D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w:t>
            </w:r>
          </w:p>
        </w:tc>
        <w:tc>
          <w:tcPr>
            <w:tcW w:w="865" w:type="dxa"/>
            <w:noWrap/>
            <w:vAlign w:val="center"/>
          </w:tcPr>
          <w:p w14:paraId="42248E3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0F70470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161546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6DEF8EC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shd w:val="clear" w:color="auto" w:fill="auto"/>
            <w:vAlign w:val="center"/>
          </w:tcPr>
          <w:p w14:paraId="1A44DA8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imes New Roman"/>
                <w:b/>
                <w:sz w:val="24"/>
                <w:szCs w:val="20"/>
                <w:lang w:eastAsia="de-DE"/>
              </w:rPr>
              <w:t>+</w:t>
            </w:r>
          </w:p>
        </w:tc>
        <w:tc>
          <w:tcPr>
            <w:tcW w:w="508" w:type="dxa"/>
            <w:shd w:val="clear" w:color="auto" w:fill="auto"/>
            <w:noWrap/>
            <w:vAlign w:val="center"/>
          </w:tcPr>
          <w:p w14:paraId="5E7F76E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auto"/>
            <w:vAlign w:val="center"/>
          </w:tcPr>
          <w:p w14:paraId="5B0084C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3DF2CDD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6CF7B2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2A57861" w14:textId="77777777" w:rsidTr="004954C9">
        <w:trPr>
          <w:trHeight w:val="20"/>
        </w:trPr>
        <w:tc>
          <w:tcPr>
            <w:tcW w:w="478" w:type="dxa"/>
            <w:noWrap/>
          </w:tcPr>
          <w:p w14:paraId="08E207F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B17</w:t>
            </w:r>
          </w:p>
        </w:tc>
        <w:tc>
          <w:tcPr>
            <w:tcW w:w="4284" w:type="dxa"/>
          </w:tcPr>
          <w:p w14:paraId="6257E78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w:t>
            </w:r>
          </w:p>
        </w:tc>
        <w:tc>
          <w:tcPr>
            <w:tcW w:w="865" w:type="dxa"/>
            <w:noWrap/>
            <w:vAlign w:val="center"/>
          </w:tcPr>
          <w:p w14:paraId="615AA4E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D7565E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BD2E79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750A9CB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332BCA3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31F870E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230F084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12BC9F6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93ADFB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6706131D" w14:textId="77777777" w:rsidTr="004954C9">
        <w:trPr>
          <w:trHeight w:val="20"/>
        </w:trPr>
        <w:tc>
          <w:tcPr>
            <w:tcW w:w="478" w:type="dxa"/>
            <w:noWrap/>
          </w:tcPr>
          <w:p w14:paraId="7107CF3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B18</w:t>
            </w:r>
          </w:p>
        </w:tc>
        <w:tc>
          <w:tcPr>
            <w:tcW w:w="4284" w:type="dxa"/>
          </w:tcPr>
          <w:p w14:paraId="53A66B9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 mit Randwegabdichtung oberhalb der FSS</w:t>
            </w:r>
          </w:p>
        </w:tc>
        <w:tc>
          <w:tcPr>
            <w:tcW w:w="865" w:type="dxa"/>
            <w:noWrap/>
            <w:vAlign w:val="center"/>
          </w:tcPr>
          <w:p w14:paraId="327A799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F985C3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317990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2B57827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57348A3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15A70CF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44A82C6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02BD384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023C33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6F4A66BF" w14:textId="77777777" w:rsidTr="004954C9">
        <w:trPr>
          <w:trHeight w:val="20"/>
        </w:trPr>
        <w:tc>
          <w:tcPr>
            <w:tcW w:w="478" w:type="dxa"/>
            <w:noWrap/>
          </w:tcPr>
          <w:p w14:paraId="6F183E7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B19</w:t>
            </w:r>
          </w:p>
        </w:tc>
        <w:tc>
          <w:tcPr>
            <w:tcW w:w="4284" w:type="dxa"/>
          </w:tcPr>
          <w:p w14:paraId="1021298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 mit Randwegabdichtung</w:t>
            </w:r>
          </w:p>
        </w:tc>
        <w:tc>
          <w:tcPr>
            <w:tcW w:w="865" w:type="dxa"/>
            <w:noWrap/>
            <w:vAlign w:val="center"/>
          </w:tcPr>
          <w:p w14:paraId="6343193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202AAEB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07D7F9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0995A1C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shd w:val="clear" w:color="auto" w:fill="auto"/>
            <w:vAlign w:val="center"/>
          </w:tcPr>
          <w:p w14:paraId="4C6BE67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6274821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auto"/>
            <w:vAlign w:val="center"/>
          </w:tcPr>
          <w:p w14:paraId="2AB0CFE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5C23C4C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341D30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3D63CC2" w14:textId="77777777" w:rsidTr="004954C9">
        <w:trPr>
          <w:trHeight w:val="20"/>
        </w:trPr>
        <w:tc>
          <w:tcPr>
            <w:tcW w:w="478" w:type="dxa"/>
            <w:noWrap/>
          </w:tcPr>
          <w:p w14:paraId="1454A31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B20</w:t>
            </w:r>
          </w:p>
        </w:tc>
        <w:tc>
          <w:tcPr>
            <w:tcW w:w="4284" w:type="dxa"/>
          </w:tcPr>
          <w:p w14:paraId="0E01DDB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unterhalb </w:t>
            </w: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bzw. PSS der Bahnbauweise E 1</w:t>
            </w:r>
          </w:p>
        </w:tc>
        <w:tc>
          <w:tcPr>
            <w:tcW w:w="865" w:type="dxa"/>
            <w:noWrap/>
            <w:vAlign w:val="center"/>
          </w:tcPr>
          <w:p w14:paraId="78A34A9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B72250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504509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2194AE2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5FE9432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12C282E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4B2530F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CD5158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5A8B28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2BB7EAD" w14:textId="77777777" w:rsidTr="004954C9">
        <w:trPr>
          <w:trHeight w:val="20"/>
        </w:trPr>
        <w:tc>
          <w:tcPr>
            <w:tcW w:w="478" w:type="dxa"/>
            <w:noWrap/>
          </w:tcPr>
          <w:p w14:paraId="7CE5DC8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B21</w:t>
            </w:r>
          </w:p>
        </w:tc>
        <w:tc>
          <w:tcPr>
            <w:tcW w:w="4284" w:type="dxa"/>
          </w:tcPr>
          <w:p w14:paraId="19492EC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1 mit Dichtungselement auf dem Planum</w:t>
            </w:r>
          </w:p>
        </w:tc>
        <w:tc>
          <w:tcPr>
            <w:tcW w:w="865" w:type="dxa"/>
            <w:noWrap/>
            <w:vAlign w:val="center"/>
          </w:tcPr>
          <w:p w14:paraId="27949A7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AF722C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5FDC15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32EF4EB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21ACBFF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7B4C501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9AAB1B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470AE7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1E113A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4D39954" w14:textId="77777777" w:rsidTr="004954C9">
        <w:trPr>
          <w:trHeight w:val="20"/>
        </w:trPr>
        <w:tc>
          <w:tcPr>
            <w:tcW w:w="478" w:type="dxa"/>
            <w:noWrap/>
          </w:tcPr>
          <w:p w14:paraId="2DF7959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B22</w:t>
            </w:r>
          </w:p>
        </w:tc>
        <w:tc>
          <w:tcPr>
            <w:tcW w:w="4284" w:type="dxa"/>
          </w:tcPr>
          <w:p w14:paraId="0E331E3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Tragschicht als witterungsunempfindliches Dichtungselement der Bahnbauweise E 2</w:t>
            </w:r>
          </w:p>
        </w:tc>
        <w:tc>
          <w:tcPr>
            <w:tcW w:w="865" w:type="dxa"/>
            <w:noWrap/>
            <w:vAlign w:val="center"/>
          </w:tcPr>
          <w:p w14:paraId="5A1B2C0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5F75C32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3CD174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2E038DC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shd w:val="clear" w:color="auto" w:fill="auto"/>
            <w:vAlign w:val="center"/>
          </w:tcPr>
          <w:p w14:paraId="596417D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imes New Roman"/>
                <w:sz w:val="24"/>
                <w:szCs w:val="24"/>
                <w:lang w:eastAsia="de-DE"/>
              </w:rPr>
              <w:t>+</w:t>
            </w:r>
          </w:p>
        </w:tc>
        <w:tc>
          <w:tcPr>
            <w:tcW w:w="508" w:type="dxa"/>
            <w:shd w:val="clear" w:color="auto" w:fill="auto"/>
            <w:noWrap/>
            <w:vAlign w:val="center"/>
          </w:tcPr>
          <w:p w14:paraId="6FF269B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auto"/>
            <w:vAlign w:val="center"/>
          </w:tcPr>
          <w:p w14:paraId="41CD910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0642935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31B2E7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6FE2B30" w14:textId="77777777" w:rsidTr="004954C9">
        <w:trPr>
          <w:trHeight w:val="20"/>
        </w:trPr>
        <w:tc>
          <w:tcPr>
            <w:tcW w:w="478" w:type="dxa"/>
            <w:noWrap/>
          </w:tcPr>
          <w:p w14:paraId="44ADE12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B23</w:t>
            </w:r>
          </w:p>
        </w:tc>
        <w:tc>
          <w:tcPr>
            <w:tcW w:w="4284" w:type="dxa"/>
          </w:tcPr>
          <w:p w14:paraId="5DA3E43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2</w:t>
            </w:r>
          </w:p>
        </w:tc>
        <w:tc>
          <w:tcPr>
            <w:tcW w:w="865" w:type="dxa"/>
            <w:noWrap/>
            <w:vAlign w:val="center"/>
          </w:tcPr>
          <w:p w14:paraId="7376272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6C81C7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5F7F3D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6452624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47925D6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5516C13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4FF31A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2D21736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754B05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93FAE20" w14:textId="77777777" w:rsidTr="004954C9">
        <w:trPr>
          <w:trHeight w:val="20"/>
        </w:trPr>
        <w:tc>
          <w:tcPr>
            <w:tcW w:w="478" w:type="dxa"/>
            <w:noWrap/>
          </w:tcPr>
          <w:p w14:paraId="5FCB96C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B24</w:t>
            </w:r>
          </w:p>
        </w:tc>
        <w:tc>
          <w:tcPr>
            <w:tcW w:w="4284" w:type="dxa"/>
          </w:tcPr>
          <w:p w14:paraId="2064D91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und Unterbau (Damm) der Bahnbauweise E 3a</w:t>
            </w:r>
          </w:p>
        </w:tc>
        <w:tc>
          <w:tcPr>
            <w:tcW w:w="865" w:type="dxa"/>
            <w:noWrap/>
            <w:vAlign w:val="center"/>
          </w:tcPr>
          <w:p w14:paraId="57E91E0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532924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1205" w:type="dxa"/>
            <w:noWrap/>
            <w:vAlign w:val="center"/>
          </w:tcPr>
          <w:p w14:paraId="202227B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595AC90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0AE0310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08" w:type="dxa"/>
            <w:shd w:val="clear" w:color="auto" w:fill="auto"/>
            <w:noWrap/>
            <w:vAlign w:val="center"/>
          </w:tcPr>
          <w:p w14:paraId="55C56E3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12225FA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51" w:type="dxa"/>
            <w:shd w:val="clear" w:color="auto" w:fill="auto"/>
            <w:noWrap/>
            <w:vAlign w:val="center"/>
          </w:tcPr>
          <w:p w14:paraId="4BBBF5B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81" w:type="dxa"/>
            <w:shd w:val="clear" w:color="auto" w:fill="auto"/>
            <w:vAlign w:val="center"/>
          </w:tcPr>
          <w:p w14:paraId="04CF215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A85AD14" w14:textId="77777777" w:rsidTr="004954C9">
        <w:trPr>
          <w:trHeight w:val="20"/>
        </w:trPr>
        <w:tc>
          <w:tcPr>
            <w:tcW w:w="478" w:type="dxa"/>
            <w:noWrap/>
          </w:tcPr>
          <w:p w14:paraId="3B07C41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B25</w:t>
            </w:r>
          </w:p>
        </w:tc>
        <w:tc>
          <w:tcPr>
            <w:tcW w:w="4284" w:type="dxa"/>
          </w:tcPr>
          <w:p w14:paraId="33FA5E4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der Bahnbauweise E 3b</w:t>
            </w:r>
          </w:p>
        </w:tc>
        <w:tc>
          <w:tcPr>
            <w:tcW w:w="865" w:type="dxa"/>
            <w:noWrap/>
            <w:vAlign w:val="center"/>
          </w:tcPr>
          <w:p w14:paraId="26FEAA6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2DCBDA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964E0B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6E0DFB5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970F6A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DB4273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352013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C055B5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48E19E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9F9DDE7" w14:textId="77777777" w:rsidTr="004954C9">
        <w:trPr>
          <w:trHeight w:val="208"/>
        </w:trPr>
        <w:tc>
          <w:tcPr>
            <w:tcW w:w="478" w:type="dxa"/>
            <w:noWrap/>
          </w:tcPr>
          <w:p w14:paraId="754DCE8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B26</w:t>
            </w:r>
          </w:p>
        </w:tc>
        <w:tc>
          <w:tcPr>
            <w:tcW w:w="4284" w:type="dxa"/>
          </w:tcPr>
          <w:p w14:paraId="44F7F69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3b</w:t>
            </w:r>
          </w:p>
        </w:tc>
        <w:tc>
          <w:tcPr>
            <w:tcW w:w="865" w:type="dxa"/>
            <w:noWrap/>
            <w:vAlign w:val="center"/>
          </w:tcPr>
          <w:p w14:paraId="77BCD77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2A23EA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549770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2E68783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78D9086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3923841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228F8D8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8350A5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5DBBD4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bl>
    <w:p w14:paraId="01C2EA32" w14:textId="77777777" w:rsidR="00722A47" w:rsidRPr="00722A47" w:rsidRDefault="00722A47" w:rsidP="00722A47">
      <w:pPr>
        <w:spacing w:before="0" w:after="0"/>
        <w:jc w:val="left"/>
        <w:rPr>
          <w:rFonts w:ascii="Times New Roman" w:eastAsia="Times New Roman" w:hAnsi="Times New Roman" w:cs="Tahoma"/>
          <w:sz w:val="16"/>
          <w:szCs w:val="16"/>
          <w:lang w:eastAsia="de-DE"/>
        </w:rPr>
      </w:pPr>
      <w:r w:rsidRPr="00722A47">
        <w:rPr>
          <w:rFonts w:ascii="Times New Roman" w:eastAsia="Times New Roman" w:hAnsi="Times New Roman" w:cs="Tahoma"/>
          <w:sz w:val="16"/>
          <w:szCs w:val="16"/>
          <w:lang w:eastAsia="de-DE"/>
        </w:rPr>
        <w:t xml:space="preserve">1) Zulässig, wenn </w:t>
      </w:r>
      <w:proofErr w:type="spellStart"/>
      <w:proofErr w:type="gramStart"/>
      <w:r w:rsidRPr="00722A47">
        <w:rPr>
          <w:rFonts w:ascii="Times New Roman" w:eastAsia="Times New Roman" w:hAnsi="Times New Roman" w:cs="Tahoma"/>
          <w:sz w:val="16"/>
          <w:szCs w:val="16"/>
          <w:lang w:eastAsia="de-DE"/>
        </w:rPr>
        <w:t>Chrom,ges</w:t>
      </w:r>
      <w:proofErr w:type="spellEnd"/>
      <w:r w:rsidRPr="00722A47">
        <w:rPr>
          <w:rFonts w:ascii="Times New Roman" w:eastAsia="Times New Roman" w:hAnsi="Times New Roman" w:cs="Tahoma"/>
          <w:sz w:val="16"/>
          <w:szCs w:val="16"/>
          <w:lang w:eastAsia="de-DE"/>
        </w:rPr>
        <w:t>.</w:t>
      </w:r>
      <w:proofErr w:type="gramEnd"/>
      <w:r w:rsidRPr="00722A47">
        <w:rPr>
          <w:rFonts w:ascii="Times New Roman" w:eastAsia="Times New Roman" w:hAnsi="Times New Roman" w:cs="Tahoma"/>
          <w:sz w:val="16"/>
          <w:szCs w:val="16"/>
          <w:lang w:eastAsia="de-DE"/>
        </w:rPr>
        <w:t xml:space="preserve">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120 µg/l, Vanadium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230 µg/l, PAK</w:t>
      </w:r>
      <w:r w:rsidRPr="00722A47">
        <w:rPr>
          <w:rFonts w:ascii="Times New Roman" w:eastAsia="Times New Roman" w:hAnsi="Times New Roman" w:cs="Tahoma"/>
          <w:b/>
          <w:sz w:val="16"/>
          <w:szCs w:val="16"/>
          <w:vertAlign w:val="subscript"/>
          <w:lang w:eastAsia="de-DE"/>
        </w:rPr>
        <w:t xml:space="preserve">15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2,3 µg/l, Chlorphenole, ges.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12 µg/l und Phenole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90 µg/l.</w:t>
      </w:r>
    </w:p>
    <w:p w14:paraId="2D9F3CA2" w14:textId="77777777" w:rsidR="00722A47" w:rsidRPr="00722A47" w:rsidRDefault="00722A47" w:rsidP="00722A47">
      <w:pPr>
        <w:spacing w:before="0" w:after="0"/>
        <w:ind w:left="227" w:hanging="227"/>
        <w:jc w:val="left"/>
        <w:rPr>
          <w:rFonts w:ascii="Times New Roman" w:eastAsia="Times New Roman" w:hAnsi="Times New Roman" w:cs="Tahoma"/>
          <w:sz w:val="16"/>
          <w:szCs w:val="16"/>
          <w:lang w:eastAsia="de-DE"/>
        </w:rPr>
      </w:pPr>
      <w:r w:rsidRPr="00722A47">
        <w:rPr>
          <w:rFonts w:ascii="Times New Roman" w:eastAsia="Times New Roman" w:hAnsi="Times New Roman" w:cs="Tahoma"/>
          <w:sz w:val="16"/>
          <w:szCs w:val="16"/>
          <w:lang w:eastAsia="de-DE"/>
        </w:rPr>
        <w:t xml:space="preserve">2) Zulässig, wenn Arsen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45 µg/l, Blei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195 µg/l, Cadmium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4,8 µg/l, Nickel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50 µg/l, Vanadium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120 µg/l und Zink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270 µg/l.</w:t>
      </w:r>
    </w:p>
    <w:p w14:paraId="1D51E686" w14:textId="27A72B3F" w:rsidR="00722A47" w:rsidRPr="008D0377" w:rsidRDefault="00722A47" w:rsidP="00722A47">
      <w:pPr>
        <w:pStyle w:val="berschrift1"/>
      </w:pPr>
      <w:r>
        <w:rPr>
          <w:rFonts w:ascii="Calibri" w:eastAsia="Calibri" w:hAnsi="Calibri" w:cs="Times New Roman"/>
          <w:sz w:val="24"/>
          <w:szCs w:val="20"/>
          <w:lang w:eastAsia="de-DE"/>
        </w:rPr>
        <w:br w:type="page"/>
      </w:r>
      <w:r w:rsidRPr="008D0377">
        <w:lastRenderedPageBreak/>
        <w:t xml:space="preserve"> Tabelle 4: Bodenmaterial der Klasse F3 (BM-F3), Baggergut der Klasse F3 (BG-F3)</w:t>
      </w:r>
    </w:p>
    <w:p w14:paraId="6A056E6E" w14:textId="77777777" w:rsidR="00722A47" w:rsidRPr="00722A47" w:rsidRDefault="00722A47" w:rsidP="00722A47">
      <w:pPr>
        <w:pStyle w:val="Text"/>
      </w:pPr>
    </w:p>
    <w:tbl>
      <w:tblPr>
        <w:tblW w:w="11214" w:type="dxa"/>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
        <w:gridCol w:w="4284"/>
        <w:gridCol w:w="865"/>
        <w:gridCol w:w="675"/>
        <w:gridCol w:w="1205"/>
        <w:gridCol w:w="607"/>
        <w:gridCol w:w="715"/>
        <w:gridCol w:w="508"/>
        <w:gridCol w:w="715"/>
        <w:gridCol w:w="551"/>
        <w:gridCol w:w="715"/>
      </w:tblGrid>
      <w:tr w:rsidR="00722A47" w:rsidRPr="00722A47" w14:paraId="2596BEDB" w14:textId="77777777" w:rsidTr="004954C9">
        <w:trPr>
          <w:trHeight w:val="330"/>
        </w:trPr>
        <w:tc>
          <w:tcPr>
            <w:tcW w:w="11214" w:type="dxa"/>
            <w:gridSpan w:val="11"/>
            <w:noWrap/>
            <w:vAlign w:val="bottom"/>
          </w:tcPr>
          <w:p w14:paraId="6D6A644D" w14:textId="77777777" w:rsidR="00722A47" w:rsidRPr="00722A47" w:rsidRDefault="00722A47" w:rsidP="00722A47">
            <w:pPr>
              <w:spacing w:before="0" w:after="0"/>
              <w:jc w:val="center"/>
              <w:rPr>
                <w:rFonts w:ascii="Times New Roman" w:eastAsia="Times New Roman" w:hAnsi="Times New Roman" w:cs="Times New Roman"/>
                <w:b/>
                <w:bCs/>
                <w:sz w:val="24"/>
                <w:szCs w:val="24"/>
                <w:lang w:eastAsia="de-DE"/>
              </w:rPr>
            </w:pPr>
            <w:r w:rsidRPr="00722A47">
              <w:rPr>
                <w:rFonts w:ascii="Times New Roman" w:eastAsia="Times New Roman" w:hAnsi="Times New Roman" w:cs="Times New Roman"/>
                <w:b/>
                <w:sz w:val="24"/>
                <w:szCs w:val="20"/>
                <w:lang w:eastAsia="de-DE"/>
              </w:rPr>
              <w:br w:type="page"/>
            </w:r>
            <w:r w:rsidRPr="00722A47">
              <w:rPr>
                <w:rFonts w:ascii="Times New Roman" w:eastAsia="Times New Roman" w:hAnsi="Times New Roman" w:cs="Times New Roman"/>
                <w:b/>
                <w:sz w:val="24"/>
                <w:szCs w:val="24"/>
                <w:lang w:eastAsia="de-DE"/>
              </w:rPr>
              <w:t>Bodenmaterial der Klasse F3 (</w:t>
            </w:r>
            <w:r w:rsidRPr="00722A47">
              <w:rPr>
                <w:rFonts w:ascii="Times New Roman" w:eastAsia="Times New Roman" w:hAnsi="Times New Roman" w:cs="Tahoma"/>
                <w:b/>
                <w:bCs/>
                <w:sz w:val="24"/>
                <w:szCs w:val="24"/>
                <w:lang w:eastAsia="de-DE"/>
              </w:rPr>
              <w:t>BM-F3), Baggergut der Klasse F3 (BG-F3)</w:t>
            </w:r>
          </w:p>
        </w:tc>
      </w:tr>
      <w:tr w:rsidR="00722A47" w:rsidRPr="00722A47" w14:paraId="36752F9D" w14:textId="77777777" w:rsidTr="004954C9">
        <w:trPr>
          <w:trHeight w:val="20"/>
        </w:trPr>
        <w:tc>
          <w:tcPr>
            <w:tcW w:w="4762" w:type="dxa"/>
            <w:gridSpan w:val="2"/>
            <w:vMerge w:val="restart"/>
            <w:shd w:val="clear" w:color="auto" w:fill="auto"/>
            <w:noWrap/>
          </w:tcPr>
          <w:p w14:paraId="2324AC28"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Einbauweise</w:t>
            </w:r>
          </w:p>
        </w:tc>
        <w:tc>
          <w:tcPr>
            <w:tcW w:w="6452" w:type="dxa"/>
            <w:gridSpan w:val="9"/>
            <w:shd w:val="clear" w:color="auto" w:fill="auto"/>
            <w:noWrap/>
            <w:vAlign w:val="center"/>
          </w:tcPr>
          <w:p w14:paraId="50ED30C7"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Eigenschaft der Grundwasserdeckschicht</w:t>
            </w:r>
          </w:p>
        </w:tc>
      </w:tr>
      <w:tr w:rsidR="00722A47" w:rsidRPr="00722A47" w14:paraId="5ADB8FB9" w14:textId="77777777" w:rsidTr="004954C9">
        <w:trPr>
          <w:trHeight w:val="20"/>
        </w:trPr>
        <w:tc>
          <w:tcPr>
            <w:tcW w:w="4762" w:type="dxa"/>
            <w:gridSpan w:val="2"/>
            <w:vMerge/>
            <w:shd w:val="clear" w:color="auto" w:fill="auto"/>
            <w:noWrap/>
            <w:vAlign w:val="center"/>
          </w:tcPr>
          <w:p w14:paraId="48B07466" w14:textId="77777777" w:rsidR="00722A47" w:rsidRPr="00722A47" w:rsidRDefault="00722A47" w:rsidP="00722A47">
            <w:pPr>
              <w:spacing w:before="0" w:after="0"/>
              <w:jc w:val="center"/>
              <w:rPr>
                <w:rFonts w:ascii="Times New Roman" w:eastAsia="Times New Roman" w:hAnsi="Times New Roman" w:cs="Times New Roman"/>
                <w:sz w:val="20"/>
                <w:szCs w:val="24"/>
                <w:lang w:eastAsia="de-DE"/>
              </w:rPr>
            </w:pPr>
          </w:p>
        </w:tc>
        <w:tc>
          <w:tcPr>
            <w:tcW w:w="2745" w:type="dxa"/>
            <w:gridSpan w:val="3"/>
            <w:shd w:val="clear" w:color="auto" w:fill="auto"/>
            <w:noWrap/>
            <w:vAlign w:val="center"/>
          </w:tcPr>
          <w:p w14:paraId="346E4925"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außerhalb von</w:t>
            </w:r>
          </w:p>
          <w:p w14:paraId="05F8CCFD"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c>
          <w:tcPr>
            <w:tcW w:w="3707" w:type="dxa"/>
            <w:gridSpan w:val="6"/>
            <w:shd w:val="clear" w:color="auto" w:fill="auto"/>
            <w:noWrap/>
            <w:vAlign w:val="center"/>
          </w:tcPr>
          <w:p w14:paraId="34DCB065"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innerhalb von</w:t>
            </w:r>
          </w:p>
          <w:p w14:paraId="1167EC29"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r>
      <w:tr w:rsidR="00722A47" w:rsidRPr="00722A47" w14:paraId="2A67E0C2" w14:textId="77777777" w:rsidTr="004954C9">
        <w:trPr>
          <w:trHeight w:val="20"/>
        </w:trPr>
        <w:tc>
          <w:tcPr>
            <w:tcW w:w="4762" w:type="dxa"/>
            <w:gridSpan w:val="2"/>
            <w:vMerge/>
            <w:shd w:val="clear" w:color="auto" w:fill="auto"/>
            <w:noWrap/>
            <w:vAlign w:val="center"/>
          </w:tcPr>
          <w:p w14:paraId="34259A3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2199893F"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proofErr w:type="spellStart"/>
            <w:r w:rsidRPr="00722A47">
              <w:rPr>
                <w:rFonts w:ascii="Times New Roman" w:eastAsia="Times New Roman" w:hAnsi="Times New Roman" w:cs="Times New Roman"/>
                <w:sz w:val="20"/>
                <w:szCs w:val="20"/>
                <w:lang w:eastAsia="de-DE"/>
              </w:rPr>
              <w:t>un</w:t>
            </w:r>
            <w:proofErr w:type="spellEnd"/>
            <w:r w:rsidRPr="00722A47">
              <w:rPr>
                <w:rFonts w:ascii="Times New Roman" w:eastAsia="Times New Roman" w:hAnsi="Times New Roman" w:cs="Times New Roman"/>
                <w:sz w:val="20"/>
                <w:szCs w:val="20"/>
                <w:lang w:eastAsia="de-DE"/>
              </w:rPr>
              <w:t>-günstig</w:t>
            </w:r>
          </w:p>
        </w:tc>
        <w:tc>
          <w:tcPr>
            <w:tcW w:w="1880" w:type="dxa"/>
            <w:gridSpan w:val="2"/>
            <w:shd w:val="clear" w:color="auto" w:fill="auto"/>
            <w:noWrap/>
            <w:vAlign w:val="center"/>
          </w:tcPr>
          <w:p w14:paraId="1A32ECE3"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c>
          <w:tcPr>
            <w:tcW w:w="3707" w:type="dxa"/>
            <w:gridSpan w:val="6"/>
            <w:shd w:val="clear" w:color="auto" w:fill="auto"/>
            <w:noWrap/>
            <w:vAlign w:val="center"/>
          </w:tcPr>
          <w:p w14:paraId="2EB68061"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r>
      <w:tr w:rsidR="00722A47" w:rsidRPr="00722A47" w14:paraId="5492FCB2" w14:textId="77777777" w:rsidTr="004954C9">
        <w:trPr>
          <w:trHeight w:val="20"/>
        </w:trPr>
        <w:tc>
          <w:tcPr>
            <w:tcW w:w="4762" w:type="dxa"/>
            <w:gridSpan w:val="2"/>
            <w:vMerge/>
            <w:shd w:val="clear" w:color="auto" w:fill="auto"/>
            <w:noWrap/>
            <w:vAlign w:val="center"/>
          </w:tcPr>
          <w:p w14:paraId="6E262BF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val="restart"/>
            <w:shd w:val="clear" w:color="auto" w:fill="auto"/>
            <w:noWrap/>
            <w:vAlign w:val="bottom"/>
          </w:tcPr>
          <w:p w14:paraId="4970C8F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val="restart"/>
            <w:shd w:val="clear" w:color="auto" w:fill="auto"/>
            <w:noWrap/>
            <w:vAlign w:val="center"/>
          </w:tcPr>
          <w:p w14:paraId="06DA94D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1205" w:type="dxa"/>
            <w:vMerge w:val="restart"/>
            <w:shd w:val="clear" w:color="auto" w:fill="auto"/>
            <w:noWrap/>
            <w:vAlign w:val="center"/>
          </w:tcPr>
          <w:p w14:paraId="0A8D6955" w14:textId="23557F19"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6E0E9833" w14:textId="21F9B781"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40F1D0D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1286" w:type="dxa"/>
            <w:gridSpan w:val="2"/>
            <w:shd w:val="clear" w:color="auto" w:fill="auto"/>
            <w:noWrap/>
            <w:vAlign w:val="center"/>
          </w:tcPr>
          <w:p w14:paraId="17E4B82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A</w:t>
            </w:r>
          </w:p>
        </w:tc>
        <w:tc>
          <w:tcPr>
            <w:tcW w:w="1189" w:type="dxa"/>
            <w:gridSpan w:val="2"/>
            <w:shd w:val="clear" w:color="auto" w:fill="auto"/>
            <w:noWrap/>
            <w:vAlign w:val="center"/>
          </w:tcPr>
          <w:p w14:paraId="3C7A261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B</w:t>
            </w:r>
          </w:p>
        </w:tc>
        <w:tc>
          <w:tcPr>
            <w:tcW w:w="1232" w:type="dxa"/>
            <w:gridSpan w:val="2"/>
            <w:shd w:val="clear" w:color="auto" w:fill="auto"/>
            <w:noWrap/>
            <w:vAlign w:val="center"/>
          </w:tcPr>
          <w:p w14:paraId="3513D30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Wasservor-</w:t>
            </w:r>
          </w:p>
        </w:tc>
      </w:tr>
      <w:tr w:rsidR="00722A47" w:rsidRPr="00722A47" w14:paraId="1CEAFFE3" w14:textId="77777777" w:rsidTr="004954C9">
        <w:trPr>
          <w:trHeight w:val="80"/>
        </w:trPr>
        <w:tc>
          <w:tcPr>
            <w:tcW w:w="4762" w:type="dxa"/>
            <w:gridSpan w:val="2"/>
            <w:vMerge/>
            <w:shd w:val="clear" w:color="auto" w:fill="auto"/>
            <w:noWrap/>
            <w:vAlign w:val="center"/>
          </w:tcPr>
          <w:p w14:paraId="25F5140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460D2DF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02A896F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18B4A42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86" w:type="dxa"/>
            <w:gridSpan w:val="2"/>
            <w:shd w:val="clear" w:color="auto" w:fill="auto"/>
            <w:noWrap/>
            <w:vAlign w:val="center"/>
          </w:tcPr>
          <w:p w14:paraId="650B246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III</w:t>
            </w:r>
          </w:p>
        </w:tc>
        <w:tc>
          <w:tcPr>
            <w:tcW w:w="1189" w:type="dxa"/>
            <w:gridSpan w:val="2"/>
            <w:shd w:val="clear" w:color="auto" w:fill="auto"/>
            <w:noWrap/>
            <w:vAlign w:val="center"/>
          </w:tcPr>
          <w:p w14:paraId="7780238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IV</w:t>
            </w:r>
          </w:p>
        </w:tc>
        <w:tc>
          <w:tcPr>
            <w:tcW w:w="1232" w:type="dxa"/>
            <w:gridSpan w:val="2"/>
            <w:shd w:val="clear" w:color="auto" w:fill="auto"/>
            <w:noWrap/>
            <w:vAlign w:val="center"/>
          </w:tcPr>
          <w:p w14:paraId="09E1223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ranggebiete</w:t>
            </w:r>
          </w:p>
        </w:tc>
      </w:tr>
      <w:tr w:rsidR="00722A47" w:rsidRPr="00722A47" w14:paraId="4E8777CB" w14:textId="77777777" w:rsidTr="004954C9">
        <w:trPr>
          <w:trHeight w:val="80"/>
        </w:trPr>
        <w:tc>
          <w:tcPr>
            <w:tcW w:w="4762" w:type="dxa"/>
            <w:gridSpan w:val="2"/>
            <w:vMerge/>
            <w:shd w:val="clear" w:color="auto" w:fill="auto"/>
            <w:noWrap/>
            <w:vAlign w:val="center"/>
          </w:tcPr>
          <w:p w14:paraId="7E6761C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5F1E357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24F5853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7A04ACA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07" w:type="dxa"/>
            <w:shd w:val="clear" w:color="auto" w:fill="auto"/>
            <w:noWrap/>
            <w:vAlign w:val="center"/>
          </w:tcPr>
          <w:p w14:paraId="205F7CE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79" w:type="dxa"/>
            <w:shd w:val="clear" w:color="auto" w:fill="auto"/>
            <w:vAlign w:val="center"/>
          </w:tcPr>
          <w:p w14:paraId="0A483AE3" w14:textId="0401860A"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1007BF14" w14:textId="497FED9F"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143A26F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08" w:type="dxa"/>
            <w:shd w:val="clear" w:color="auto" w:fill="auto"/>
            <w:noWrap/>
            <w:vAlign w:val="center"/>
          </w:tcPr>
          <w:p w14:paraId="15F60DF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1B8207E9" w14:textId="4BCBCB3F"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667626F2" w14:textId="64410B99"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5DC0FFA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51" w:type="dxa"/>
            <w:shd w:val="clear" w:color="auto" w:fill="auto"/>
            <w:noWrap/>
            <w:vAlign w:val="center"/>
          </w:tcPr>
          <w:p w14:paraId="501DBA6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1F842B54" w14:textId="2E66D303"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2C7EF44F" w14:textId="39B9D92E"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1D6F366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r>
      <w:tr w:rsidR="00722A47" w:rsidRPr="00722A47" w14:paraId="1BF374F2" w14:textId="77777777" w:rsidTr="004954C9">
        <w:trPr>
          <w:trHeight w:val="111"/>
        </w:trPr>
        <w:tc>
          <w:tcPr>
            <w:tcW w:w="4762" w:type="dxa"/>
            <w:gridSpan w:val="2"/>
            <w:vMerge/>
            <w:shd w:val="clear" w:color="auto" w:fill="auto"/>
            <w:noWrap/>
            <w:vAlign w:val="center"/>
          </w:tcPr>
          <w:p w14:paraId="3E0B872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5B4DC0C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1</w:t>
            </w:r>
          </w:p>
        </w:tc>
        <w:tc>
          <w:tcPr>
            <w:tcW w:w="675" w:type="dxa"/>
            <w:shd w:val="clear" w:color="auto" w:fill="auto"/>
            <w:noWrap/>
            <w:vAlign w:val="center"/>
          </w:tcPr>
          <w:p w14:paraId="50E9A70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2</w:t>
            </w:r>
          </w:p>
        </w:tc>
        <w:tc>
          <w:tcPr>
            <w:tcW w:w="1205" w:type="dxa"/>
            <w:shd w:val="clear" w:color="auto" w:fill="auto"/>
            <w:noWrap/>
            <w:vAlign w:val="center"/>
          </w:tcPr>
          <w:p w14:paraId="2EB9806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3</w:t>
            </w:r>
          </w:p>
        </w:tc>
        <w:tc>
          <w:tcPr>
            <w:tcW w:w="1286" w:type="dxa"/>
            <w:gridSpan w:val="2"/>
            <w:shd w:val="clear" w:color="auto" w:fill="auto"/>
            <w:noWrap/>
            <w:vAlign w:val="center"/>
          </w:tcPr>
          <w:p w14:paraId="1D7EABA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4</w:t>
            </w:r>
          </w:p>
        </w:tc>
        <w:tc>
          <w:tcPr>
            <w:tcW w:w="1189" w:type="dxa"/>
            <w:gridSpan w:val="2"/>
            <w:shd w:val="clear" w:color="auto" w:fill="auto"/>
            <w:noWrap/>
            <w:vAlign w:val="center"/>
          </w:tcPr>
          <w:p w14:paraId="1F8B27A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5</w:t>
            </w:r>
          </w:p>
        </w:tc>
        <w:tc>
          <w:tcPr>
            <w:tcW w:w="1232" w:type="dxa"/>
            <w:gridSpan w:val="2"/>
            <w:shd w:val="clear" w:color="auto" w:fill="auto"/>
            <w:noWrap/>
            <w:vAlign w:val="center"/>
          </w:tcPr>
          <w:p w14:paraId="387C847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6</w:t>
            </w:r>
          </w:p>
        </w:tc>
      </w:tr>
      <w:tr w:rsidR="00722A47" w:rsidRPr="00722A47" w14:paraId="03E198E3" w14:textId="77777777" w:rsidTr="004954C9">
        <w:trPr>
          <w:trHeight w:val="20"/>
        </w:trPr>
        <w:tc>
          <w:tcPr>
            <w:tcW w:w="478" w:type="dxa"/>
            <w:noWrap/>
          </w:tcPr>
          <w:p w14:paraId="65DA30F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w:t>
            </w:r>
          </w:p>
        </w:tc>
        <w:tc>
          <w:tcPr>
            <w:tcW w:w="4284" w:type="dxa"/>
          </w:tcPr>
          <w:p w14:paraId="7E9577C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Schotteroberbau der Bahnbauweise Standard Damm </w:t>
            </w:r>
          </w:p>
        </w:tc>
        <w:tc>
          <w:tcPr>
            <w:tcW w:w="865" w:type="dxa"/>
            <w:noWrap/>
            <w:vAlign w:val="center"/>
          </w:tcPr>
          <w:p w14:paraId="472002E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21C1F0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BDF117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37AE6F8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9F971C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318E89B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444590E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3BD42DC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55ED18E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225F8B11" w14:textId="77777777" w:rsidTr="004954C9">
        <w:trPr>
          <w:trHeight w:val="20"/>
        </w:trPr>
        <w:tc>
          <w:tcPr>
            <w:tcW w:w="478" w:type="dxa"/>
            <w:noWrap/>
          </w:tcPr>
          <w:p w14:paraId="00B2E1B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w:t>
            </w:r>
          </w:p>
        </w:tc>
        <w:tc>
          <w:tcPr>
            <w:tcW w:w="4284" w:type="dxa"/>
          </w:tcPr>
          <w:p w14:paraId="69899AC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Standard Einschnitt</w:t>
            </w:r>
          </w:p>
        </w:tc>
        <w:tc>
          <w:tcPr>
            <w:tcW w:w="865" w:type="dxa"/>
            <w:noWrap/>
            <w:vAlign w:val="center"/>
          </w:tcPr>
          <w:p w14:paraId="5F0446D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21FB83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5EC1D8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5E36B42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73AA987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2A79B3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2FB722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23578A9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06D0B8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56943F80" w14:textId="77777777" w:rsidTr="004954C9">
        <w:trPr>
          <w:trHeight w:val="20"/>
        </w:trPr>
        <w:tc>
          <w:tcPr>
            <w:tcW w:w="478" w:type="dxa"/>
            <w:noWrap/>
          </w:tcPr>
          <w:p w14:paraId="4666C2F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B3</w:t>
            </w:r>
          </w:p>
        </w:tc>
        <w:tc>
          <w:tcPr>
            <w:tcW w:w="4284" w:type="dxa"/>
          </w:tcPr>
          <w:p w14:paraId="6F5396D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w:t>
            </w:r>
          </w:p>
        </w:tc>
        <w:tc>
          <w:tcPr>
            <w:tcW w:w="865" w:type="dxa"/>
            <w:noWrap/>
            <w:vAlign w:val="center"/>
          </w:tcPr>
          <w:p w14:paraId="74CE86A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21098B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1BED16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50738BF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7BCC999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32DAF3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AA7BE0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5030EAE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FB179A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7772A4A" w14:textId="77777777" w:rsidTr="004954C9">
        <w:trPr>
          <w:trHeight w:val="20"/>
        </w:trPr>
        <w:tc>
          <w:tcPr>
            <w:tcW w:w="478" w:type="dxa"/>
            <w:noWrap/>
          </w:tcPr>
          <w:p w14:paraId="1054F0E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B4</w:t>
            </w:r>
          </w:p>
        </w:tc>
        <w:tc>
          <w:tcPr>
            <w:tcW w:w="4284" w:type="dxa"/>
          </w:tcPr>
          <w:p w14:paraId="25A9F0B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 modifiziert</w:t>
            </w:r>
          </w:p>
        </w:tc>
        <w:tc>
          <w:tcPr>
            <w:tcW w:w="865" w:type="dxa"/>
            <w:noWrap/>
            <w:vAlign w:val="center"/>
          </w:tcPr>
          <w:p w14:paraId="03842B1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075FB4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936B30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527F0FA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6F874AA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34471D1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732E48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6675D03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50C2425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641D3A28" w14:textId="77777777" w:rsidTr="004954C9">
        <w:trPr>
          <w:trHeight w:val="20"/>
        </w:trPr>
        <w:tc>
          <w:tcPr>
            <w:tcW w:w="478" w:type="dxa"/>
            <w:noWrap/>
          </w:tcPr>
          <w:p w14:paraId="419E454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B5</w:t>
            </w:r>
          </w:p>
        </w:tc>
        <w:tc>
          <w:tcPr>
            <w:tcW w:w="4284" w:type="dxa"/>
          </w:tcPr>
          <w:p w14:paraId="6FD594C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6FBA8A0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Bahnbauweise Standard Damm </w:t>
            </w:r>
          </w:p>
        </w:tc>
        <w:tc>
          <w:tcPr>
            <w:tcW w:w="865" w:type="dxa"/>
            <w:noWrap/>
            <w:vAlign w:val="center"/>
          </w:tcPr>
          <w:p w14:paraId="624D739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057AA3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E28E0D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11462CB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C2E1A1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FAB7AE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09709F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0D665A5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2AA3AC7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60B23BC5" w14:textId="77777777" w:rsidTr="004954C9">
        <w:trPr>
          <w:trHeight w:val="20"/>
        </w:trPr>
        <w:tc>
          <w:tcPr>
            <w:tcW w:w="478" w:type="dxa"/>
            <w:noWrap/>
          </w:tcPr>
          <w:p w14:paraId="504D0F4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B6</w:t>
            </w:r>
          </w:p>
        </w:tc>
        <w:tc>
          <w:tcPr>
            <w:tcW w:w="4284" w:type="dxa"/>
          </w:tcPr>
          <w:p w14:paraId="3751306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40BBA09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Standard Einschnitt</w:t>
            </w:r>
          </w:p>
        </w:tc>
        <w:tc>
          <w:tcPr>
            <w:tcW w:w="865" w:type="dxa"/>
            <w:noWrap/>
            <w:vAlign w:val="center"/>
          </w:tcPr>
          <w:p w14:paraId="790B7B6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88AA02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92F8BD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001427A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042BB4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3B17DC8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D73011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5FFD294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0E25F19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2DE688D8" w14:textId="77777777" w:rsidTr="004954C9">
        <w:trPr>
          <w:trHeight w:val="20"/>
        </w:trPr>
        <w:tc>
          <w:tcPr>
            <w:tcW w:w="478" w:type="dxa"/>
            <w:noWrap/>
          </w:tcPr>
          <w:p w14:paraId="30ABCF7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B7</w:t>
            </w:r>
          </w:p>
        </w:tc>
        <w:tc>
          <w:tcPr>
            <w:tcW w:w="4284" w:type="dxa"/>
          </w:tcPr>
          <w:p w14:paraId="4A427BA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738E2EF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30ADE67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A6F70E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shd w:val="clear" w:color="auto" w:fill="auto"/>
            <w:noWrap/>
            <w:vAlign w:val="center"/>
          </w:tcPr>
          <w:p w14:paraId="404BD3B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3806065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5A2E494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3CBD93B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4FD991E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68C009E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2A482CA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1F9B285" w14:textId="77777777" w:rsidTr="004954C9">
        <w:trPr>
          <w:trHeight w:val="20"/>
        </w:trPr>
        <w:tc>
          <w:tcPr>
            <w:tcW w:w="478" w:type="dxa"/>
            <w:noWrap/>
          </w:tcPr>
          <w:p w14:paraId="001C8F7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B8</w:t>
            </w:r>
          </w:p>
        </w:tc>
        <w:tc>
          <w:tcPr>
            <w:tcW w:w="4284" w:type="dxa"/>
          </w:tcPr>
          <w:p w14:paraId="62B8057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48B6AC8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2304A5E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45D955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1205" w:type="dxa"/>
            <w:shd w:val="clear" w:color="auto" w:fill="auto"/>
            <w:noWrap/>
            <w:vAlign w:val="center"/>
          </w:tcPr>
          <w:p w14:paraId="1536FF3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79E9242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001C400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508" w:type="dxa"/>
            <w:shd w:val="clear" w:color="auto" w:fill="auto"/>
            <w:noWrap/>
            <w:vAlign w:val="center"/>
          </w:tcPr>
          <w:p w14:paraId="56D173B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C50C9D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551" w:type="dxa"/>
            <w:shd w:val="clear" w:color="auto" w:fill="auto"/>
            <w:noWrap/>
            <w:vAlign w:val="center"/>
          </w:tcPr>
          <w:p w14:paraId="025AF76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auto"/>
            <w:vAlign w:val="center"/>
          </w:tcPr>
          <w:p w14:paraId="76D0C3F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2681477F" w14:textId="77777777" w:rsidTr="004954C9">
        <w:trPr>
          <w:trHeight w:val="20"/>
        </w:trPr>
        <w:tc>
          <w:tcPr>
            <w:tcW w:w="478" w:type="dxa"/>
            <w:noWrap/>
          </w:tcPr>
          <w:p w14:paraId="23426B1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B9</w:t>
            </w:r>
          </w:p>
        </w:tc>
        <w:tc>
          <w:tcPr>
            <w:tcW w:w="4284" w:type="dxa"/>
          </w:tcPr>
          <w:p w14:paraId="4614065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0944D49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309B435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F7284A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1205" w:type="dxa"/>
            <w:shd w:val="clear" w:color="auto" w:fill="auto"/>
            <w:noWrap/>
            <w:vAlign w:val="center"/>
          </w:tcPr>
          <w:p w14:paraId="775872D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173A1FA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2BDC63F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508" w:type="dxa"/>
            <w:shd w:val="clear" w:color="auto" w:fill="auto"/>
            <w:noWrap/>
            <w:vAlign w:val="center"/>
          </w:tcPr>
          <w:p w14:paraId="40F4CE7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AA1276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551" w:type="dxa"/>
            <w:shd w:val="clear" w:color="auto" w:fill="auto"/>
            <w:noWrap/>
            <w:vAlign w:val="center"/>
          </w:tcPr>
          <w:p w14:paraId="6371B6D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auto"/>
            <w:vAlign w:val="center"/>
          </w:tcPr>
          <w:p w14:paraId="1C8146A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21C14F96" w14:textId="77777777" w:rsidTr="004954C9">
        <w:trPr>
          <w:trHeight w:val="20"/>
        </w:trPr>
        <w:tc>
          <w:tcPr>
            <w:tcW w:w="478" w:type="dxa"/>
            <w:noWrap/>
          </w:tcPr>
          <w:p w14:paraId="48A0952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B10</w:t>
            </w:r>
          </w:p>
        </w:tc>
        <w:tc>
          <w:tcPr>
            <w:tcW w:w="4284" w:type="dxa"/>
          </w:tcPr>
          <w:p w14:paraId="5386AD9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70BF65E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79B64C0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18E959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shd w:val="clear" w:color="auto" w:fill="auto"/>
            <w:noWrap/>
            <w:vAlign w:val="center"/>
          </w:tcPr>
          <w:p w14:paraId="360E540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5EBA0F3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22E5C0A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631D08E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BEA98B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21F2BEA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88858B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6C84E314" w14:textId="77777777" w:rsidTr="004954C9">
        <w:trPr>
          <w:trHeight w:val="20"/>
        </w:trPr>
        <w:tc>
          <w:tcPr>
            <w:tcW w:w="478" w:type="dxa"/>
            <w:noWrap/>
          </w:tcPr>
          <w:p w14:paraId="1016E9F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B11</w:t>
            </w:r>
          </w:p>
        </w:tc>
        <w:tc>
          <w:tcPr>
            <w:tcW w:w="4284" w:type="dxa"/>
          </w:tcPr>
          <w:p w14:paraId="5A1A4C3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Spezielle Bodenschicht der Bahnbauweise H</w:t>
            </w:r>
          </w:p>
        </w:tc>
        <w:tc>
          <w:tcPr>
            <w:tcW w:w="865" w:type="dxa"/>
            <w:noWrap/>
            <w:vAlign w:val="center"/>
          </w:tcPr>
          <w:p w14:paraId="3DEBEA7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E8EF8C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shd w:val="clear" w:color="auto" w:fill="auto"/>
            <w:noWrap/>
            <w:vAlign w:val="center"/>
          </w:tcPr>
          <w:p w14:paraId="6DEAB57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603FB75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076A932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1E9BF84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0900BE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1125E73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624600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50B3570" w14:textId="77777777" w:rsidTr="004954C9">
        <w:trPr>
          <w:trHeight w:val="20"/>
        </w:trPr>
        <w:tc>
          <w:tcPr>
            <w:tcW w:w="478" w:type="dxa"/>
            <w:noWrap/>
          </w:tcPr>
          <w:p w14:paraId="41085DE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B12</w:t>
            </w:r>
          </w:p>
        </w:tc>
        <w:tc>
          <w:tcPr>
            <w:tcW w:w="4284" w:type="dxa"/>
          </w:tcPr>
          <w:p w14:paraId="7906D5C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16435CD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Standard Damm </w:t>
            </w:r>
          </w:p>
        </w:tc>
        <w:tc>
          <w:tcPr>
            <w:tcW w:w="865" w:type="dxa"/>
            <w:noWrap/>
            <w:vAlign w:val="center"/>
          </w:tcPr>
          <w:p w14:paraId="314CF37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0256D9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shd w:val="clear" w:color="auto" w:fill="auto"/>
            <w:noWrap/>
            <w:vAlign w:val="center"/>
          </w:tcPr>
          <w:p w14:paraId="66E9B3E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2EA8CAB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1C74AD3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4326B4D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EF427A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37A1BDB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2F8922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37283095" w14:textId="77777777" w:rsidTr="004954C9">
        <w:trPr>
          <w:trHeight w:val="20"/>
        </w:trPr>
        <w:tc>
          <w:tcPr>
            <w:tcW w:w="478" w:type="dxa"/>
            <w:noWrap/>
          </w:tcPr>
          <w:p w14:paraId="3A0DD2A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B13</w:t>
            </w:r>
          </w:p>
        </w:tc>
        <w:tc>
          <w:tcPr>
            <w:tcW w:w="4284" w:type="dxa"/>
          </w:tcPr>
          <w:p w14:paraId="3F57C0D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248CCB7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Standard Einschnitt</w:t>
            </w:r>
          </w:p>
        </w:tc>
        <w:tc>
          <w:tcPr>
            <w:tcW w:w="865" w:type="dxa"/>
            <w:noWrap/>
            <w:vAlign w:val="center"/>
          </w:tcPr>
          <w:p w14:paraId="4866A79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53916E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shd w:val="clear" w:color="auto" w:fill="auto"/>
            <w:noWrap/>
            <w:vAlign w:val="center"/>
          </w:tcPr>
          <w:p w14:paraId="1A2FEF0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3BF20DA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500384C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3209CBD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CDCDEA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005587D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C48927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503D8A9A" w14:textId="77777777" w:rsidTr="004954C9">
        <w:trPr>
          <w:trHeight w:val="20"/>
        </w:trPr>
        <w:tc>
          <w:tcPr>
            <w:tcW w:w="478" w:type="dxa"/>
            <w:noWrap/>
          </w:tcPr>
          <w:p w14:paraId="1BDC995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B14</w:t>
            </w:r>
          </w:p>
        </w:tc>
        <w:tc>
          <w:tcPr>
            <w:tcW w:w="4284" w:type="dxa"/>
          </w:tcPr>
          <w:p w14:paraId="78F2CCC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H</w:t>
            </w:r>
          </w:p>
        </w:tc>
        <w:tc>
          <w:tcPr>
            <w:tcW w:w="865" w:type="dxa"/>
            <w:noWrap/>
            <w:vAlign w:val="center"/>
          </w:tcPr>
          <w:p w14:paraId="15A7076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3D2A4F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1205" w:type="dxa"/>
            <w:shd w:val="clear" w:color="auto" w:fill="auto"/>
            <w:noWrap/>
            <w:vAlign w:val="center"/>
          </w:tcPr>
          <w:p w14:paraId="030EC52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68AE894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0AD5BC1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08" w:type="dxa"/>
            <w:shd w:val="clear" w:color="auto" w:fill="auto"/>
            <w:noWrap/>
            <w:vAlign w:val="center"/>
          </w:tcPr>
          <w:p w14:paraId="449DB7E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1A4712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51" w:type="dxa"/>
            <w:shd w:val="clear" w:color="auto" w:fill="auto"/>
            <w:noWrap/>
            <w:vAlign w:val="center"/>
          </w:tcPr>
          <w:p w14:paraId="4C94EDE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81" w:type="dxa"/>
            <w:shd w:val="clear" w:color="auto" w:fill="auto"/>
            <w:vAlign w:val="center"/>
          </w:tcPr>
          <w:p w14:paraId="0876CA5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0D20663E" w14:textId="77777777" w:rsidTr="004954C9">
        <w:trPr>
          <w:trHeight w:val="20"/>
        </w:trPr>
        <w:tc>
          <w:tcPr>
            <w:tcW w:w="478" w:type="dxa"/>
            <w:noWrap/>
          </w:tcPr>
          <w:p w14:paraId="63FB20B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B15</w:t>
            </w:r>
          </w:p>
        </w:tc>
        <w:tc>
          <w:tcPr>
            <w:tcW w:w="4284" w:type="dxa"/>
          </w:tcPr>
          <w:p w14:paraId="3423067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3EBBD1F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H modifiziert</w:t>
            </w:r>
          </w:p>
        </w:tc>
        <w:tc>
          <w:tcPr>
            <w:tcW w:w="865" w:type="dxa"/>
            <w:noWrap/>
            <w:vAlign w:val="center"/>
          </w:tcPr>
          <w:p w14:paraId="4673605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344323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shd w:val="clear" w:color="auto" w:fill="auto"/>
            <w:noWrap/>
            <w:vAlign w:val="center"/>
          </w:tcPr>
          <w:p w14:paraId="7A463EF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73E985C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60BE289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7A28081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CCB2F0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9D7DCE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942A77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5B8D8050" w14:textId="77777777" w:rsidTr="004954C9">
        <w:trPr>
          <w:trHeight w:val="20"/>
        </w:trPr>
        <w:tc>
          <w:tcPr>
            <w:tcW w:w="478" w:type="dxa"/>
            <w:noWrap/>
          </w:tcPr>
          <w:p w14:paraId="2EFF078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B16</w:t>
            </w:r>
          </w:p>
        </w:tc>
        <w:tc>
          <w:tcPr>
            <w:tcW w:w="4284" w:type="dxa"/>
          </w:tcPr>
          <w:p w14:paraId="08CFB56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w:t>
            </w:r>
          </w:p>
        </w:tc>
        <w:tc>
          <w:tcPr>
            <w:tcW w:w="865" w:type="dxa"/>
            <w:noWrap/>
            <w:vAlign w:val="center"/>
          </w:tcPr>
          <w:p w14:paraId="2370277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0A5AB7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shd w:val="clear" w:color="auto" w:fill="auto"/>
            <w:noWrap/>
            <w:vAlign w:val="center"/>
          </w:tcPr>
          <w:p w14:paraId="0EAEA09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5C52629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5F9E2AF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51E3A20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24CB748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2C43442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B9A5A7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A20F094" w14:textId="77777777" w:rsidTr="004954C9">
        <w:trPr>
          <w:trHeight w:val="20"/>
        </w:trPr>
        <w:tc>
          <w:tcPr>
            <w:tcW w:w="478" w:type="dxa"/>
            <w:noWrap/>
          </w:tcPr>
          <w:p w14:paraId="5E806B4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B17</w:t>
            </w:r>
          </w:p>
        </w:tc>
        <w:tc>
          <w:tcPr>
            <w:tcW w:w="4284" w:type="dxa"/>
          </w:tcPr>
          <w:p w14:paraId="7FA08A6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w:t>
            </w:r>
          </w:p>
        </w:tc>
        <w:tc>
          <w:tcPr>
            <w:tcW w:w="865" w:type="dxa"/>
            <w:noWrap/>
            <w:vAlign w:val="center"/>
          </w:tcPr>
          <w:p w14:paraId="4CEAD58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80D9D5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1205" w:type="dxa"/>
            <w:shd w:val="clear" w:color="auto" w:fill="auto"/>
            <w:noWrap/>
            <w:vAlign w:val="center"/>
          </w:tcPr>
          <w:p w14:paraId="6D59E68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2CED8D4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3052AF1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508" w:type="dxa"/>
            <w:shd w:val="clear" w:color="auto" w:fill="auto"/>
            <w:noWrap/>
            <w:vAlign w:val="center"/>
          </w:tcPr>
          <w:p w14:paraId="6F1409A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EC4298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551" w:type="dxa"/>
            <w:shd w:val="clear" w:color="auto" w:fill="auto"/>
            <w:noWrap/>
            <w:vAlign w:val="center"/>
          </w:tcPr>
          <w:p w14:paraId="76793D3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auto"/>
            <w:vAlign w:val="center"/>
          </w:tcPr>
          <w:p w14:paraId="242E2A7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11D6273" w14:textId="77777777" w:rsidTr="004954C9">
        <w:trPr>
          <w:trHeight w:val="20"/>
        </w:trPr>
        <w:tc>
          <w:tcPr>
            <w:tcW w:w="478" w:type="dxa"/>
            <w:noWrap/>
          </w:tcPr>
          <w:p w14:paraId="7CBA183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B18</w:t>
            </w:r>
          </w:p>
        </w:tc>
        <w:tc>
          <w:tcPr>
            <w:tcW w:w="4284" w:type="dxa"/>
          </w:tcPr>
          <w:p w14:paraId="0A3F9D2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 mit Randwegabdichtung oberhalb der FSS</w:t>
            </w:r>
          </w:p>
        </w:tc>
        <w:tc>
          <w:tcPr>
            <w:tcW w:w="865" w:type="dxa"/>
            <w:noWrap/>
            <w:vAlign w:val="center"/>
          </w:tcPr>
          <w:p w14:paraId="457D547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41E048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EA0FB8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40DE11F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2649CE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8E4382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64A77F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1E95C7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08CB58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1D0A00B" w14:textId="77777777" w:rsidTr="004954C9">
        <w:trPr>
          <w:trHeight w:val="20"/>
        </w:trPr>
        <w:tc>
          <w:tcPr>
            <w:tcW w:w="478" w:type="dxa"/>
            <w:noWrap/>
          </w:tcPr>
          <w:p w14:paraId="1F569E2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B19</w:t>
            </w:r>
          </w:p>
        </w:tc>
        <w:tc>
          <w:tcPr>
            <w:tcW w:w="4284" w:type="dxa"/>
          </w:tcPr>
          <w:p w14:paraId="58FE503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 mit Randwegabdichtung</w:t>
            </w:r>
          </w:p>
        </w:tc>
        <w:tc>
          <w:tcPr>
            <w:tcW w:w="865" w:type="dxa"/>
            <w:noWrap/>
            <w:vAlign w:val="center"/>
          </w:tcPr>
          <w:p w14:paraId="2F57B56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2D71A7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11E3BB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1FE5AD1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92DAAB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7F9F44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4B1D5FE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0F4CA3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9FE09F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7465C16" w14:textId="77777777" w:rsidTr="004954C9">
        <w:trPr>
          <w:trHeight w:val="20"/>
        </w:trPr>
        <w:tc>
          <w:tcPr>
            <w:tcW w:w="478" w:type="dxa"/>
            <w:noWrap/>
          </w:tcPr>
          <w:p w14:paraId="6B98ADF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B20</w:t>
            </w:r>
          </w:p>
        </w:tc>
        <w:tc>
          <w:tcPr>
            <w:tcW w:w="4284" w:type="dxa"/>
          </w:tcPr>
          <w:p w14:paraId="5B57EDF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unterhalb </w:t>
            </w: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bzw. PSS der Bahnbauweise E 1</w:t>
            </w:r>
          </w:p>
        </w:tc>
        <w:tc>
          <w:tcPr>
            <w:tcW w:w="865" w:type="dxa"/>
            <w:noWrap/>
            <w:vAlign w:val="center"/>
          </w:tcPr>
          <w:p w14:paraId="5751374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1C3A0F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903510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7F48CBA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6B938B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AC1416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2F721D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DD97CD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B96E7C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5A89A548" w14:textId="77777777" w:rsidTr="004954C9">
        <w:trPr>
          <w:trHeight w:val="20"/>
        </w:trPr>
        <w:tc>
          <w:tcPr>
            <w:tcW w:w="478" w:type="dxa"/>
            <w:noWrap/>
          </w:tcPr>
          <w:p w14:paraId="6147AAE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B21</w:t>
            </w:r>
          </w:p>
        </w:tc>
        <w:tc>
          <w:tcPr>
            <w:tcW w:w="4284" w:type="dxa"/>
          </w:tcPr>
          <w:p w14:paraId="15755EE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1 mit Dichtungselement auf dem Planum</w:t>
            </w:r>
          </w:p>
        </w:tc>
        <w:tc>
          <w:tcPr>
            <w:tcW w:w="865" w:type="dxa"/>
            <w:noWrap/>
            <w:vAlign w:val="center"/>
          </w:tcPr>
          <w:p w14:paraId="52C59F3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27A447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7A1859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7A8F9F9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72EA669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56F20C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34A1FE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3DB5D88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4415C9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347FCA2E" w14:textId="77777777" w:rsidTr="004954C9">
        <w:trPr>
          <w:trHeight w:val="20"/>
        </w:trPr>
        <w:tc>
          <w:tcPr>
            <w:tcW w:w="478" w:type="dxa"/>
            <w:noWrap/>
          </w:tcPr>
          <w:p w14:paraId="6D969D3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B22</w:t>
            </w:r>
          </w:p>
        </w:tc>
        <w:tc>
          <w:tcPr>
            <w:tcW w:w="4284" w:type="dxa"/>
          </w:tcPr>
          <w:p w14:paraId="461AFE1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Tragschicht als witterungsunempfindliches Dichtungselement der Bahnbauweise E 2</w:t>
            </w:r>
          </w:p>
        </w:tc>
        <w:tc>
          <w:tcPr>
            <w:tcW w:w="865" w:type="dxa"/>
            <w:noWrap/>
            <w:vAlign w:val="center"/>
          </w:tcPr>
          <w:p w14:paraId="14924C1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B7CD2E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EB3167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0771E8C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7FC562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68164D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0D075E8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EC3597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74CB31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36656F23" w14:textId="77777777" w:rsidTr="004954C9">
        <w:trPr>
          <w:trHeight w:val="20"/>
        </w:trPr>
        <w:tc>
          <w:tcPr>
            <w:tcW w:w="478" w:type="dxa"/>
            <w:noWrap/>
          </w:tcPr>
          <w:p w14:paraId="257C297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B23</w:t>
            </w:r>
          </w:p>
        </w:tc>
        <w:tc>
          <w:tcPr>
            <w:tcW w:w="4284" w:type="dxa"/>
          </w:tcPr>
          <w:p w14:paraId="274FA38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2</w:t>
            </w:r>
          </w:p>
        </w:tc>
        <w:tc>
          <w:tcPr>
            <w:tcW w:w="865" w:type="dxa"/>
            <w:noWrap/>
            <w:vAlign w:val="center"/>
          </w:tcPr>
          <w:p w14:paraId="35406D9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3B84E7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0A7B9B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4D8CBD6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B4B186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AF3BDD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73C6070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0F08FE4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70E9B3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3023D773" w14:textId="77777777" w:rsidTr="004954C9">
        <w:trPr>
          <w:trHeight w:val="20"/>
        </w:trPr>
        <w:tc>
          <w:tcPr>
            <w:tcW w:w="478" w:type="dxa"/>
            <w:noWrap/>
          </w:tcPr>
          <w:p w14:paraId="6C65699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B24</w:t>
            </w:r>
          </w:p>
        </w:tc>
        <w:tc>
          <w:tcPr>
            <w:tcW w:w="4284" w:type="dxa"/>
          </w:tcPr>
          <w:p w14:paraId="09913BA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und Unterbau (Damm) der Bahnbauweise E 3a</w:t>
            </w:r>
          </w:p>
        </w:tc>
        <w:tc>
          <w:tcPr>
            <w:tcW w:w="865" w:type="dxa"/>
            <w:noWrap/>
            <w:vAlign w:val="center"/>
          </w:tcPr>
          <w:p w14:paraId="23A9143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879201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9D1600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005E03E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31C8651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6FDB420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4981F05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18EF4BE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2F3F72C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FC31CF4" w14:textId="77777777" w:rsidTr="004954C9">
        <w:trPr>
          <w:trHeight w:val="20"/>
        </w:trPr>
        <w:tc>
          <w:tcPr>
            <w:tcW w:w="478" w:type="dxa"/>
            <w:noWrap/>
          </w:tcPr>
          <w:p w14:paraId="6A0D1A5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B25</w:t>
            </w:r>
          </w:p>
        </w:tc>
        <w:tc>
          <w:tcPr>
            <w:tcW w:w="4284" w:type="dxa"/>
          </w:tcPr>
          <w:p w14:paraId="13B9357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der Bahnbauweise E 3b</w:t>
            </w:r>
          </w:p>
        </w:tc>
        <w:tc>
          <w:tcPr>
            <w:tcW w:w="865" w:type="dxa"/>
            <w:noWrap/>
            <w:vAlign w:val="center"/>
          </w:tcPr>
          <w:p w14:paraId="4345856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D1B927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1205" w:type="dxa"/>
            <w:noWrap/>
            <w:vAlign w:val="center"/>
          </w:tcPr>
          <w:p w14:paraId="05CEB51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6606601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1DA039C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508" w:type="dxa"/>
            <w:shd w:val="clear" w:color="auto" w:fill="auto"/>
            <w:noWrap/>
            <w:vAlign w:val="center"/>
          </w:tcPr>
          <w:p w14:paraId="26D64E3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6830DD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551" w:type="dxa"/>
            <w:shd w:val="clear" w:color="auto" w:fill="auto"/>
            <w:noWrap/>
            <w:vAlign w:val="center"/>
          </w:tcPr>
          <w:p w14:paraId="6CB6A8A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681" w:type="dxa"/>
            <w:shd w:val="clear" w:color="auto" w:fill="auto"/>
            <w:vAlign w:val="center"/>
          </w:tcPr>
          <w:p w14:paraId="366FF2D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07296C8C" w14:textId="77777777" w:rsidTr="004954C9">
        <w:trPr>
          <w:trHeight w:val="208"/>
        </w:trPr>
        <w:tc>
          <w:tcPr>
            <w:tcW w:w="478" w:type="dxa"/>
            <w:noWrap/>
          </w:tcPr>
          <w:p w14:paraId="7B3AC57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B26</w:t>
            </w:r>
          </w:p>
        </w:tc>
        <w:tc>
          <w:tcPr>
            <w:tcW w:w="4284" w:type="dxa"/>
          </w:tcPr>
          <w:p w14:paraId="18B60D6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3b</w:t>
            </w:r>
          </w:p>
        </w:tc>
        <w:tc>
          <w:tcPr>
            <w:tcW w:w="865" w:type="dxa"/>
            <w:noWrap/>
            <w:vAlign w:val="center"/>
          </w:tcPr>
          <w:p w14:paraId="1B2D9BB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FBB66C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1205" w:type="dxa"/>
            <w:noWrap/>
            <w:vAlign w:val="center"/>
          </w:tcPr>
          <w:p w14:paraId="13632CC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5EB9762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0BF6A84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508" w:type="dxa"/>
            <w:shd w:val="clear" w:color="auto" w:fill="auto"/>
            <w:noWrap/>
            <w:vAlign w:val="center"/>
          </w:tcPr>
          <w:p w14:paraId="10A2C48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F591D0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551" w:type="dxa"/>
            <w:shd w:val="clear" w:color="auto" w:fill="auto"/>
            <w:noWrap/>
            <w:vAlign w:val="center"/>
          </w:tcPr>
          <w:p w14:paraId="28BB1D5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681" w:type="dxa"/>
            <w:shd w:val="clear" w:color="auto" w:fill="auto"/>
            <w:vAlign w:val="center"/>
          </w:tcPr>
          <w:p w14:paraId="2D6141E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bl>
    <w:p w14:paraId="5B35EA7C" w14:textId="77777777" w:rsidR="00722A47" w:rsidRPr="00722A47" w:rsidRDefault="00722A47" w:rsidP="00722A47">
      <w:pPr>
        <w:spacing w:before="0" w:after="0"/>
        <w:jc w:val="left"/>
        <w:rPr>
          <w:rFonts w:ascii="Times New Roman" w:eastAsia="Times New Roman" w:hAnsi="Times New Roman" w:cs="Tahoma"/>
          <w:sz w:val="16"/>
          <w:szCs w:val="16"/>
          <w:lang w:eastAsia="de-DE"/>
        </w:rPr>
      </w:pPr>
      <w:r w:rsidRPr="00722A47">
        <w:rPr>
          <w:rFonts w:ascii="Times New Roman" w:eastAsia="Times New Roman" w:hAnsi="Times New Roman" w:cs="Tahoma"/>
          <w:sz w:val="16"/>
          <w:szCs w:val="16"/>
          <w:lang w:eastAsia="de-DE"/>
        </w:rPr>
        <w:t xml:space="preserve">1) Zulässig, wenn Nickel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170 µg/l, und Zink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1.400 µg/l.</w:t>
      </w:r>
    </w:p>
    <w:p w14:paraId="3E7176A8" w14:textId="77777777" w:rsidR="00722A47" w:rsidRPr="00722A47" w:rsidRDefault="00722A47" w:rsidP="00722A47">
      <w:pPr>
        <w:spacing w:before="0" w:after="0"/>
        <w:jc w:val="left"/>
        <w:rPr>
          <w:rFonts w:ascii="Times New Roman" w:eastAsia="Times New Roman" w:hAnsi="Times New Roman" w:cs="Tahoma"/>
          <w:sz w:val="16"/>
          <w:szCs w:val="16"/>
          <w:lang w:eastAsia="de-DE"/>
        </w:rPr>
      </w:pPr>
      <w:r w:rsidRPr="00722A47">
        <w:rPr>
          <w:rFonts w:ascii="Times New Roman" w:eastAsia="Times New Roman" w:hAnsi="Times New Roman" w:cs="Tahoma"/>
          <w:sz w:val="16"/>
          <w:szCs w:val="16"/>
          <w:lang w:eastAsia="de-DE"/>
        </w:rPr>
        <w:t xml:space="preserve">2) Zulässig, wenn Cadmium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13 µg/l, Nickel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110 µg/l, Vanadium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640 µg/l und Zink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850 µg/l.</w:t>
      </w:r>
    </w:p>
    <w:p w14:paraId="21E1DC2E" w14:textId="77777777" w:rsidR="00722A47" w:rsidRPr="00722A47" w:rsidRDefault="00722A47" w:rsidP="00722A47">
      <w:pPr>
        <w:spacing w:before="0" w:after="0"/>
        <w:jc w:val="left"/>
        <w:rPr>
          <w:rFonts w:ascii="Times New Roman" w:eastAsia="Times New Roman" w:hAnsi="Times New Roman" w:cs="Tahoma"/>
          <w:sz w:val="16"/>
          <w:szCs w:val="16"/>
          <w:lang w:eastAsia="de-DE"/>
        </w:rPr>
      </w:pPr>
      <w:r w:rsidRPr="00722A47">
        <w:rPr>
          <w:rFonts w:ascii="Times New Roman" w:eastAsia="Times New Roman" w:hAnsi="Times New Roman" w:cs="Tahoma"/>
          <w:sz w:val="16"/>
          <w:szCs w:val="16"/>
          <w:lang w:eastAsia="de-DE"/>
        </w:rPr>
        <w:t xml:space="preserve">3) Zulässig, wenn Nickel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140 µg/l und Zink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1.200 µg/l.</w:t>
      </w:r>
    </w:p>
    <w:p w14:paraId="5BA2E7A5" w14:textId="5332E262" w:rsidR="00722A47" w:rsidRPr="00722A47" w:rsidRDefault="00722A47" w:rsidP="00722A47">
      <w:pPr>
        <w:pStyle w:val="berschrift1"/>
      </w:pPr>
      <w:r>
        <w:rPr>
          <w:rFonts w:ascii="Calibri Light" w:eastAsia="Times New Roman" w:hAnsi="Calibri Light" w:cs="Times New Roman"/>
          <w:sz w:val="28"/>
          <w:szCs w:val="20"/>
          <w:lang w:eastAsia="de-DE"/>
        </w:rPr>
        <w:br w:type="page"/>
      </w:r>
      <w:r w:rsidRPr="008D0377">
        <w:lastRenderedPageBreak/>
        <w:t>Tabelle 5: Gleisschotter der Klasse 1 (GS-1)</w:t>
      </w:r>
    </w:p>
    <w:p w14:paraId="139D9483" w14:textId="77777777" w:rsidR="00722A47" w:rsidRPr="00722A47" w:rsidRDefault="00722A47" w:rsidP="00722A47">
      <w:pPr>
        <w:keepNext/>
        <w:spacing w:before="0" w:after="200"/>
        <w:jc w:val="left"/>
        <w:rPr>
          <w:rFonts w:ascii="Times New Roman" w:eastAsia="Calibri" w:hAnsi="Times New Roman" w:cs="Times New Roman"/>
          <w:b/>
          <w:sz w:val="18"/>
          <w:szCs w:val="18"/>
        </w:rPr>
      </w:pPr>
    </w:p>
    <w:tbl>
      <w:tblPr>
        <w:tblW w:w="11214" w:type="dxa"/>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
        <w:gridCol w:w="4284"/>
        <w:gridCol w:w="865"/>
        <w:gridCol w:w="675"/>
        <w:gridCol w:w="1205"/>
        <w:gridCol w:w="607"/>
        <w:gridCol w:w="715"/>
        <w:gridCol w:w="508"/>
        <w:gridCol w:w="715"/>
        <w:gridCol w:w="551"/>
        <w:gridCol w:w="715"/>
      </w:tblGrid>
      <w:tr w:rsidR="00722A47" w:rsidRPr="00722A47" w14:paraId="6E12B432" w14:textId="77777777" w:rsidTr="004954C9">
        <w:trPr>
          <w:trHeight w:val="167"/>
        </w:trPr>
        <w:tc>
          <w:tcPr>
            <w:tcW w:w="11214" w:type="dxa"/>
            <w:gridSpan w:val="11"/>
            <w:noWrap/>
            <w:vAlign w:val="bottom"/>
          </w:tcPr>
          <w:p w14:paraId="1F572AD3" w14:textId="77777777" w:rsidR="00722A47" w:rsidRPr="00722A47" w:rsidRDefault="00722A47" w:rsidP="00722A47">
            <w:pPr>
              <w:spacing w:before="0" w:after="0"/>
              <w:jc w:val="center"/>
              <w:rPr>
                <w:rFonts w:ascii="Times New Roman" w:eastAsia="Times New Roman" w:hAnsi="Times New Roman" w:cs="Times New Roman"/>
                <w:b/>
                <w:bCs/>
                <w:sz w:val="24"/>
                <w:szCs w:val="24"/>
                <w:lang w:eastAsia="de-DE"/>
              </w:rPr>
            </w:pPr>
            <w:r w:rsidRPr="00722A47">
              <w:rPr>
                <w:rFonts w:ascii="Times New Roman" w:eastAsia="Times New Roman" w:hAnsi="Times New Roman" w:cs="Times New Roman"/>
                <w:b/>
                <w:sz w:val="24"/>
                <w:szCs w:val="20"/>
                <w:lang w:eastAsia="de-DE"/>
              </w:rPr>
              <w:br w:type="page"/>
              <w:t>Gleisschotter der Klasse 1 (GS-1)</w:t>
            </w:r>
          </w:p>
        </w:tc>
      </w:tr>
      <w:tr w:rsidR="00722A47" w:rsidRPr="00722A47" w14:paraId="2712BEC6" w14:textId="77777777" w:rsidTr="004954C9">
        <w:trPr>
          <w:trHeight w:val="20"/>
        </w:trPr>
        <w:tc>
          <w:tcPr>
            <w:tcW w:w="4762" w:type="dxa"/>
            <w:gridSpan w:val="2"/>
            <w:vMerge w:val="restart"/>
            <w:shd w:val="clear" w:color="auto" w:fill="auto"/>
            <w:noWrap/>
          </w:tcPr>
          <w:p w14:paraId="5E97D04F"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Einbauweise</w:t>
            </w:r>
          </w:p>
        </w:tc>
        <w:tc>
          <w:tcPr>
            <w:tcW w:w="6452" w:type="dxa"/>
            <w:gridSpan w:val="9"/>
            <w:shd w:val="clear" w:color="auto" w:fill="auto"/>
            <w:noWrap/>
            <w:vAlign w:val="center"/>
          </w:tcPr>
          <w:p w14:paraId="011F4124"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Eigenschaft der Grundwasserdeckschicht</w:t>
            </w:r>
          </w:p>
        </w:tc>
      </w:tr>
      <w:tr w:rsidR="00722A47" w:rsidRPr="00722A47" w14:paraId="47599940" w14:textId="77777777" w:rsidTr="004954C9">
        <w:trPr>
          <w:trHeight w:val="20"/>
        </w:trPr>
        <w:tc>
          <w:tcPr>
            <w:tcW w:w="4762" w:type="dxa"/>
            <w:gridSpan w:val="2"/>
            <w:vMerge/>
            <w:shd w:val="clear" w:color="auto" w:fill="auto"/>
            <w:noWrap/>
            <w:vAlign w:val="center"/>
          </w:tcPr>
          <w:p w14:paraId="152D6A5B" w14:textId="77777777" w:rsidR="00722A47" w:rsidRPr="00722A47" w:rsidRDefault="00722A47" w:rsidP="00722A47">
            <w:pPr>
              <w:spacing w:before="0" w:after="0"/>
              <w:jc w:val="center"/>
              <w:rPr>
                <w:rFonts w:ascii="Times New Roman" w:eastAsia="Times New Roman" w:hAnsi="Times New Roman" w:cs="Times New Roman"/>
                <w:sz w:val="20"/>
                <w:szCs w:val="24"/>
                <w:lang w:eastAsia="de-DE"/>
              </w:rPr>
            </w:pPr>
          </w:p>
        </w:tc>
        <w:tc>
          <w:tcPr>
            <w:tcW w:w="2745" w:type="dxa"/>
            <w:gridSpan w:val="3"/>
            <w:shd w:val="clear" w:color="auto" w:fill="auto"/>
            <w:noWrap/>
            <w:vAlign w:val="center"/>
          </w:tcPr>
          <w:p w14:paraId="0A55DB6C"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außerhalb von</w:t>
            </w:r>
          </w:p>
          <w:p w14:paraId="1ACF7C77"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c>
          <w:tcPr>
            <w:tcW w:w="3707" w:type="dxa"/>
            <w:gridSpan w:val="6"/>
            <w:shd w:val="clear" w:color="auto" w:fill="auto"/>
            <w:noWrap/>
            <w:vAlign w:val="center"/>
          </w:tcPr>
          <w:p w14:paraId="24E6A23C"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innerhalb von</w:t>
            </w:r>
          </w:p>
          <w:p w14:paraId="3EEA8E15"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r>
      <w:tr w:rsidR="00722A47" w:rsidRPr="00722A47" w14:paraId="097B3C31" w14:textId="77777777" w:rsidTr="004954C9">
        <w:trPr>
          <w:trHeight w:val="20"/>
        </w:trPr>
        <w:tc>
          <w:tcPr>
            <w:tcW w:w="4762" w:type="dxa"/>
            <w:gridSpan w:val="2"/>
            <w:vMerge/>
            <w:shd w:val="clear" w:color="auto" w:fill="auto"/>
            <w:noWrap/>
            <w:vAlign w:val="center"/>
          </w:tcPr>
          <w:p w14:paraId="535917B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1BEEF3A3"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proofErr w:type="spellStart"/>
            <w:r w:rsidRPr="00722A47">
              <w:rPr>
                <w:rFonts w:ascii="Times New Roman" w:eastAsia="Times New Roman" w:hAnsi="Times New Roman" w:cs="Times New Roman"/>
                <w:sz w:val="20"/>
                <w:szCs w:val="20"/>
                <w:lang w:eastAsia="de-DE"/>
              </w:rPr>
              <w:t>un</w:t>
            </w:r>
            <w:proofErr w:type="spellEnd"/>
            <w:r w:rsidRPr="00722A47">
              <w:rPr>
                <w:rFonts w:ascii="Times New Roman" w:eastAsia="Times New Roman" w:hAnsi="Times New Roman" w:cs="Times New Roman"/>
                <w:sz w:val="20"/>
                <w:szCs w:val="20"/>
                <w:lang w:eastAsia="de-DE"/>
              </w:rPr>
              <w:t>-günstig</w:t>
            </w:r>
          </w:p>
        </w:tc>
        <w:tc>
          <w:tcPr>
            <w:tcW w:w="1880" w:type="dxa"/>
            <w:gridSpan w:val="2"/>
            <w:shd w:val="clear" w:color="auto" w:fill="auto"/>
            <w:noWrap/>
            <w:vAlign w:val="center"/>
          </w:tcPr>
          <w:p w14:paraId="3905843D"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c>
          <w:tcPr>
            <w:tcW w:w="3707" w:type="dxa"/>
            <w:gridSpan w:val="6"/>
            <w:shd w:val="clear" w:color="auto" w:fill="auto"/>
            <w:noWrap/>
            <w:vAlign w:val="center"/>
          </w:tcPr>
          <w:p w14:paraId="23AEF1B4"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r>
      <w:tr w:rsidR="00722A47" w:rsidRPr="00722A47" w14:paraId="05238816" w14:textId="77777777" w:rsidTr="004954C9">
        <w:trPr>
          <w:trHeight w:val="20"/>
        </w:trPr>
        <w:tc>
          <w:tcPr>
            <w:tcW w:w="4762" w:type="dxa"/>
            <w:gridSpan w:val="2"/>
            <w:vMerge/>
            <w:shd w:val="clear" w:color="auto" w:fill="auto"/>
            <w:noWrap/>
            <w:vAlign w:val="center"/>
          </w:tcPr>
          <w:p w14:paraId="57C0E74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val="restart"/>
            <w:shd w:val="clear" w:color="auto" w:fill="auto"/>
            <w:noWrap/>
            <w:vAlign w:val="bottom"/>
          </w:tcPr>
          <w:p w14:paraId="1E76B4C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val="restart"/>
            <w:shd w:val="clear" w:color="auto" w:fill="auto"/>
            <w:noWrap/>
            <w:vAlign w:val="center"/>
          </w:tcPr>
          <w:p w14:paraId="4B02833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1205" w:type="dxa"/>
            <w:vMerge w:val="restart"/>
            <w:shd w:val="clear" w:color="auto" w:fill="auto"/>
            <w:noWrap/>
            <w:vAlign w:val="center"/>
          </w:tcPr>
          <w:p w14:paraId="3A70F361" w14:textId="29CD914E"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1A35A9A1" w14:textId="4E4C1DC6"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17B953B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1286" w:type="dxa"/>
            <w:gridSpan w:val="2"/>
            <w:shd w:val="clear" w:color="auto" w:fill="auto"/>
            <w:noWrap/>
            <w:vAlign w:val="center"/>
          </w:tcPr>
          <w:p w14:paraId="3BCD5F3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A</w:t>
            </w:r>
          </w:p>
        </w:tc>
        <w:tc>
          <w:tcPr>
            <w:tcW w:w="1189" w:type="dxa"/>
            <w:gridSpan w:val="2"/>
            <w:shd w:val="clear" w:color="auto" w:fill="auto"/>
            <w:noWrap/>
            <w:vAlign w:val="center"/>
          </w:tcPr>
          <w:p w14:paraId="50CB4CC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B</w:t>
            </w:r>
          </w:p>
        </w:tc>
        <w:tc>
          <w:tcPr>
            <w:tcW w:w="1232" w:type="dxa"/>
            <w:gridSpan w:val="2"/>
            <w:shd w:val="clear" w:color="auto" w:fill="auto"/>
            <w:noWrap/>
            <w:vAlign w:val="center"/>
          </w:tcPr>
          <w:p w14:paraId="224D28D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Wasservor-</w:t>
            </w:r>
          </w:p>
        </w:tc>
      </w:tr>
      <w:tr w:rsidR="00722A47" w:rsidRPr="00722A47" w14:paraId="08C0DEA2" w14:textId="77777777" w:rsidTr="004954C9">
        <w:trPr>
          <w:trHeight w:val="80"/>
        </w:trPr>
        <w:tc>
          <w:tcPr>
            <w:tcW w:w="4762" w:type="dxa"/>
            <w:gridSpan w:val="2"/>
            <w:vMerge/>
            <w:shd w:val="clear" w:color="auto" w:fill="auto"/>
            <w:noWrap/>
            <w:vAlign w:val="center"/>
          </w:tcPr>
          <w:p w14:paraId="3F28634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0B753F8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2C12383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5203759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86" w:type="dxa"/>
            <w:gridSpan w:val="2"/>
            <w:shd w:val="clear" w:color="auto" w:fill="auto"/>
            <w:noWrap/>
            <w:vAlign w:val="center"/>
          </w:tcPr>
          <w:p w14:paraId="69C2F30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III</w:t>
            </w:r>
          </w:p>
        </w:tc>
        <w:tc>
          <w:tcPr>
            <w:tcW w:w="1189" w:type="dxa"/>
            <w:gridSpan w:val="2"/>
            <w:shd w:val="clear" w:color="auto" w:fill="auto"/>
            <w:noWrap/>
            <w:vAlign w:val="center"/>
          </w:tcPr>
          <w:p w14:paraId="76F13C5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IV</w:t>
            </w:r>
          </w:p>
        </w:tc>
        <w:tc>
          <w:tcPr>
            <w:tcW w:w="1232" w:type="dxa"/>
            <w:gridSpan w:val="2"/>
            <w:shd w:val="clear" w:color="auto" w:fill="auto"/>
            <w:noWrap/>
            <w:vAlign w:val="center"/>
          </w:tcPr>
          <w:p w14:paraId="1FA49A5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ranggebiete</w:t>
            </w:r>
          </w:p>
        </w:tc>
      </w:tr>
      <w:tr w:rsidR="00722A47" w:rsidRPr="00722A47" w14:paraId="64366ABC" w14:textId="77777777" w:rsidTr="004954C9">
        <w:trPr>
          <w:trHeight w:val="80"/>
        </w:trPr>
        <w:tc>
          <w:tcPr>
            <w:tcW w:w="4762" w:type="dxa"/>
            <w:gridSpan w:val="2"/>
            <w:vMerge/>
            <w:shd w:val="clear" w:color="auto" w:fill="auto"/>
            <w:noWrap/>
            <w:vAlign w:val="center"/>
          </w:tcPr>
          <w:p w14:paraId="6A29B21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5CA1C98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45BD7AE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11213D4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07" w:type="dxa"/>
            <w:shd w:val="clear" w:color="auto" w:fill="auto"/>
            <w:noWrap/>
            <w:vAlign w:val="center"/>
          </w:tcPr>
          <w:p w14:paraId="433961B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79" w:type="dxa"/>
            <w:shd w:val="clear" w:color="auto" w:fill="auto"/>
            <w:vAlign w:val="center"/>
          </w:tcPr>
          <w:p w14:paraId="0B67039A" w14:textId="591F16DC"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0A01D50F" w14:textId="18BCDF46"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0357571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08" w:type="dxa"/>
            <w:shd w:val="clear" w:color="auto" w:fill="auto"/>
            <w:noWrap/>
            <w:vAlign w:val="center"/>
          </w:tcPr>
          <w:p w14:paraId="48B4375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44BBCA5D" w14:textId="20CE42BE"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734F2FBE" w14:textId="23E34359"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3FE783A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51" w:type="dxa"/>
            <w:shd w:val="clear" w:color="auto" w:fill="auto"/>
            <w:noWrap/>
            <w:vAlign w:val="center"/>
          </w:tcPr>
          <w:p w14:paraId="2FB3AD9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1B1630C0" w14:textId="609B7C61"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3D58FB82" w14:textId="47FF874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19B5883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r>
      <w:tr w:rsidR="00722A47" w:rsidRPr="00722A47" w14:paraId="73215E2E" w14:textId="77777777" w:rsidTr="004954C9">
        <w:trPr>
          <w:trHeight w:val="111"/>
        </w:trPr>
        <w:tc>
          <w:tcPr>
            <w:tcW w:w="4762" w:type="dxa"/>
            <w:gridSpan w:val="2"/>
            <w:vMerge/>
            <w:shd w:val="clear" w:color="auto" w:fill="auto"/>
            <w:noWrap/>
            <w:vAlign w:val="center"/>
          </w:tcPr>
          <w:p w14:paraId="16A98B3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014E531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1</w:t>
            </w:r>
          </w:p>
        </w:tc>
        <w:tc>
          <w:tcPr>
            <w:tcW w:w="675" w:type="dxa"/>
            <w:shd w:val="clear" w:color="auto" w:fill="auto"/>
            <w:noWrap/>
            <w:vAlign w:val="center"/>
          </w:tcPr>
          <w:p w14:paraId="34D63CD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2</w:t>
            </w:r>
          </w:p>
        </w:tc>
        <w:tc>
          <w:tcPr>
            <w:tcW w:w="1205" w:type="dxa"/>
            <w:shd w:val="clear" w:color="auto" w:fill="auto"/>
            <w:noWrap/>
            <w:vAlign w:val="center"/>
          </w:tcPr>
          <w:p w14:paraId="19EA149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3</w:t>
            </w:r>
          </w:p>
        </w:tc>
        <w:tc>
          <w:tcPr>
            <w:tcW w:w="1286" w:type="dxa"/>
            <w:gridSpan w:val="2"/>
            <w:shd w:val="clear" w:color="auto" w:fill="auto"/>
            <w:noWrap/>
            <w:vAlign w:val="center"/>
          </w:tcPr>
          <w:p w14:paraId="442511E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4</w:t>
            </w:r>
          </w:p>
        </w:tc>
        <w:tc>
          <w:tcPr>
            <w:tcW w:w="1189" w:type="dxa"/>
            <w:gridSpan w:val="2"/>
            <w:shd w:val="clear" w:color="auto" w:fill="auto"/>
            <w:noWrap/>
            <w:vAlign w:val="center"/>
          </w:tcPr>
          <w:p w14:paraId="5D2CA4B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5</w:t>
            </w:r>
          </w:p>
        </w:tc>
        <w:tc>
          <w:tcPr>
            <w:tcW w:w="1232" w:type="dxa"/>
            <w:gridSpan w:val="2"/>
            <w:shd w:val="clear" w:color="auto" w:fill="auto"/>
            <w:noWrap/>
            <w:vAlign w:val="center"/>
          </w:tcPr>
          <w:p w14:paraId="14B8084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6</w:t>
            </w:r>
          </w:p>
        </w:tc>
      </w:tr>
      <w:tr w:rsidR="00722A47" w:rsidRPr="00722A47" w14:paraId="06CE24B7" w14:textId="77777777" w:rsidTr="004954C9">
        <w:trPr>
          <w:trHeight w:val="20"/>
        </w:trPr>
        <w:tc>
          <w:tcPr>
            <w:tcW w:w="478" w:type="dxa"/>
            <w:noWrap/>
          </w:tcPr>
          <w:p w14:paraId="6227103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w:t>
            </w:r>
          </w:p>
        </w:tc>
        <w:tc>
          <w:tcPr>
            <w:tcW w:w="4284" w:type="dxa"/>
          </w:tcPr>
          <w:p w14:paraId="0FA69BA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Schotteroberbau der Bahnbauweise Standard Damm </w:t>
            </w:r>
          </w:p>
        </w:tc>
        <w:tc>
          <w:tcPr>
            <w:tcW w:w="865" w:type="dxa"/>
            <w:noWrap/>
            <w:vAlign w:val="center"/>
          </w:tcPr>
          <w:p w14:paraId="05ADFE95"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7F0C5458"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170CB958"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5E2F24B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51A109E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A04BE7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130B271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2DE71A4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15E82B3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6F74BF18" w14:textId="77777777" w:rsidTr="004954C9">
        <w:trPr>
          <w:trHeight w:val="20"/>
        </w:trPr>
        <w:tc>
          <w:tcPr>
            <w:tcW w:w="478" w:type="dxa"/>
            <w:noWrap/>
          </w:tcPr>
          <w:p w14:paraId="2D63242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w:t>
            </w:r>
          </w:p>
        </w:tc>
        <w:tc>
          <w:tcPr>
            <w:tcW w:w="4284" w:type="dxa"/>
          </w:tcPr>
          <w:p w14:paraId="4F6E8AF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Standard Einschnitt</w:t>
            </w:r>
          </w:p>
        </w:tc>
        <w:tc>
          <w:tcPr>
            <w:tcW w:w="865" w:type="dxa"/>
            <w:noWrap/>
            <w:vAlign w:val="center"/>
          </w:tcPr>
          <w:p w14:paraId="5ED5F24E"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50BD8C9A"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12C7C9DD"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1597D59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7CE8CA9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9B084B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3E0C23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08882D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01136E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67E692E8" w14:textId="77777777" w:rsidTr="004954C9">
        <w:trPr>
          <w:trHeight w:val="20"/>
        </w:trPr>
        <w:tc>
          <w:tcPr>
            <w:tcW w:w="478" w:type="dxa"/>
            <w:noWrap/>
          </w:tcPr>
          <w:p w14:paraId="6CD3E0D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B3</w:t>
            </w:r>
          </w:p>
        </w:tc>
        <w:tc>
          <w:tcPr>
            <w:tcW w:w="4284" w:type="dxa"/>
          </w:tcPr>
          <w:p w14:paraId="1766AD3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w:t>
            </w:r>
          </w:p>
        </w:tc>
        <w:tc>
          <w:tcPr>
            <w:tcW w:w="865" w:type="dxa"/>
            <w:noWrap/>
            <w:vAlign w:val="center"/>
          </w:tcPr>
          <w:p w14:paraId="59110275"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7C9821A9"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73504475"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695F244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01FFA7A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47CFDF8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0CBE1AE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41BD66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AFC30B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FD02867" w14:textId="77777777" w:rsidTr="004954C9">
        <w:trPr>
          <w:trHeight w:val="20"/>
        </w:trPr>
        <w:tc>
          <w:tcPr>
            <w:tcW w:w="478" w:type="dxa"/>
            <w:noWrap/>
          </w:tcPr>
          <w:p w14:paraId="139EBCC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B4</w:t>
            </w:r>
          </w:p>
        </w:tc>
        <w:tc>
          <w:tcPr>
            <w:tcW w:w="4284" w:type="dxa"/>
          </w:tcPr>
          <w:p w14:paraId="4BBDDB3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 modifiziert</w:t>
            </w:r>
          </w:p>
        </w:tc>
        <w:tc>
          <w:tcPr>
            <w:tcW w:w="865" w:type="dxa"/>
            <w:noWrap/>
            <w:vAlign w:val="center"/>
          </w:tcPr>
          <w:p w14:paraId="4D909A09"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3F72342B"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1B483ADA"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3D067FE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D64CDE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F3BF7B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1A9B682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6F6470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10FA23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B176C17" w14:textId="77777777" w:rsidTr="004954C9">
        <w:trPr>
          <w:trHeight w:val="20"/>
        </w:trPr>
        <w:tc>
          <w:tcPr>
            <w:tcW w:w="478" w:type="dxa"/>
            <w:noWrap/>
          </w:tcPr>
          <w:p w14:paraId="3FAA9EE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B5</w:t>
            </w:r>
          </w:p>
        </w:tc>
        <w:tc>
          <w:tcPr>
            <w:tcW w:w="4284" w:type="dxa"/>
          </w:tcPr>
          <w:p w14:paraId="0F9EF98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60D89D2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Bahnbauweise Standard Damm </w:t>
            </w:r>
          </w:p>
        </w:tc>
        <w:tc>
          <w:tcPr>
            <w:tcW w:w="865" w:type="dxa"/>
            <w:noWrap/>
            <w:vAlign w:val="center"/>
          </w:tcPr>
          <w:p w14:paraId="711259A1"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68055B9D"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3098860E"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665B8FC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61A7336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66B26F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7C3C9C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D2163A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4FA22D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82E73F1" w14:textId="77777777" w:rsidTr="004954C9">
        <w:trPr>
          <w:trHeight w:val="20"/>
        </w:trPr>
        <w:tc>
          <w:tcPr>
            <w:tcW w:w="478" w:type="dxa"/>
            <w:noWrap/>
          </w:tcPr>
          <w:p w14:paraId="4C9AB45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B6</w:t>
            </w:r>
          </w:p>
        </w:tc>
        <w:tc>
          <w:tcPr>
            <w:tcW w:w="4284" w:type="dxa"/>
          </w:tcPr>
          <w:p w14:paraId="6604CBA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610607B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Standard Einschnitt</w:t>
            </w:r>
          </w:p>
        </w:tc>
        <w:tc>
          <w:tcPr>
            <w:tcW w:w="865" w:type="dxa"/>
            <w:noWrap/>
            <w:vAlign w:val="center"/>
          </w:tcPr>
          <w:p w14:paraId="3F637C02"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669921DB"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1BB4B331"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7E4B101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0B5A33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34352D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78CED8F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3266CFD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D40C0B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0551DAB" w14:textId="77777777" w:rsidTr="004954C9">
        <w:trPr>
          <w:trHeight w:val="20"/>
        </w:trPr>
        <w:tc>
          <w:tcPr>
            <w:tcW w:w="478" w:type="dxa"/>
            <w:noWrap/>
          </w:tcPr>
          <w:p w14:paraId="1922AC4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B7</w:t>
            </w:r>
          </w:p>
        </w:tc>
        <w:tc>
          <w:tcPr>
            <w:tcW w:w="4284" w:type="dxa"/>
          </w:tcPr>
          <w:p w14:paraId="6237334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7AB7C3D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76E1427B"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3AC06331"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01AA280B"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77CEEE4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58983A8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309B0C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05D0499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22A40AA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A38CE7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C5F128C" w14:textId="77777777" w:rsidTr="004954C9">
        <w:trPr>
          <w:trHeight w:val="20"/>
        </w:trPr>
        <w:tc>
          <w:tcPr>
            <w:tcW w:w="478" w:type="dxa"/>
            <w:noWrap/>
          </w:tcPr>
          <w:p w14:paraId="1C6007A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B8</w:t>
            </w:r>
          </w:p>
        </w:tc>
        <w:tc>
          <w:tcPr>
            <w:tcW w:w="4284" w:type="dxa"/>
          </w:tcPr>
          <w:p w14:paraId="2B1380E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26448D2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2EE7372E"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773CB3C7"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6EC9D1DA"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4F847C1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898C3B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798082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E7DE2D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E7412B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5FE005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9B89C79" w14:textId="77777777" w:rsidTr="004954C9">
        <w:trPr>
          <w:trHeight w:val="20"/>
        </w:trPr>
        <w:tc>
          <w:tcPr>
            <w:tcW w:w="478" w:type="dxa"/>
            <w:noWrap/>
          </w:tcPr>
          <w:p w14:paraId="565746B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B9</w:t>
            </w:r>
          </w:p>
        </w:tc>
        <w:tc>
          <w:tcPr>
            <w:tcW w:w="4284" w:type="dxa"/>
          </w:tcPr>
          <w:p w14:paraId="6D40F41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6FE0B16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1A02AC4A"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73984DB3"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34E9BC6C"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05EE406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0292F4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70735F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1AAE450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2A9A365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924896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5ED1FFB" w14:textId="77777777" w:rsidTr="004954C9">
        <w:trPr>
          <w:trHeight w:val="20"/>
        </w:trPr>
        <w:tc>
          <w:tcPr>
            <w:tcW w:w="478" w:type="dxa"/>
            <w:noWrap/>
          </w:tcPr>
          <w:p w14:paraId="0A57964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B10</w:t>
            </w:r>
          </w:p>
        </w:tc>
        <w:tc>
          <w:tcPr>
            <w:tcW w:w="4284" w:type="dxa"/>
          </w:tcPr>
          <w:p w14:paraId="5D2C6D0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0C601DA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5E5D9323"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46E283E6"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7AEAF4C1"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22BC870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594D53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9C43EE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8ADE5E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25AB64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1D0F7AF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945FEDF" w14:textId="77777777" w:rsidTr="004954C9">
        <w:trPr>
          <w:trHeight w:val="20"/>
        </w:trPr>
        <w:tc>
          <w:tcPr>
            <w:tcW w:w="478" w:type="dxa"/>
            <w:noWrap/>
          </w:tcPr>
          <w:p w14:paraId="24F0E09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B11</w:t>
            </w:r>
          </w:p>
        </w:tc>
        <w:tc>
          <w:tcPr>
            <w:tcW w:w="4284" w:type="dxa"/>
          </w:tcPr>
          <w:p w14:paraId="47E5A76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Spezielle Bodenschicht der Bahnbauweise H</w:t>
            </w:r>
          </w:p>
        </w:tc>
        <w:tc>
          <w:tcPr>
            <w:tcW w:w="865" w:type="dxa"/>
            <w:noWrap/>
            <w:vAlign w:val="center"/>
          </w:tcPr>
          <w:p w14:paraId="5053CF04"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r w:rsidRPr="00722A47">
              <w:rPr>
                <w:rFonts w:ascii="Times New Roman" w:eastAsia="Times New Roman" w:hAnsi="Times New Roman" w:cs="Times New Roman"/>
                <w:b/>
                <w:sz w:val="24"/>
                <w:szCs w:val="20"/>
                <w:vertAlign w:val="superscript"/>
                <w:lang w:eastAsia="de-DE"/>
              </w:rPr>
              <w:t>1)</w:t>
            </w:r>
          </w:p>
        </w:tc>
        <w:tc>
          <w:tcPr>
            <w:tcW w:w="675" w:type="dxa"/>
            <w:noWrap/>
            <w:vAlign w:val="center"/>
          </w:tcPr>
          <w:p w14:paraId="3A39B9ED"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539E7B09"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01E2DC1E"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vAlign w:val="center"/>
          </w:tcPr>
          <w:p w14:paraId="77232830"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b/>
                <w:sz w:val="24"/>
                <w:szCs w:val="20"/>
                <w:lang w:eastAsia="de-DE"/>
              </w:rPr>
              <w:t>+</w:t>
            </w:r>
          </w:p>
        </w:tc>
        <w:tc>
          <w:tcPr>
            <w:tcW w:w="508" w:type="dxa"/>
            <w:noWrap/>
            <w:vAlign w:val="center"/>
          </w:tcPr>
          <w:p w14:paraId="1AC9A99C"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vAlign w:val="center"/>
          </w:tcPr>
          <w:p w14:paraId="457C8CEE"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51" w:type="dxa"/>
            <w:shd w:val="clear" w:color="auto" w:fill="auto"/>
            <w:noWrap/>
            <w:vAlign w:val="center"/>
          </w:tcPr>
          <w:p w14:paraId="5637565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3F7ECD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B90BDA4" w14:textId="77777777" w:rsidTr="004954C9">
        <w:trPr>
          <w:trHeight w:val="20"/>
        </w:trPr>
        <w:tc>
          <w:tcPr>
            <w:tcW w:w="478" w:type="dxa"/>
            <w:noWrap/>
          </w:tcPr>
          <w:p w14:paraId="0D4F9A2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B12</w:t>
            </w:r>
          </w:p>
        </w:tc>
        <w:tc>
          <w:tcPr>
            <w:tcW w:w="4284" w:type="dxa"/>
          </w:tcPr>
          <w:p w14:paraId="41D9048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3D90C59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Standard Damm </w:t>
            </w:r>
          </w:p>
        </w:tc>
        <w:tc>
          <w:tcPr>
            <w:tcW w:w="865" w:type="dxa"/>
            <w:noWrap/>
            <w:vAlign w:val="center"/>
          </w:tcPr>
          <w:p w14:paraId="75F9951C"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02DA5028"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0C41C11D"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519A19F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1FE27AC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4E8BEF7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96F832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607227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AC325E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6EA1C62" w14:textId="77777777" w:rsidTr="004954C9">
        <w:trPr>
          <w:trHeight w:val="20"/>
        </w:trPr>
        <w:tc>
          <w:tcPr>
            <w:tcW w:w="478" w:type="dxa"/>
            <w:noWrap/>
          </w:tcPr>
          <w:p w14:paraId="7AC8306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B13</w:t>
            </w:r>
          </w:p>
        </w:tc>
        <w:tc>
          <w:tcPr>
            <w:tcW w:w="4284" w:type="dxa"/>
          </w:tcPr>
          <w:p w14:paraId="6CF64BD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3FC76DC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Standard Einschnitt</w:t>
            </w:r>
          </w:p>
        </w:tc>
        <w:tc>
          <w:tcPr>
            <w:tcW w:w="865" w:type="dxa"/>
            <w:noWrap/>
            <w:vAlign w:val="center"/>
          </w:tcPr>
          <w:p w14:paraId="60CAADC6"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5A798043"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023A636F"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15054BA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0735081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884157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1E38A8D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EB2DAF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E86DD7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42E9364" w14:textId="77777777" w:rsidTr="004954C9">
        <w:trPr>
          <w:trHeight w:val="20"/>
        </w:trPr>
        <w:tc>
          <w:tcPr>
            <w:tcW w:w="478" w:type="dxa"/>
            <w:noWrap/>
          </w:tcPr>
          <w:p w14:paraId="5E4F976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B14</w:t>
            </w:r>
          </w:p>
        </w:tc>
        <w:tc>
          <w:tcPr>
            <w:tcW w:w="4284" w:type="dxa"/>
          </w:tcPr>
          <w:p w14:paraId="2E6FD59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H</w:t>
            </w:r>
          </w:p>
        </w:tc>
        <w:tc>
          <w:tcPr>
            <w:tcW w:w="865" w:type="dxa"/>
            <w:noWrap/>
            <w:vAlign w:val="center"/>
          </w:tcPr>
          <w:p w14:paraId="13619172"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21156D80"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4E168BFC"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52051D2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93B925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D6A108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1908439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D14BA5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F3E4D7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56534D1" w14:textId="77777777" w:rsidTr="004954C9">
        <w:trPr>
          <w:trHeight w:val="20"/>
        </w:trPr>
        <w:tc>
          <w:tcPr>
            <w:tcW w:w="478" w:type="dxa"/>
            <w:noWrap/>
          </w:tcPr>
          <w:p w14:paraId="29D92FE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B15</w:t>
            </w:r>
          </w:p>
        </w:tc>
        <w:tc>
          <w:tcPr>
            <w:tcW w:w="4284" w:type="dxa"/>
          </w:tcPr>
          <w:p w14:paraId="0C0FA33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4EF41BF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H modifiziert</w:t>
            </w:r>
          </w:p>
        </w:tc>
        <w:tc>
          <w:tcPr>
            <w:tcW w:w="865" w:type="dxa"/>
            <w:noWrap/>
            <w:vAlign w:val="center"/>
          </w:tcPr>
          <w:p w14:paraId="05E2918E"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r w:rsidRPr="00722A47">
              <w:rPr>
                <w:rFonts w:ascii="Times New Roman" w:eastAsia="Times New Roman" w:hAnsi="Times New Roman" w:cs="Times New Roman"/>
                <w:b/>
                <w:sz w:val="24"/>
                <w:szCs w:val="20"/>
                <w:vertAlign w:val="superscript"/>
                <w:lang w:eastAsia="de-DE"/>
              </w:rPr>
              <w:t>2)</w:t>
            </w:r>
          </w:p>
        </w:tc>
        <w:tc>
          <w:tcPr>
            <w:tcW w:w="675" w:type="dxa"/>
            <w:noWrap/>
            <w:vAlign w:val="center"/>
          </w:tcPr>
          <w:p w14:paraId="5FF6A37D"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13EAE760"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35BB161B"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79" w:type="dxa"/>
            <w:vAlign w:val="center"/>
          </w:tcPr>
          <w:p w14:paraId="654BE78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BFEA241"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81" w:type="dxa"/>
            <w:vAlign w:val="center"/>
          </w:tcPr>
          <w:p w14:paraId="62A35A8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2FD4A86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C4CB26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BABC714" w14:textId="77777777" w:rsidTr="004954C9">
        <w:trPr>
          <w:trHeight w:val="20"/>
        </w:trPr>
        <w:tc>
          <w:tcPr>
            <w:tcW w:w="478" w:type="dxa"/>
            <w:noWrap/>
          </w:tcPr>
          <w:p w14:paraId="46A82B7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B16</w:t>
            </w:r>
          </w:p>
        </w:tc>
        <w:tc>
          <w:tcPr>
            <w:tcW w:w="4284" w:type="dxa"/>
          </w:tcPr>
          <w:p w14:paraId="3C99341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w:t>
            </w:r>
          </w:p>
        </w:tc>
        <w:tc>
          <w:tcPr>
            <w:tcW w:w="865" w:type="dxa"/>
            <w:noWrap/>
            <w:vAlign w:val="center"/>
          </w:tcPr>
          <w:p w14:paraId="5C708D2E"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r w:rsidRPr="00722A47">
              <w:rPr>
                <w:rFonts w:ascii="Times New Roman" w:eastAsia="Times New Roman" w:hAnsi="Times New Roman" w:cs="Times New Roman"/>
                <w:b/>
                <w:sz w:val="24"/>
                <w:szCs w:val="20"/>
                <w:vertAlign w:val="superscript"/>
                <w:lang w:eastAsia="de-DE"/>
              </w:rPr>
              <w:t>3)</w:t>
            </w:r>
          </w:p>
        </w:tc>
        <w:tc>
          <w:tcPr>
            <w:tcW w:w="675" w:type="dxa"/>
            <w:noWrap/>
            <w:vAlign w:val="center"/>
          </w:tcPr>
          <w:p w14:paraId="64E4FF57"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4024A072"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582C0835"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679" w:type="dxa"/>
            <w:vAlign w:val="center"/>
          </w:tcPr>
          <w:p w14:paraId="2C43CE7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4053A230"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681" w:type="dxa"/>
            <w:vAlign w:val="center"/>
          </w:tcPr>
          <w:p w14:paraId="6381DCC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0800D51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2FB3EF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979CDF1" w14:textId="77777777" w:rsidTr="004954C9">
        <w:trPr>
          <w:trHeight w:val="20"/>
        </w:trPr>
        <w:tc>
          <w:tcPr>
            <w:tcW w:w="478" w:type="dxa"/>
            <w:noWrap/>
          </w:tcPr>
          <w:p w14:paraId="2800FDF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B17</w:t>
            </w:r>
          </w:p>
        </w:tc>
        <w:tc>
          <w:tcPr>
            <w:tcW w:w="4284" w:type="dxa"/>
          </w:tcPr>
          <w:p w14:paraId="491BD34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w:t>
            </w:r>
          </w:p>
        </w:tc>
        <w:tc>
          <w:tcPr>
            <w:tcW w:w="865" w:type="dxa"/>
            <w:noWrap/>
            <w:vAlign w:val="center"/>
          </w:tcPr>
          <w:p w14:paraId="4B864ABA"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79ED90EB"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29DD6EEC"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2EF52EC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0F10300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B0E7A8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757FFAB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9C21E9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71D48A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13B2AE8" w14:textId="77777777" w:rsidTr="004954C9">
        <w:trPr>
          <w:trHeight w:val="20"/>
        </w:trPr>
        <w:tc>
          <w:tcPr>
            <w:tcW w:w="478" w:type="dxa"/>
            <w:noWrap/>
          </w:tcPr>
          <w:p w14:paraId="50DE802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B18</w:t>
            </w:r>
          </w:p>
        </w:tc>
        <w:tc>
          <w:tcPr>
            <w:tcW w:w="4284" w:type="dxa"/>
          </w:tcPr>
          <w:p w14:paraId="02E622E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 mit Randwegabdichtung oberhalb der FSS</w:t>
            </w:r>
          </w:p>
        </w:tc>
        <w:tc>
          <w:tcPr>
            <w:tcW w:w="865" w:type="dxa"/>
            <w:noWrap/>
            <w:vAlign w:val="center"/>
          </w:tcPr>
          <w:p w14:paraId="51D65C4C"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279FC207"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36E35F09"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4BC1A39A"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9" w:type="dxa"/>
            <w:vAlign w:val="center"/>
          </w:tcPr>
          <w:p w14:paraId="5EAE21C9"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08" w:type="dxa"/>
            <w:noWrap/>
            <w:vAlign w:val="center"/>
          </w:tcPr>
          <w:p w14:paraId="595309DD"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81" w:type="dxa"/>
            <w:shd w:val="clear" w:color="auto" w:fill="auto"/>
            <w:vAlign w:val="center"/>
          </w:tcPr>
          <w:p w14:paraId="61AE481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60F736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9CB8F0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6AD4448C" w14:textId="77777777" w:rsidTr="004954C9">
        <w:trPr>
          <w:trHeight w:val="20"/>
        </w:trPr>
        <w:tc>
          <w:tcPr>
            <w:tcW w:w="478" w:type="dxa"/>
            <w:noWrap/>
          </w:tcPr>
          <w:p w14:paraId="75E9C99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B19</w:t>
            </w:r>
          </w:p>
        </w:tc>
        <w:tc>
          <w:tcPr>
            <w:tcW w:w="4284" w:type="dxa"/>
          </w:tcPr>
          <w:p w14:paraId="24E69DD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 mit Randwegabdichtung</w:t>
            </w:r>
          </w:p>
        </w:tc>
        <w:tc>
          <w:tcPr>
            <w:tcW w:w="865" w:type="dxa"/>
            <w:noWrap/>
            <w:vAlign w:val="center"/>
          </w:tcPr>
          <w:p w14:paraId="3E42E733"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r w:rsidRPr="00722A47">
              <w:rPr>
                <w:rFonts w:ascii="Times New Roman" w:eastAsia="Times New Roman" w:hAnsi="Times New Roman" w:cs="Times New Roman"/>
                <w:b/>
                <w:sz w:val="24"/>
                <w:szCs w:val="20"/>
                <w:vertAlign w:val="superscript"/>
                <w:lang w:eastAsia="de-DE"/>
              </w:rPr>
              <w:t>3)</w:t>
            </w:r>
          </w:p>
        </w:tc>
        <w:tc>
          <w:tcPr>
            <w:tcW w:w="675" w:type="dxa"/>
            <w:noWrap/>
            <w:vAlign w:val="center"/>
          </w:tcPr>
          <w:p w14:paraId="27AC670C"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1BF9F0D5"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5E98DB11"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679" w:type="dxa"/>
            <w:vAlign w:val="center"/>
          </w:tcPr>
          <w:p w14:paraId="29190427"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4"/>
                <w:lang w:eastAsia="de-DE"/>
              </w:rPr>
              <w:t>+</w:t>
            </w:r>
          </w:p>
        </w:tc>
        <w:tc>
          <w:tcPr>
            <w:tcW w:w="508" w:type="dxa"/>
            <w:noWrap/>
            <w:vAlign w:val="center"/>
          </w:tcPr>
          <w:p w14:paraId="3FC11200"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681" w:type="dxa"/>
            <w:vAlign w:val="center"/>
          </w:tcPr>
          <w:p w14:paraId="6CDC6EED"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F986DA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5B2E3A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78AC77F" w14:textId="77777777" w:rsidTr="004954C9">
        <w:trPr>
          <w:trHeight w:val="20"/>
        </w:trPr>
        <w:tc>
          <w:tcPr>
            <w:tcW w:w="478" w:type="dxa"/>
            <w:noWrap/>
          </w:tcPr>
          <w:p w14:paraId="6C56A8C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B20</w:t>
            </w:r>
          </w:p>
        </w:tc>
        <w:tc>
          <w:tcPr>
            <w:tcW w:w="4284" w:type="dxa"/>
          </w:tcPr>
          <w:p w14:paraId="5395556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unterhalb </w:t>
            </w: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bzw. PSS der Bahnbauweise E 1</w:t>
            </w:r>
          </w:p>
        </w:tc>
        <w:tc>
          <w:tcPr>
            <w:tcW w:w="865" w:type="dxa"/>
            <w:noWrap/>
            <w:vAlign w:val="center"/>
          </w:tcPr>
          <w:p w14:paraId="22FAF191"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10121FA5"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2254B9DC"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276AFA4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E0F2E1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3768BF3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487D638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0D60CA4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53CC62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5751851" w14:textId="77777777" w:rsidTr="004954C9">
        <w:trPr>
          <w:trHeight w:val="20"/>
        </w:trPr>
        <w:tc>
          <w:tcPr>
            <w:tcW w:w="478" w:type="dxa"/>
            <w:noWrap/>
          </w:tcPr>
          <w:p w14:paraId="42141A3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B21</w:t>
            </w:r>
          </w:p>
        </w:tc>
        <w:tc>
          <w:tcPr>
            <w:tcW w:w="4284" w:type="dxa"/>
          </w:tcPr>
          <w:p w14:paraId="183FA4D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1 mit Dichtungselement auf dem Planum</w:t>
            </w:r>
          </w:p>
        </w:tc>
        <w:tc>
          <w:tcPr>
            <w:tcW w:w="865" w:type="dxa"/>
            <w:noWrap/>
            <w:vAlign w:val="center"/>
          </w:tcPr>
          <w:p w14:paraId="5CA3067F"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753D19CA"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44134A8D"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331FD9EA"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9" w:type="dxa"/>
            <w:vAlign w:val="center"/>
          </w:tcPr>
          <w:p w14:paraId="67F7C5EA"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08" w:type="dxa"/>
            <w:noWrap/>
            <w:vAlign w:val="center"/>
          </w:tcPr>
          <w:p w14:paraId="27708F08"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81" w:type="dxa"/>
            <w:shd w:val="clear" w:color="auto" w:fill="auto"/>
            <w:vAlign w:val="center"/>
          </w:tcPr>
          <w:p w14:paraId="242BE46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2E5E34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84C62C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53337428" w14:textId="77777777" w:rsidTr="004954C9">
        <w:trPr>
          <w:trHeight w:val="20"/>
        </w:trPr>
        <w:tc>
          <w:tcPr>
            <w:tcW w:w="478" w:type="dxa"/>
            <w:noWrap/>
          </w:tcPr>
          <w:p w14:paraId="2832E0F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B22</w:t>
            </w:r>
          </w:p>
        </w:tc>
        <w:tc>
          <w:tcPr>
            <w:tcW w:w="4284" w:type="dxa"/>
          </w:tcPr>
          <w:p w14:paraId="42EC982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Tragschicht als witterungsunempfindliches Dichtungselement der Bahnbauweise E 2</w:t>
            </w:r>
          </w:p>
        </w:tc>
        <w:tc>
          <w:tcPr>
            <w:tcW w:w="865" w:type="dxa"/>
            <w:noWrap/>
            <w:vAlign w:val="center"/>
          </w:tcPr>
          <w:p w14:paraId="0994F944"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r w:rsidRPr="00722A47">
              <w:rPr>
                <w:rFonts w:ascii="Times New Roman" w:eastAsia="Times New Roman" w:hAnsi="Times New Roman" w:cs="Times New Roman"/>
                <w:b/>
                <w:sz w:val="24"/>
                <w:szCs w:val="20"/>
                <w:vertAlign w:val="superscript"/>
                <w:lang w:eastAsia="de-DE"/>
              </w:rPr>
              <w:t>1)</w:t>
            </w:r>
          </w:p>
        </w:tc>
        <w:tc>
          <w:tcPr>
            <w:tcW w:w="675" w:type="dxa"/>
            <w:noWrap/>
            <w:vAlign w:val="center"/>
          </w:tcPr>
          <w:p w14:paraId="332B5FEC"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220BBFBF"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37C7C227"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vAlign w:val="center"/>
          </w:tcPr>
          <w:p w14:paraId="05701BC0"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b/>
                <w:sz w:val="24"/>
                <w:szCs w:val="20"/>
                <w:lang w:eastAsia="de-DE"/>
              </w:rPr>
              <w:t>+</w:t>
            </w:r>
          </w:p>
        </w:tc>
        <w:tc>
          <w:tcPr>
            <w:tcW w:w="508" w:type="dxa"/>
            <w:noWrap/>
            <w:vAlign w:val="center"/>
          </w:tcPr>
          <w:p w14:paraId="38E55676"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vAlign w:val="center"/>
          </w:tcPr>
          <w:p w14:paraId="5132D22B"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551" w:type="dxa"/>
            <w:shd w:val="clear" w:color="auto" w:fill="auto"/>
            <w:noWrap/>
            <w:vAlign w:val="center"/>
          </w:tcPr>
          <w:p w14:paraId="25B5ABA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5867B4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349130D" w14:textId="77777777" w:rsidTr="004954C9">
        <w:trPr>
          <w:trHeight w:val="20"/>
        </w:trPr>
        <w:tc>
          <w:tcPr>
            <w:tcW w:w="478" w:type="dxa"/>
            <w:noWrap/>
          </w:tcPr>
          <w:p w14:paraId="77FC12E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B23</w:t>
            </w:r>
          </w:p>
        </w:tc>
        <w:tc>
          <w:tcPr>
            <w:tcW w:w="4284" w:type="dxa"/>
          </w:tcPr>
          <w:p w14:paraId="1C6ED34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2</w:t>
            </w:r>
          </w:p>
        </w:tc>
        <w:tc>
          <w:tcPr>
            <w:tcW w:w="865" w:type="dxa"/>
            <w:noWrap/>
            <w:vAlign w:val="center"/>
          </w:tcPr>
          <w:p w14:paraId="62AB57A0"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624D8E5B"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545B3537"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4A1557F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FDDA36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4D1C6F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ECA957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1CD50F1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4B0877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AF15605" w14:textId="77777777" w:rsidTr="004954C9">
        <w:trPr>
          <w:trHeight w:val="20"/>
        </w:trPr>
        <w:tc>
          <w:tcPr>
            <w:tcW w:w="478" w:type="dxa"/>
            <w:noWrap/>
          </w:tcPr>
          <w:p w14:paraId="556CD67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B24</w:t>
            </w:r>
          </w:p>
        </w:tc>
        <w:tc>
          <w:tcPr>
            <w:tcW w:w="4284" w:type="dxa"/>
          </w:tcPr>
          <w:p w14:paraId="4B6CF0C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und Unterbau (Damm) der Bahnbauweise E 3a</w:t>
            </w:r>
          </w:p>
        </w:tc>
        <w:tc>
          <w:tcPr>
            <w:tcW w:w="865" w:type="dxa"/>
            <w:noWrap/>
            <w:vAlign w:val="center"/>
          </w:tcPr>
          <w:p w14:paraId="2D5E79DC"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1C75A5CC"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6866316A"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3382931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3519C3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CE1DE8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0232CB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0769D5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17E723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5B806E8" w14:textId="77777777" w:rsidTr="004954C9">
        <w:trPr>
          <w:trHeight w:val="20"/>
        </w:trPr>
        <w:tc>
          <w:tcPr>
            <w:tcW w:w="478" w:type="dxa"/>
            <w:noWrap/>
          </w:tcPr>
          <w:p w14:paraId="677DB8B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B25</w:t>
            </w:r>
          </w:p>
        </w:tc>
        <w:tc>
          <w:tcPr>
            <w:tcW w:w="4284" w:type="dxa"/>
          </w:tcPr>
          <w:p w14:paraId="5D23EF1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der Bahnbauweise E 3b</w:t>
            </w:r>
          </w:p>
        </w:tc>
        <w:tc>
          <w:tcPr>
            <w:tcW w:w="865" w:type="dxa"/>
            <w:noWrap/>
            <w:vAlign w:val="center"/>
          </w:tcPr>
          <w:p w14:paraId="469912F0"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79784E23"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175A8376"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06720B5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6029579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D1290B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C470AF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0C7D301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9AB250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3D4D494A" w14:textId="77777777" w:rsidTr="004954C9">
        <w:trPr>
          <w:trHeight w:val="208"/>
        </w:trPr>
        <w:tc>
          <w:tcPr>
            <w:tcW w:w="478" w:type="dxa"/>
            <w:noWrap/>
          </w:tcPr>
          <w:p w14:paraId="2FEDE72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B26</w:t>
            </w:r>
          </w:p>
        </w:tc>
        <w:tc>
          <w:tcPr>
            <w:tcW w:w="4284" w:type="dxa"/>
          </w:tcPr>
          <w:p w14:paraId="54CA443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3b</w:t>
            </w:r>
          </w:p>
        </w:tc>
        <w:tc>
          <w:tcPr>
            <w:tcW w:w="865" w:type="dxa"/>
            <w:noWrap/>
            <w:vAlign w:val="center"/>
          </w:tcPr>
          <w:p w14:paraId="6EA906BE"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75" w:type="dxa"/>
            <w:noWrap/>
            <w:vAlign w:val="center"/>
          </w:tcPr>
          <w:p w14:paraId="65748967"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1205" w:type="dxa"/>
            <w:noWrap/>
            <w:vAlign w:val="center"/>
          </w:tcPr>
          <w:p w14:paraId="42C8214A" w14:textId="77777777" w:rsidR="00722A47" w:rsidRPr="00722A47" w:rsidRDefault="00722A47" w:rsidP="00722A47">
            <w:pPr>
              <w:spacing w:before="0" w:after="0"/>
              <w:jc w:val="center"/>
              <w:rPr>
                <w:rFonts w:ascii="Times New Roman" w:eastAsia="Times New Roman" w:hAnsi="Times New Roman" w:cs="Times New Roman"/>
                <w:sz w:val="24"/>
                <w:szCs w:val="20"/>
                <w:lang w:eastAsia="de-DE"/>
              </w:rPr>
            </w:pPr>
            <w:r w:rsidRPr="00722A47">
              <w:rPr>
                <w:rFonts w:ascii="Times New Roman" w:eastAsia="Times New Roman" w:hAnsi="Times New Roman" w:cs="Times New Roman"/>
                <w:sz w:val="24"/>
                <w:szCs w:val="20"/>
                <w:lang w:eastAsia="de-DE"/>
              </w:rPr>
              <w:t>+</w:t>
            </w:r>
          </w:p>
        </w:tc>
        <w:tc>
          <w:tcPr>
            <w:tcW w:w="607" w:type="dxa"/>
            <w:noWrap/>
            <w:vAlign w:val="center"/>
          </w:tcPr>
          <w:p w14:paraId="12B1EAC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E8988E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D56A66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03A304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35C025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BD2B3E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bl>
    <w:p w14:paraId="59016C94" w14:textId="77777777" w:rsidR="00722A47" w:rsidRPr="00722A47" w:rsidRDefault="00722A47" w:rsidP="00722A47">
      <w:pPr>
        <w:tabs>
          <w:tab w:val="left" w:pos="142"/>
        </w:tabs>
        <w:spacing w:before="0" w:after="0"/>
        <w:ind w:left="142" w:hanging="142"/>
        <w:jc w:val="left"/>
        <w:rPr>
          <w:rFonts w:ascii="Times New Roman" w:eastAsia="Times New Roman" w:hAnsi="Times New Roman" w:cs="Times New Roman"/>
          <w:sz w:val="16"/>
          <w:szCs w:val="20"/>
          <w:lang w:eastAsia="de-DE"/>
        </w:rPr>
      </w:pPr>
      <w:r>
        <w:rPr>
          <w:rFonts w:ascii="Times New Roman" w:eastAsia="Times New Roman" w:hAnsi="Times New Roman" w:cs="Times New Roman"/>
          <w:sz w:val="16"/>
          <w:szCs w:val="20"/>
          <w:lang w:eastAsia="de-DE"/>
        </w:rPr>
        <w:t xml:space="preserve">1) </w:t>
      </w:r>
      <w:r w:rsidRPr="00722A47">
        <w:rPr>
          <w:rFonts w:ascii="Times New Roman" w:eastAsia="Times New Roman" w:hAnsi="Times New Roman" w:cs="Times New Roman"/>
          <w:sz w:val="16"/>
          <w:szCs w:val="20"/>
          <w:lang w:eastAsia="de-DE"/>
        </w:rPr>
        <w:t xml:space="preserve">Zulässig, wenn </w:t>
      </w:r>
      <w:proofErr w:type="gramStart"/>
      <w:r w:rsidRPr="00722A47">
        <w:rPr>
          <w:rFonts w:ascii="Times New Roman" w:eastAsia="Times New Roman" w:hAnsi="Times New Roman" w:cs="Times New Roman"/>
          <w:sz w:val="16"/>
          <w:szCs w:val="20"/>
          <w:lang w:eastAsia="de-DE"/>
        </w:rPr>
        <w:t>Glyphosat ,</w:t>
      </w:r>
      <w:proofErr w:type="gramEnd"/>
      <w:r w:rsidRPr="00722A47">
        <w:rPr>
          <w:rFonts w:ascii="Times New Roman" w:eastAsia="Times New Roman" w:hAnsi="Times New Roman" w:cs="Times New Roman"/>
          <w:sz w:val="16"/>
          <w:szCs w:val="20"/>
          <w:lang w:eastAsia="de-DE"/>
        </w:rPr>
        <w:t xml:space="preserve"> </w:t>
      </w:r>
      <w:proofErr w:type="spellStart"/>
      <w:r w:rsidRPr="00722A47">
        <w:rPr>
          <w:rFonts w:ascii="Times New Roman" w:eastAsia="Times New Roman" w:hAnsi="Times New Roman" w:cs="Times New Roman"/>
          <w:sz w:val="16"/>
          <w:szCs w:val="20"/>
          <w:lang w:eastAsia="de-DE"/>
        </w:rPr>
        <w:t>Simazin</w:t>
      </w:r>
      <w:proofErr w:type="spellEnd"/>
      <w:r w:rsidRPr="00722A47">
        <w:rPr>
          <w:rFonts w:ascii="Times New Roman" w:eastAsia="Times New Roman" w:hAnsi="Times New Roman" w:cs="Times New Roman"/>
          <w:sz w:val="16"/>
          <w:szCs w:val="20"/>
          <w:lang w:eastAsia="de-DE"/>
        </w:rPr>
        <w:t xml:space="preserve"> und sonstige Herbizide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1,2 µg/l.</w:t>
      </w:r>
    </w:p>
    <w:p w14:paraId="26AF5BA9" w14:textId="77777777" w:rsidR="00722A47" w:rsidRPr="00722A47" w:rsidRDefault="00722A47" w:rsidP="00722A47">
      <w:pPr>
        <w:tabs>
          <w:tab w:val="left" w:pos="142"/>
        </w:tabs>
        <w:spacing w:before="0" w:after="0"/>
        <w:ind w:left="142" w:hanging="142"/>
        <w:jc w:val="left"/>
        <w:rPr>
          <w:rFonts w:ascii="Times New Roman" w:eastAsia="Times New Roman" w:hAnsi="Times New Roman" w:cs="Times New Roman"/>
          <w:sz w:val="16"/>
          <w:szCs w:val="20"/>
          <w:lang w:eastAsia="de-DE"/>
        </w:rPr>
      </w:pPr>
      <w:r>
        <w:rPr>
          <w:rFonts w:ascii="Times New Roman" w:eastAsia="Times New Roman" w:hAnsi="Times New Roman" w:cs="Times New Roman"/>
          <w:sz w:val="16"/>
          <w:szCs w:val="20"/>
          <w:lang w:eastAsia="de-DE"/>
        </w:rPr>
        <w:t xml:space="preserve">2) </w:t>
      </w:r>
      <w:r w:rsidRPr="00722A47">
        <w:rPr>
          <w:rFonts w:ascii="Times New Roman" w:eastAsia="Times New Roman" w:hAnsi="Times New Roman" w:cs="Times New Roman"/>
          <w:sz w:val="16"/>
          <w:szCs w:val="20"/>
          <w:lang w:eastAsia="de-DE"/>
        </w:rPr>
        <w:t xml:space="preserve">Zulässig, wenn </w:t>
      </w:r>
      <w:proofErr w:type="gramStart"/>
      <w:r w:rsidRPr="00722A47">
        <w:rPr>
          <w:rFonts w:ascii="Times New Roman" w:eastAsia="Times New Roman" w:hAnsi="Times New Roman" w:cs="Times New Roman"/>
          <w:sz w:val="16"/>
          <w:szCs w:val="20"/>
          <w:lang w:eastAsia="de-DE"/>
        </w:rPr>
        <w:t>Glyphosat ,</w:t>
      </w:r>
      <w:proofErr w:type="gramEnd"/>
      <w:r w:rsidRPr="00722A47">
        <w:rPr>
          <w:rFonts w:ascii="Times New Roman" w:eastAsia="Times New Roman" w:hAnsi="Times New Roman" w:cs="Times New Roman"/>
          <w:sz w:val="16"/>
          <w:szCs w:val="20"/>
          <w:lang w:eastAsia="de-DE"/>
        </w:rPr>
        <w:t xml:space="preserve"> </w:t>
      </w:r>
      <w:proofErr w:type="spellStart"/>
      <w:r w:rsidRPr="00722A47">
        <w:rPr>
          <w:rFonts w:ascii="Times New Roman" w:eastAsia="Times New Roman" w:hAnsi="Times New Roman" w:cs="Times New Roman"/>
          <w:sz w:val="16"/>
          <w:szCs w:val="20"/>
          <w:lang w:eastAsia="de-DE"/>
        </w:rPr>
        <w:t>Simazin</w:t>
      </w:r>
      <w:proofErr w:type="spellEnd"/>
      <w:r w:rsidRPr="00722A47">
        <w:rPr>
          <w:rFonts w:ascii="Times New Roman" w:eastAsia="Times New Roman" w:hAnsi="Times New Roman" w:cs="Times New Roman"/>
          <w:sz w:val="16"/>
          <w:szCs w:val="20"/>
          <w:lang w:eastAsia="de-DE"/>
        </w:rPr>
        <w:t xml:space="preserve">, sonstige Herbizide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1,0 µg/l und PAK15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2,0 µg/l.</w:t>
      </w:r>
    </w:p>
    <w:p w14:paraId="305C1978" w14:textId="77777777" w:rsidR="00722A47" w:rsidRPr="00722A47" w:rsidRDefault="00722A47" w:rsidP="00722A47">
      <w:pPr>
        <w:tabs>
          <w:tab w:val="left" w:pos="142"/>
        </w:tabs>
        <w:spacing w:before="0" w:after="0"/>
        <w:ind w:left="142" w:hanging="142"/>
        <w:jc w:val="left"/>
        <w:rPr>
          <w:rFonts w:ascii="Times New Roman" w:eastAsia="Times New Roman" w:hAnsi="Times New Roman" w:cs="Times New Roman"/>
          <w:sz w:val="16"/>
          <w:szCs w:val="20"/>
          <w:lang w:eastAsia="de-DE"/>
        </w:rPr>
      </w:pPr>
      <w:r>
        <w:rPr>
          <w:rFonts w:ascii="Times New Roman" w:eastAsia="Times New Roman" w:hAnsi="Times New Roman" w:cs="Times New Roman"/>
          <w:sz w:val="16"/>
          <w:szCs w:val="20"/>
          <w:lang w:eastAsia="de-DE"/>
        </w:rPr>
        <w:t xml:space="preserve">3) </w:t>
      </w:r>
      <w:r w:rsidRPr="00722A47">
        <w:rPr>
          <w:rFonts w:ascii="Times New Roman" w:eastAsia="Times New Roman" w:hAnsi="Times New Roman" w:cs="Times New Roman"/>
          <w:sz w:val="16"/>
          <w:szCs w:val="20"/>
          <w:lang w:eastAsia="de-DE"/>
        </w:rPr>
        <w:t xml:space="preserve">Zulässig, wenn </w:t>
      </w:r>
      <w:proofErr w:type="gramStart"/>
      <w:r w:rsidRPr="00722A47">
        <w:rPr>
          <w:rFonts w:ascii="Times New Roman" w:eastAsia="Times New Roman" w:hAnsi="Times New Roman" w:cs="Times New Roman"/>
          <w:sz w:val="16"/>
          <w:szCs w:val="20"/>
          <w:lang w:eastAsia="de-DE"/>
        </w:rPr>
        <w:t>Glyphosat ,</w:t>
      </w:r>
      <w:proofErr w:type="gramEnd"/>
      <w:r w:rsidRPr="00722A47">
        <w:rPr>
          <w:rFonts w:ascii="Times New Roman" w:eastAsia="Times New Roman" w:hAnsi="Times New Roman" w:cs="Times New Roman"/>
          <w:sz w:val="16"/>
          <w:szCs w:val="20"/>
          <w:lang w:eastAsia="de-DE"/>
        </w:rPr>
        <w:t xml:space="preserve"> </w:t>
      </w:r>
      <w:proofErr w:type="spellStart"/>
      <w:r w:rsidRPr="00722A47">
        <w:rPr>
          <w:rFonts w:ascii="Times New Roman" w:eastAsia="Times New Roman" w:hAnsi="Times New Roman" w:cs="Times New Roman"/>
          <w:sz w:val="16"/>
          <w:szCs w:val="20"/>
          <w:lang w:eastAsia="de-DE"/>
        </w:rPr>
        <w:t>Simazin</w:t>
      </w:r>
      <w:proofErr w:type="spellEnd"/>
      <w:r w:rsidRPr="00722A47">
        <w:rPr>
          <w:rFonts w:ascii="Times New Roman" w:eastAsia="Times New Roman" w:hAnsi="Times New Roman" w:cs="Times New Roman"/>
          <w:sz w:val="16"/>
          <w:szCs w:val="20"/>
          <w:lang w:eastAsia="de-DE"/>
        </w:rPr>
        <w:t xml:space="preserve"> und sonstige Herbizide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1,3 µg/l.</w:t>
      </w:r>
    </w:p>
    <w:p w14:paraId="23DC36B8" w14:textId="6223A2EA" w:rsidR="00722A47" w:rsidRPr="008D0377" w:rsidRDefault="00722A47" w:rsidP="00722A47">
      <w:pPr>
        <w:pStyle w:val="berschrift1"/>
      </w:pPr>
      <w:r>
        <w:rPr>
          <w:rFonts w:ascii="Century" w:eastAsia="Times New Roman" w:hAnsi="Century" w:cs="Times New Roman"/>
          <w:sz w:val="24"/>
          <w:szCs w:val="20"/>
          <w:lang w:eastAsia="de-DE"/>
        </w:rPr>
        <w:br w:type="page"/>
      </w:r>
      <w:r w:rsidRPr="008D0377">
        <w:lastRenderedPageBreak/>
        <w:t>Tabelle 6: Gleisschotter der Klasse 2 (GS-2)</w:t>
      </w:r>
    </w:p>
    <w:p w14:paraId="522BEAB0" w14:textId="77777777" w:rsidR="00722A47" w:rsidRPr="00722A47" w:rsidRDefault="00722A47" w:rsidP="00722A47">
      <w:pPr>
        <w:pStyle w:val="Text"/>
      </w:pPr>
    </w:p>
    <w:tbl>
      <w:tblPr>
        <w:tblW w:w="11214" w:type="dxa"/>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
        <w:gridCol w:w="4284"/>
        <w:gridCol w:w="865"/>
        <w:gridCol w:w="675"/>
        <w:gridCol w:w="1205"/>
        <w:gridCol w:w="607"/>
        <w:gridCol w:w="715"/>
        <w:gridCol w:w="508"/>
        <w:gridCol w:w="715"/>
        <w:gridCol w:w="551"/>
        <w:gridCol w:w="715"/>
      </w:tblGrid>
      <w:tr w:rsidR="00722A47" w:rsidRPr="00722A47" w14:paraId="526A83F6" w14:textId="77777777" w:rsidTr="004954C9">
        <w:trPr>
          <w:trHeight w:val="330"/>
        </w:trPr>
        <w:tc>
          <w:tcPr>
            <w:tcW w:w="11214" w:type="dxa"/>
            <w:gridSpan w:val="11"/>
            <w:noWrap/>
            <w:vAlign w:val="bottom"/>
          </w:tcPr>
          <w:p w14:paraId="79D74477" w14:textId="77777777" w:rsidR="00722A47" w:rsidRPr="00722A47" w:rsidRDefault="00722A47" w:rsidP="00722A47">
            <w:pPr>
              <w:spacing w:before="0" w:after="0"/>
              <w:jc w:val="center"/>
              <w:rPr>
                <w:rFonts w:ascii="Times New Roman" w:eastAsia="Times New Roman" w:hAnsi="Times New Roman" w:cs="Times New Roman"/>
                <w:b/>
                <w:bCs/>
                <w:sz w:val="24"/>
                <w:szCs w:val="24"/>
                <w:lang w:eastAsia="de-DE"/>
              </w:rPr>
            </w:pPr>
            <w:r w:rsidRPr="00722A47">
              <w:rPr>
                <w:rFonts w:ascii="Times New Roman" w:eastAsia="Times New Roman" w:hAnsi="Times New Roman" w:cs="Times New Roman"/>
                <w:b/>
                <w:sz w:val="24"/>
                <w:szCs w:val="20"/>
                <w:lang w:eastAsia="de-DE"/>
              </w:rPr>
              <w:br w:type="page"/>
            </w:r>
            <w:r w:rsidRPr="00722A47">
              <w:rPr>
                <w:rFonts w:ascii="Times New Roman" w:eastAsia="Times New Roman" w:hAnsi="Times New Roman" w:cs="Times New Roman"/>
                <w:b/>
                <w:sz w:val="24"/>
                <w:szCs w:val="24"/>
                <w:lang w:eastAsia="de-DE"/>
              </w:rPr>
              <w:t>Gleisschotter der Klasse 2 (</w:t>
            </w:r>
            <w:r w:rsidRPr="00722A47">
              <w:rPr>
                <w:rFonts w:ascii="Times New Roman" w:eastAsia="Times New Roman" w:hAnsi="Times New Roman" w:cs="Tahoma"/>
                <w:b/>
                <w:bCs/>
                <w:sz w:val="24"/>
                <w:szCs w:val="24"/>
                <w:lang w:eastAsia="de-DE"/>
              </w:rPr>
              <w:t>GS-2)</w:t>
            </w:r>
          </w:p>
        </w:tc>
      </w:tr>
      <w:tr w:rsidR="00722A47" w:rsidRPr="00722A47" w14:paraId="13E797C0" w14:textId="77777777" w:rsidTr="004954C9">
        <w:trPr>
          <w:trHeight w:val="20"/>
        </w:trPr>
        <w:tc>
          <w:tcPr>
            <w:tcW w:w="4762" w:type="dxa"/>
            <w:gridSpan w:val="2"/>
            <w:vMerge w:val="restart"/>
            <w:shd w:val="clear" w:color="auto" w:fill="auto"/>
            <w:noWrap/>
          </w:tcPr>
          <w:p w14:paraId="5B556296"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Einbauweise</w:t>
            </w:r>
          </w:p>
        </w:tc>
        <w:tc>
          <w:tcPr>
            <w:tcW w:w="6452" w:type="dxa"/>
            <w:gridSpan w:val="9"/>
            <w:shd w:val="clear" w:color="auto" w:fill="auto"/>
            <w:noWrap/>
            <w:vAlign w:val="center"/>
          </w:tcPr>
          <w:p w14:paraId="75B3F5BF"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Eigenschaft der Grundwasserdeckschicht</w:t>
            </w:r>
          </w:p>
        </w:tc>
      </w:tr>
      <w:tr w:rsidR="00722A47" w:rsidRPr="00722A47" w14:paraId="1F3517AD" w14:textId="77777777" w:rsidTr="004954C9">
        <w:trPr>
          <w:trHeight w:val="20"/>
        </w:trPr>
        <w:tc>
          <w:tcPr>
            <w:tcW w:w="4762" w:type="dxa"/>
            <w:gridSpan w:val="2"/>
            <w:vMerge/>
            <w:shd w:val="clear" w:color="auto" w:fill="auto"/>
            <w:noWrap/>
            <w:vAlign w:val="center"/>
          </w:tcPr>
          <w:p w14:paraId="36B561DD" w14:textId="77777777" w:rsidR="00722A47" w:rsidRPr="00722A47" w:rsidRDefault="00722A47" w:rsidP="00722A47">
            <w:pPr>
              <w:spacing w:before="0" w:after="0"/>
              <w:jc w:val="center"/>
              <w:rPr>
                <w:rFonts w:ascii="Times New Roman" w:eastAsia="Times New Roman" w:hAnsi="Times New Roman" w:cs="Times New Roman"/>
                <w:sz w:val="20"/>
                <w:szCs w:val="24"/>
                <w:lang w:eastAsia="de-DE"/>
              </w:rPr>
            </w:pPr>
          </w:p>
        </w:tc>
        <w:tc>
          <w:tcPr>
            <w:tcW w:w="2745" w:type="dxa"/>
            <w:gridSpan w:val="3"/>
            <w:shd w:val="clear" w:color="auto" w:fill="auto"/>
            <w:noWrap/>
            <w:vAlign w:val="center"/>
          </w:tcPr>
          <w:p w14:paraId="67782F34"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außerhalb von</w:t>
            </w:r>
          </w:p>
          <w:p w14:paraId="08B7C884"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c>
          <w:tcPr>
            <w:tcW w:w="3707" w:type="dxa"/>
            <w:gridSpan w:val="6"/>
            <w:shd w:val="clear" w:color="auto" w:fill="auto"/>
            <w:noWrap/>
            <w:vAlign w:val="center"/>
          </w:tcPr>
          <w:p w14:paraId="0D9435A4"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innerhalb von</w:t>
            </w:r>
          </w:p>
          <w:p w14:paraId="09DA8536"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r>
      <w:tr w:rsidR="00722A47" w:rsidRPr="00722A47" w14:paraId="42E72BBE" w14:textId="77777777" w:rsidTr="004954C9">
        <w:trPr>
          <w:trHeight w:val="20"/>
        </w:trPr>
        <w:tc>
          <w:tcPr>
            <w:tcW w:w="4762" w:type="dxa"/>
            <w:gridSpan w:val="2"/>
            <w:vMerge/>
            <w:shd w:val="clear" w:color="auto" w:fill="auto"/>
            <w:noWrap/>
            <w:vAlign w:val="center"/>
          </w:tcPr>
          <w:p w14:paraId="52D9FE0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0FF2EC2C"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proofErr w:type="spellStart"/>
            <w:r w:rsidRPr="00722A47">
              <w:rPr>
                <w:rFonts w:ascii="Times New Roman" w:eastAsia="Times New Roman" w:hAnsi="Times New Roman" w:cs="Times New Roman"/>
                <w:sz w:val="20"/>
                <w:szCs w:val="20"/>
                <w:lang w:eastAsia="de-DE"/>
              </w:rPr>
              <w:t>un</w:t>
            </w:r>
            <w:proofErr w:type="spellEnd"/>
            <w:r w:rsidRPr="00722A47">
              <w:rPr>
                <w:rFonts w:ascii="Times New Roman" w:eastAsia="Times New Roman" w:hAnsi="Times New Roman" w:cs="Times New Roman"/>
                <w:sz w:val="20"/>
                <w:szCs w:val="20"/>
                <w:lang w:eastAsia="de-DE"/>
              </w:rPr>
              <w:t>-günstig</w:t>
            </w:r>
          </w:p>
        </w:tc>
        <w:tc>
          <w:tcPr>
            <w:tcW w:w="1880" w:type="dxa"/>
            <w:gridSpan w:val="2"/>
            <w:shd w:val="clear" w:color="auto" w:fill="auto"/>
            <w:noWrap/>
            <w:vAlign w:val="center"/>
          </w:tcPr>
          <w:p w14:paraId="755B0C1A"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c>
          <w:tcPr>
            <w:tcW w:w="3707" w:type="dxa"/>
            <w:gridSpan w:val="6"/>
            <w:shd w:val="clear" w:color="auto" w:fill="auto"/>
            <w:noWrap/>
            <w:vAlign w:val="center"/>
          </w:tcPr>
          <w:p w14:paraId="40EC4385"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r>
      <w:tr w:rsidR="00722A47" w:rsidRPr="00722A47" w14:paraId="49DAB62E" w14:textId="77777777" w:rsidTr="004954C9">
        <w:trPr>
          <w:trHeight w:val="20"/>
        </w:trPr>
        <w:tc>
          <w:tcPr>
            <w:tcW w:w="4762" w:type="dxa"/>
            <w:gridSpan w:val="2"/>
            <w:vMerge/>
            <w:shd w:val="clear" w:color="auto" w:fill="auto"/>
            <w:noWrap/>
            <w:vAlign w:val="center"/>
          </w:tcPr>
          <w:p w14:paraId="3985FD7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val="restart"/>
            <w:shd w:val="clear" w:color="auto" w:fill="auto"/>
            <w:noWrap/>
            <w:vAlign w:val="bottom"/>
          </w:tcPr>
          <w:p w14:paraId="645A08E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val="restart"/>
            <w:shd w:val="clear" w:color="auto" w:fill="auto"/>
            <w:noWrap/>
            <w:vAlign w:val="center"/>
          </w:tcPr>
          <w:p w14:paraId="6D14B97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1205" w:type="dxa"/>
            <w:vMerge w:val="restart"/>
            <w:shd w:val="clear" w:color="auto" w:fill="auto"/>
            <w:noWrap/>
            <w:vAlign w:val="center"/>
          </w:tcPr>
          <w:p w14:paraId="4F1B2C58" w14:textId="30F59A2B"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60811564" w14:textId="59282243"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531E8CF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1286" w:type="dxa"/>
            <w:gridSpan w:val="2"/>
            <w:shd w:val="clear" w:color="auto" w:fill="auto"/>
            <w:noWrap/>
            <w:vAlign w:val="center"/>
          </w:tcPr>
          <w:p w14:paraId="5612F8A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A</w:t>
            </w:r>
          </w:p>
        </w:tc>
        <w:tc>
          <w:tcPr>
            <w:tcW w:w="1189" w:type="dxa"/>
            <w:gridSpan w:val="2"/>
            <w:shd w:val="clear" w:color="auto" w:fill="auto"/>
            <w:noWrap/>
            <w:vAlign w:val="center"/>
          </w:tcPr>
          <w:p w14:paraId="30DA3AD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B</w:t>
            </w:r>
          </w:p>
        </w:tc>
        <w:tc>
          <w:tcPr>
            <w:tcW w:w="1232" w:type="dxa"/>
            <w:gridSpan w:val="2"/>
            <w:shd w:val="clear" w:color="auto" w:fill="auto"/>
            <w:noWrap/>
            <w:vAlign w:val="center"/>
          </w:tcPr>
          <w:p w14:paraId="3F0F527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Wasservor-</w:t>
            </w:r>
          </w:p>
        </w:tc>
      </w:tr>
      <w:tr w:rsidR="00722A47" w:rsidRPr="00722A47" w14:paraId="4CA050AB" w14:textId="77777777" w:rsidTr="004954C9">
        <w:trPr>
          <w:trHeight w:val="80"/>
        </w:trPr>
        <w:tc>
          <w:tcPr>
            <w:tcW w:w="4762" w:type="dxa"/>
            <w:gridSpan w:val="2"/>
            <w:vMerge/>
            <w:shd w:val="clear" w:color="auto" w:fill="auto"/>
            <w:noWrap/>
            <w:vAlign w:val="center"/>
          </w:tcPr>
          <w:p w14:paraId="668BE99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208D086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5D87C98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3D4C35A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86" w:type="dxa"/>
            <w:gridSpan w:val="2"/>
            <w:shd w:val="clear" w:color="auto" w:fill="auto"/>
            <w:noWrap/>
            <w:vAlign w:val="center"/>
          </w:tcPr>
          <w:p w14:paraId="2FB27B0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III</w:t>
            </w:r>
          </w:p>
        </w:tc>
        <w:tc>
          <w:tcPr>
            <w:tcW w:w="1189" w:type="dxa"/>
            <w:gridSpan w:val="2"/>
            <w:shd w:val="clear" w:color="auto" w:fill="auto"/>
            <w:noWrap/>
            <w:vAlign w:val="center"/>
          </w:tcPr>
          <w:p w14:paraId="6D26294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IV</w:t>
            </w:r>
          </w:p>
        </w:tc>
        <w:tc>
          <w:tcPr>
            <w:tcW w:w="1232" w:type="dxa"/>
            <w:gridSpan w:val="2"/>
            <w:shd w:val="clear" w:color="auto" w:fill="auto"/>
            <w:noWrap/>
            <w:vAlign w:val="center"/>
          </w:tcPr>
          <w:p w14:paraId="6C09BCE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ranggebiete</w:t>
            </w:r>
          </w:p>
        </w:tc>
      </w:tr>
      <w:tr w:rsidR="00722A47" w:rsidRPr="00722A47" w14:paraId="0DDF9C46" w14:textId="77777777" w:rsidTr="004954C9">
        <w:trPr>
          <w:trHeight w:val="80"/>
        </w:trPr>
        <w:tc>
          <w:tcPr>
            <w:tcW w:w="4762" w:type="dxa"/>
            <w:gridSpan w:val="2"/>
            <w:vMerge/>
            <w:shd w:val="clear" w:color="auto" w:fill="auto"/>
            <w:noWrap/>
            <w:vAlign w:val="center"/>
          </w:tcPr>
          <w:p w14:paraId="3D4381D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61DA020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038BD0D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25D7478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07" w:type="dxa"/>
            <w:shd w:val="clear" w:color="auto" w:fill="auto"/>
            <w:noWrap/>
            <w:vAlign w:val="center"/>
          </w:tcPr>
          <w:p w14:paraId="4EDF0EA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79" w:type="dxa"/>
            <w:shd w:val="clear" w:color="auto" w:fill="auto"/>
            <w:vAlign w:val="center"/>
          </w:tcPr>
          <w:p w14:paraId="5E431BDA" w14:textId="73B7387B"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4F905096" w14:textId="56FEC636"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6E7074E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08" w:type="dxa"/>
            <w:shd w:val="clear" w:color="auto" w:fill="auto"/>
            <w:noWrap/>
            <w:vAlign w:val="center"/>
          </w:tcPr>
          <w:p w14:paraId="6B4125F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3D5A7E86" w14:textId="0706E574"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53B4B604" w14:textId="2E9D52D5"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56B7A16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51" w:type="dxa"/>
            <w:shd w:val="clear" w:color="auto" w:fill="auto"/>
            <w:noWrap/>
            <w:vAlign w:val="center"/>
          </w:tcPr>
          <w:p w14:paraId="5DB7C01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6D51EE40" w14:textId="647F77FD"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7B2E05A8" w14:textId="092B111C"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2F9BFA5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r>
      <w:tr w:rsidR="00722A47" w:rsidRPr="00722A47" w14:paraId="54D4C540" w14:textId="77777777" w:rsidTr="004954C9">
        <w:trPr>
          <w:trHeight w:val="111"/>
        </w:trPr>
        <w:tc>
          <w:tcPr>
            <w:tcW w:w="4762" w:type="dxa"/>
            <w:gridSpan w:val="2"/>
            <w:vMerge/>
            <w:shd w:val="clear" w:color="auto" w:fill="auto"/>
            <w:noWrap/>
            <w:vAlign w:val="center"/>
          </w:tcPr>
          <w:p w14:paraId="567AD38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4112321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1</w:t>
            </w:r>
          </w:p>
        </w:tc>
        <w:tc>
          <w:tcPr>
            <w:tcW w:w="675" w:type="dxa"/>
            <w:shd w:val="clear" w:color="auto" w:fill="auto"/>
            <w:noWrap/>
            <w:vAlign w:val="center"/>
          </w:tcPr>
          <w:p w14:paraId="721992B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2</w:t>
            </w:r>
          </w:p>
        </w:tc>
        <w:tc>
          <w:tcPr>
            <w:tcW w:w="1205" w:type="dxa"/>
            <w:shd w:val="clear" w:color="auto" w:fill="auto"/>
            <w:noWrap/>
            <w:vAlign w:val="center"/>
          </w:tcPr>
          <w:p w14:paraId="5A1DA2C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3</w:t>
            </w:r>
          </w:p>
        </w:tc>
        <w:tc>
          <w:tcPr>
            <w:tcW w:w="1286" w:type="dxa"/>
            <w:gridSpan w:val="2"/>
            <w:shd w:val="clear" w:color="auto" w:fill="auto"/>
            <w:noWrap/>
            <w:vAlign w:val="center"/>
          </w:tcPr>
          <w:p w14:paraId="3DFAD70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4</w:t>
            </w:r>
          </w:p>
        </w:tc>
        <w:tc>
          <w:tcPr>
            <w:tcW w:w="1189" w:type="dxa"/>
            <w:gridSpan w:val="2"/>
            <w:shd w:val="clear" w:color="auto" w:fill="auto"/>
            <w:noWrap/>
            <w:vAlign w:val="center"/>
          </w:tcPr>
          <w:p w14:paraId="5B190C5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5</w:t>
            </w:r>
          </w:p>
        </w:tc>
        <w:tc>
          <w:tcPr>
            <w:tcW w:w="1232" w:type="dxa"/>
            <w:gridSpan w:val="2"/>
            <w:shd w:val="clear" w:color="auto" w:fill="auto"/>
            <w:noWrap/>
            <w:vAlign w:val="center"/>
          </w:tcPr>
          <w:p w14:paraId="6AFBB17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6</w:t>
            </w:r>
          </w:p>
        </w:tc>
      </w:tr>
      <w:tr w:rsidR="00722A47" w:rsidRPr="00722A47" w14:paraId="5A231499" w14:textId="77777777" w:rsidTr="004954C9">
        <w:trPr>
          <w:trHeight w:val="20"/>
        </w:trPr>
        <w:tc>
          <w:tcPr>
            <w:tcW w:w="478" w:type="dxa"/>
            <w:noWrap/>
          </w:tcPr>
          <w:p w14:paraId="01A014F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w:t>
            </w:r>
          </w:p>
        </w:tc>
        <w:tc>
          <w:tcPr>
            <w:tcW w:w="4284" w:type="dxa"/>
          </w:tcPr>
          <w:p w14:paraId="75515D6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Schotteroberbau der Bahnbauweise Standard Damm </w:t>
            </w:r>
          </w:p>
        </w:tc>
        <w:tc>
          <w:tcPr>
            <w:tcW w:w="865" w:type="dxa"/>
            <w:noWrap/>
            <w:vAlign w:val="center"/>
          </w:tcPr>
          <w:p w14:paraId="4D7A686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C033CC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33ED16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07" w:type="dxa"/>
            <w:noWrap/>
            <w:vAlign w:val="center"/>
          </w:tcPr>
          <w:p w14:paraId="2BF4C1E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67C0629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A92E4E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5063D4D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20E9506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1BDD1B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r>
      <w:tr w:rsidR="00722A47" w:rsidRPr="00722A47" w14:paraId="6541A655" w14:textId="77777777" w:rsidTr="004954C9">
        <w:trPr>
          <w:trHeight w:val="20"/>
        </w:trPr>
        <w:tc>
          <w:tcPr>
            <w:tcW w:w="478" w:type="dxa"/>
            <w:noWrap/>
          </w:tcPr>
          <w:p w14:paraId="0EDA177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w:t>
            </w:r>
          </w:p>
        </w:tc>
        <w:tc>
          <w:tcPr>
            <w:tcW w:w="4284" w:type="dxa"/>
          </w:tcPr>
          <w:p w14:paraId="5FC3CB1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Standard Einschnitt</w:t>
            </w:r>
          </w:p>
        </w:tc>
        <w:tc>
          <w:tcPr>
            <w:tcW w:w="865" w:type="dxa"/>
            <w:noWrap/>
            <w:vAlign w:val="center"/>
          </w:tcPr>
          <w:p w14:paraId="7552D91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65E455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997885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07" w:type="dxa"/>
            <w:noWrap/>
            <w:vAlign w:val="center"/>
          </w:tcPr>
          <w:p w14:paraId="7556CBC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1DD5288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581822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246B500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43EA4DC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0EB5887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r>
      <w:tr w:rsidR="00722A47" w:rsidRPr="00722A47" w14:paraId="351F7297" w14:textId="77777777" w:rsidTr="004954C9">
        <w:trPr>
          <w:trHeight w:val="20"/>
        </w:trPr>
        <w:tc>
          <w:tcPr>
            <w:tcW w:w="478" w:type="dxa"/>
            <w:noWrap/>
          </w:tcPr>
          <w:p w14:paraId="2296E7F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B3</w:t>
            </w:r>
          </w:p>
        </w:tc>
        <w:tc>
          <w:tcPr>
            <w:tcW w:w="4284" w:type="dxa"/>
          </w:tcPr>
          <w:p w14:paraId="124CD2F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w:t>
            </w:r>
          </w:p>
        </w:tc>
        <w:tc>
          <w:tcPr>
            <w:tcW w:w="865" w:type="dxa"/>
            <w:noWrap/>
            <w:vAlign w:val="center"/>
          </w:tcPr>
          <w:p w14:paraId="2845C2A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748EBE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1205" w:type="dxa"/>
            <w:noWrap/>
            <w:vAlign w:val="center"/>
          </w:tcPr>
          <w:p w14:paraId="638F3DC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0942105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467924D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508" w:type="dxa"/>
            <w:shd w:val="clear" w:color="auto" w:fill="auto"/>
            <w:noWrap/>
            <w:vAlign w:val="center"/>
          </w:tcPr>
          <w:p w14:paraId="3087C43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37E757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551" w:type="dxa"/>
            <w:shd w:val="clear" w:color="auto" w:fill="auto"/>
            <w:noWrap/>
            <w:vAlign w:val="center"/>
          </w:tcPr>
          <w:p w14:paraId="056C9AF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681" w:type="dxa"/>
            <w:shd w:val="clear" w:color="auto" w:fill="auto"/>
            <w:vAlign w:val="center"/>
          </w:tcPr>
          <w:p w14:paraId="3281B59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11BA910E" w14:textId="77777777" w:rsidTr="004954C9">
        <w:trPr>
          <w:trHeight w:val="20"/>
        </w:trPr>
        <w:tc>
          <w:tcPr>
            <w:tcW w:w="478" w:type="dxa"/>
            <w:noWrap/>
          </w:tcPr>
          <w:p w14:paraId="127BC87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B4</w:t>
            </w:r>
          </w:p>
        </w:tc>
        <w:tc>
          <w:tcPr>
            <w:tcW w:w="4284" w:type="dxa"/>
          </w:tcPr>
          <w:p w14:paraId="31C5A31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 modifiziert</w:t>
            </w:r>
          </w:p>
        </w:tc>
        <w:tc>
          <w:tcPr>
            <w:tcW w:w="865" w:type="dxa"/>
            <w:noWrap/>
            <w:vAlign w:val="center"/>
          </w:tcPr>
          <w:p w14:paraId="060E95D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897A6A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CE077E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7A64DE3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0AADC33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4726E9B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AE148C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FB0F93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354A7E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C87B4DE" w14:textId="77777777" w:rsidTr="004954C9">
        <w:trPr>
          <w:trHeight w:val="20"/>
        </w:trPr>
        <w:tc>
          <w:tcPr>
            <w:tcW w:w="478" w:type="dxa"/>
            <w:noWrap/>
          </w:tcPr>
          <w:p w14:paraId="3D5B7FD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B5</w:t>
            </w:r>
          </w:p>
        </w:tc>
        <w:tc>
          <w:tcPr>
            <w:tcW w:w="4284" w:type="dxa"/>
          </w:tcPr>
          <w:p w14:paraId="7A44D01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3CF10DC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Bahnbauweise Standard Damm </w:t>
            </w:r>
          </w:p>
        </w:tc>
        <w:tc>
          <w:tcPr>
            <w:tcW w:w="865" w:type="dxa"/>
            <w:noWrap/>
            <w:vAlign w:val="center"/>
          </w:tcPr>
          <w:p w14:paraId="06A96C8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CB5082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8059D5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4A72447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1CBA2B2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D1561E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285A081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20F4B85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6750A99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5DCCBF65" w14:textId="77777777" w:rsidTr="004954C9">
        <w:trPr>
          <w:trHeight w:val="20"/>
        </w:trPr>
        <w:tc>
          <w:tcPr>
            <w:tcW w:w="478" w:type="dxa"/>
            <w:noWrap/>
          </w:tcPr>
          <w:p w14:paraId="1D32716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B6</w:t>
            </w:r>
          </w:p>
        </w:tc>
        <w:tc>
          <w:tcPr>
            <w:tcW w:w="4284" w:type="dxa"/>
          </w:tcPr>
          <w:p w14:paraId="3335649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225FFAF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Standard Einschnitt</w:t>
            </w:r>
          </w:p>
        </w:tc>
        <w:tc>
          <w:tcPr>
            <w:tcW w:w="865" w:type="dxa"/>
            <w:noWrap/>
            <w:vAlign w:val="center"/>
          </w:tcPr>
          <w:p w14:paraId="572B01C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7F1519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FD4F80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583D333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EE3724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36A3830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39E5913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370081E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2984917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D8A5786" w14:textId="77777777" w:rsidTr="004954C9">
        <w:trPr>
          <w:trHeight w:val="20"/>
        </w:trPr>
        <w:tc>
          <w:tcPr>
            <w:tcW w:w="478" w:type="dxa"/>
            <w:noWrap/>
          </w:tcPr>
          <w:p w14:paraId="12D75EA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B7</w:t>
            </w:r>
          </w:p>
        </w:tc>
        <w:tc>
          <w:tcPr>
            <w:tcW w:w="4284" w:type="dxa"/>
          </w:tcPr>
          <w:p w14:paraId="6B5637A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65A0FFF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6C8896E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F11CC2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8D28CE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40752AE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69FAB80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271D60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742CB84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72A7B2D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2685FEB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4A6E531" w14:textId="77777777" w:rsidTr="004954C9">
        <w:trPr>
          <w:trHeight w:val="20"/>
        </w:trPr>
        <w:tc>
          <w:tcPr>
            <w:tcW w:w="478" w:type="dxa"/>
            <w:noWrap/>
          </w:tcPr>
          <w:p w14:paraId="3F4C98B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B8</w:t>
            </w:r>
          </w:p>
        </w:tc>
        <w:tc>
          <w:tcPr>
            <w:tcW w:w="4284" w:type="dxa"/>
          </w:tcPr>
          <w:p w14:paraId="788C0AE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2F8A6ED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6CCB404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C6E3F5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C8081D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2900CB8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1E8DA28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3AA1321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50B91C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37E3FE3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09D7BE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690B6676" w14:textId="77777777" w:rsidTr="004954C9">
        <w:trPr>
          <w:trHeight w:val="20"/>
        </w:trPr>
        <w:tc>
          <w:tcPr>
            <w:tcW w:w="478" w:type="dxa"/>
            <w:noWrap/>
          </w:tcPr>
          <w:p w14:paraId="41B3834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B9</w:t>
            </w:r>
          </w:p>
        </w:tc>
        <w:tc>
          <w:tcPr>
            <w:tcW w:w="4284" w:type="dxa"/>
          </w:tcPr>
          <w:p w14:paraId="1EC146F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77CB4BD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4D294B1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432EFC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124614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1BB4DA6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042B73C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204F19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2B4B0A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8E8DF9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8D75CA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23FA489" w14:textId="77777777" w:rsidTr="004954C9">
        <w:trPr>
          <w:trHeight w:val="20"/>
        </w:trPr>
        <w:tc>
          <w:tcPr>
            <w:tcW w:w="478" w:type="dxa"/>
            <w:noWrap/>
          </w:tcPr>
          <w:p w14:paraId="7566A23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B10</w:t>
            </w:r>
          </w:p>
        </w:tc>
        <w:tc>
          <w:tcPr>
            <w:tcW w:w="4284" w:type="dxa"/>
          </w:tcPr>
          <w:p w14:paraId="7D6B1B8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110B352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7602D46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59C9A2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3D3103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132177A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05F8169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986647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3C7D32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33FCA7C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EBC8B7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4B15700" w14:textId="77777777" w:rsidTr="004954C9">
        <w:trPr>
          <w:trHeight w:val="20"/>
        </w:trPr>
        <w:tc>
          <w:tcPr>
            <w:tcW w:w="478" w:type="dxa"/>
            <w:noWrap/>
          </w:tcPr>
          <w:p w14:paraId="7E97CDB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B11</w:t>
            </w:r>
          </w:p>
        </w:tc>
        <w:tc>
          <w:tcPr>
            <w:tcW w:w="4284" w:type="dxa"/>
          </w:tcPr>
          <w:p w14:paraId="20BCF82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Spezielle Bodenschicht der Bahnbauweise H</w:t>
            </w:r>
          </w:p>
        </w:tc>
        <w:tc>
          <w:tcPr>
            <w:tcW w:w="865" w:type="dxa"/>
            <w:noWrap/>
            <w:vAlign w:val="center"/>
          </w:tcPr>
          <w:p w14:paraId="0C8882A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C09FB8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602DA8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46867CA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06A00E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DB20BD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27C1F9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ED5264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22AF2C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BB7F40D" w14:textId="77777777" w:rsidTr="004954C9">
        <w:trPr>
          <w:trHeight w:val="20"/>
        </w:trPr>
        <w:tc>
          <w:tcPr>
            <w:tcW w:w="478" w:type="dxa"/>
            <w:noWrap/>
          </w:tcPr>
          <w:p w14:paraId="42635B2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B12</w:t>
            </w:r>
          </w:p>
        </w:tc>
        <w:tc>
          <w:tcPr>
            <w:tcW w:w="4284" w:type="dxa"/>
          </w:tcPr>
          <w:p w14:paraId="78AC3A2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023F243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Standard Damm </w:t>
            </w:r>
          </w:p>
        </w:tc>
        <w:tc>
          <w:tcPr>
            <w:tcW w:w="865" w:type="dxa"/>
            <w:noWrap/>
            <w:vAlign w:val="center"/>
          </w:tcPr>
          <w:p w14:paraId="4B5C066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46E636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9E849E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1F68C4F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1159169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1C4770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0917D92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72F3A10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0775C29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05F1EDD" w14:textId="77777777" w:rsidTr="004954C9">
        <w:trPr>
          <w:trHeight w:val="20"/>
        </w:trPr>
        <w:tc>
          <w:tcPr>
            <w:tcW w:w="478" w:type="dxa"/>
            <w:noWrap/>
          </w:tcPr>
          <w:p w14:paraId="6B1A699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B13</w:t>
            </w:r>
          </w:p>
        </w:tc>
        <w:tc>
          <w:tcPr>
            <w:tcW w:w="4284" w:type="dxa"/>
          </w:tcPr>
          <w:p w14:paraId="6F51C20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2E8CC62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Standard Einschnitt</w:t>
            </w:r>
          </w:p>
        </w:tc>
        <w:tc>
          <w:tcPr>
            <w:tcW w:w="865" w:type="dxa"/>
            <w:noWrap/>
            <w:vAlign w:val="center"/>
          </w:tcPr>
          <w:p w14:paraId="699BAB8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40F30B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5CC561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2B105F8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E2D21A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47096D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3E57EFD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4E99630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6D79AFE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57955013" w14:textId="77777777" w:rsidTr="004954C9">
        <w:trPr>
          <w:trHeight w:val="20"/>
        </w:trPr>
        <w:tc>
          <w:tcPr>
            <w:tcW w:w="478" w:type="dxa"/>
            <w:noWrap/>
          </w:tcPr>
          <w:p w14:paraId="0C30099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B14</w:t>
            </w:r>
          </w:p>
        </w:tc>
        <w:tc>
          <w:tcPr>
            <w:tcW w:w="4284" w:type="dxa"/>
          </w:tcPr>
          <w:p w14:paraId="29EC785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H</w:t>
            </w:r>
          </w:p>
        </w:tc>
        <w:tc>
          <w:tcPr>
            <w:tcW w:w="865" w:type="dxa"/>
            <w:noWrap/>
            <w:vAlign w:val="center"/>
          </w:tcPr>
          <w:p w14:paraId="6FD25C7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431B1B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17BC91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74DF65A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94C9FA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4B9487A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1C25EDC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6200E1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6CA3D0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1B6DE95" w14:textId="77777777" w:rsidTr="004954C9">
        <w:trPr>
          <w:trHeight w:val="20"/>
        </w:trPr>
        <w:tc>
          <w:tcPr>
            <w:tcW w:w="478" w:type="dxa"/>
            <w:noWrap/>
          </w:tcPr>
          <w:p w14:paraId="162DCAC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B15</w:t>
            </w:r>
          </w:p>
        </w:tc>
        <w:tc>
          <w:tcPr>
            <w:tcW w:w="4284" w:type="dxa"/>
          </w:tcPr>
          <w:p w14:paraId="75C856D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21B8FC5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H modifiziert</w:t>
            </w:r>
          </w:p>
        </w:tc>
        <w:tc>
          <w:tcPr>
            <w:tcW w:w="865" w:type="dxa"/>
            <w:noWrap/>
            <w:vAlign w:val="center"/>
          </w:tcPr>
          <w:p w14:paraId="50B5FF0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104C24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E9EBDE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0AE7BD6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7759EFA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04B042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8EC029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12C6FA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0C49C8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AFB3C4C" w14:textId="77777777" w:rsidTr="004954C9">
        <w:trPr>
          <w:trHeight w:val="20"/>
        </w:trPr>
        <w:tc>
          <w:tcPr>
            <w:tcW w:w="478" w:type="dxa"/>
            <w:noWrap/>
          </w:tcPr>
          <w:p w14:paraId="0F85E2A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B16</w:t>
            </w:r>
          </w:p>
        </w:tc>
        <w:tc>
          <w:tcPr>
            <w:tcW w:w="4284" w:type="dxa"/>
          </w:tcPr>
          <w:p w14:paraId="1E55097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w:t>
            </w:r>
          </w:p>
        </w:tc>
        <w:tc>
          <w:tcPr>
            <w:tcW w:w="865" w:type="dxa"/>
            <w:noWrap/>
            <w:vAlign w:val="center"/>
          </w:tcPr>
          <w:p w14:paraId="3F5A050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B7FF11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65058B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036762A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03F9CB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36C1DB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5BC5A9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15EBD7F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13C86C9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03C36C0" w14:textId="77777777" w:rsidTr="004954C9">
        <w:trPr>
          <w:trHeight w:val="20"/>
        </w:trPr>
        <w:tc>
          <w:tcPr>
            <w:tcW w:w="478" w:type="dxa"/>
            <w:noWrap/>
          </w:tcPr>
          <w:p w14:paraId="6344D5B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B17</w:t>
            </w:r>
          </w:p>
        </w:tc>
        <w:tc>
          <w:tcPr>
            <w:tcW w:w="4284" w:type="dxa"/>
          </w:tcPr>
          <w:p w14:paraId="62C8EBA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w:t>
            </w:r>
          </w:p>
        </w:tc>
        <w:tc>
          <w:tcPr>
            <w:tcW w:w="865" w:type="dxa"/>
            <w:noWrap/>
            <w:vAlign w:val="center"/>
          </w:tcPr>
          <w:p w14:paraId="5106769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00116F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4D9CDF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72BFD30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40F87C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2D823F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8E8E30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95A0F4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F0A110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FB7BEBB" w14:textId="77777777" w:rsidTr="004954C9">
        <w:trPr>
          <w:trHeight w:val="20"/>
        </w:trPr>
        <w:tc>
          <w:tcPr>
            <w:tcW w:w="478" w:type="dxa"/>
            <w:noWrap/>
          </w:tcPr>
          <w:p w14:paraId="710D2B3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B18</w:t>
            </w:r>
          </w:p>
        </w:tc>
        <w:tc>
          <w:tcPr>
            <w:tcW w:w="4284" w:type="dxa"/>
          </w:tcPr>
          <w:p w14:paraId="21405B3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 mit Randwegabdichtung oberhalb der FSS</w:t>
            </w:r>
          </w:p>
        </w:tc>
        <w:tc>
          <w:tcPr>
            <w:tcW w:w="865" w:type="dxa"/>
            <w:noWrap/>
            <w:vAlign w:val="center"/>
          </w:tcPr>
          <w:p w14:paraId="3CF80C4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2FC85B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CA3A47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2CE925E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0760ADA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2F3584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C8E8FD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3431AC4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0AA48C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660CF175" w14:textId="77777777" w:rsidTr="004954C9">
        <w:trPr>
          <w:trHeight w:val="20"/>
        </w:trPr>
        <w:tc>
          <w:tcPr>
            <w:tcW w:w="478" w:type="dxa"/>
            <w:noWrap/>
          </w:tcPr>
          <w:p w14:paraId="571CF94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B19</w:t>
            </w:r>
          </w:p>
        </w:tc>
        <w:tc>
          <w:tcPr>
            <w:tcW w:w="4284" w:type="dxa"/>
          </w:tcPr>
          <w:p w14:paraId="0D930CF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 mit Randwegabdichtung</w:t>
            </w:r>
          </w:p>
        </w:tc>
        <w:tc>
          <w:tcPr>
            <w:tcW w:w="865" w:type="dxa"/>
            <w:noWrap/>
            <w:vAlign w:val="center"/>
          </w:tcPr>
          <w:p w14:paraId="5D65AEE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0F3DD3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6794B4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364A08F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514780B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3F22C0A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345B96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14E5C1F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D4EE0A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30BA233" w14:textId="77777777" w:rsidTr="004954C9">
        <w:trPr>
          <w:trHeight w:val="20"/>
        </w:trPr>
        <w:tc>
          <w:tcPr>
            <w:tcW w:w="478" w:type="dxa"/>
            <w:noWrap/>
          </w:tcPr>
          <w:p w14:paraId="1997F55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B20</w:t>
            </w:r>
          </w:p>
        </w:tc>
        <w:tc>
          <w:tcPr>
            <w:tcW w:w="4284" w:type="dxa"/>
          </w:tcPr>
          <w:p w14:paraId="75ABCA4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unterhalb </w:t>
            </w: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bzw. PSS der Bahnbauweise E 1</w:t>
            </w:r>
          </w:p>
        </w:tc>
        <w:tc>
          <w:tcPr>
            <w:tcW w:w="865" w:type="dxa"/>
            <w:noWrap/>
            <w:vAlign w:val="center"/>
          </w:tcPr>
          <w:p w14:paraId="5A7C883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682B89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FF14AE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36D47BE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10A1446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5C9D8D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7B909D7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5F718D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3807B6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C79410D" w14:textId="77777777" w:rsidTr="004954C9">
        <w:trPr>
          <w:trHeight w:val="20"/>
        </w:trPr>
        <w:tc>
          <w:tcPr>
            <w:tcW w:w="478" w:type="dxa"/>
            <w:noWrap/>
          </w:tcPr>
          <w:p w14:paraId="405A285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B21</w:t>
            </w:r>
          </w:p>
        </w:tc>
        <w:tc>
          <w:tcPr>
            <w:tcW w:w="4284" w:type="dxa"/>
          </w:tcPr>
          <w:p w14:paraId="5DCA52B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1 mit Dichtungselement auf dem Planum</w:t>
            </w:r>
          </w:p>
        </w:tc>
        <w:tc>
          <w:tcPr>
            <w:tcW w:w="865" w:type="dxa"/>
            <w:noWrap/>
            <w:vAlign w:val="center"/>
          </w:tcPr>
          <w:p w14:paraId="35D430C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85F937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5A901E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6FBB44F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7E52E67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4D61535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29C78CF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777E7C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E0477E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060ECFA" w14:textId="77777777" w:rsidTr="004954C9">
        <w:trPr>
          <w:trHeight w:val="20"/>
        </w:trPr>
        <w:tc>
          <w:tcPr>
            <w:tcW w:w="478" w:type="dxa"/>
            <w:noWrap/>
          </w:tcPr>
          <w:p w14:paraId="22C138B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B22</w:t>
            </w:r>
          </w:p>
        </w:tc>
        <w:tc>
          <w:tcPr>
            <w:tcW w:w="4284" w:type="dxa"/>
          </w:tcPr>
          <w:p w14:paraId="69A95F4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Tragschicht als witterungsunempfindliches Dichtungselement der Bahnbauweise E 2</w:t>
            </w:r>
          </w:p>
        </w:tc>
        <w:tc>
          <w:tcPr>
            <w:tcW w:w="865" w:type="dxa"/>
            <w:noWrap/>
            <w:vAlign w:val="center"/>
          </w:tcPr>
          <w:p w14:paraId="21BA0E3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9C0873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A0FE8A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7F5E086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5574D27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DBB466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148873C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1CD455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AE939F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F825366" w14:textId="77777777" w:rsidTr="004954C9">
        <w:trPr>
          <w:trHeight w:val="20"/>
        </w:trPr>
        <w:tc>
          <w:tcPr>
            <w:tcW w:w="478" w:type="dxa"/>
            <w:noWrap/>
          </w:tcPr>
          <w:p w14:paraId="51701A8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B23</w:t>
            </w:r>
          </w:p>
        </w:tc>
        <w:tc>
          <w:tcPr>
            <w:tcW w:w="4284" w:type="dxa"/>
          </w:tcPr>
          <w:p w14:paraId="54B6492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2</w:t>
            </w:r>
          </w:p>
        </w:tc>
        <w:tc>
          <w:tcPr>
            <w:tcW w:w="865" w:type="dxa"/>
            <w:noWrap/>
            <w:vAlign w:val="center"/>
          </w:tcPr>
          <w:p w14:paraId="7020C85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4B2786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DC2470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612B030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A1FDB3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4329A53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2FB53AA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698E20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224F97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81B9C7B" w14:textId="77777777" w:rsidTr="004954C9">
        <w:trPr>
          <w:trHeight w:val="20"/>
        </w:trPr>
        <w:tc>
          <w:tcPr>
            <w:tcW w:w="478" w:type="dxa"/>
            <w:noWrap/>
          </w:tcPr>
          <w:p w14:paraId="65C6206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B24</w:t>
            </w:r>
          </w:p>
        </w:tc>
        <w:tc>
          <w:tcPr>
            <w:tcW w:w="4284" w:type="dxa"/>
          </w:tcPr>
          <w:p w14:paraId="7CD52F8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und Unterbau (Damm) der Bahnbauweise E 3a</w:t>
            </w:r>
          </w:p>
        </w:tc>
        <w:tc>
          <w:tcPr>
            <w:tcW w:w="865" w:type="dxa"/>
            <w:noWrap/>
            <w:vAlign w:val="center"/>
          </w:tcPr>
          <w:p w14:paraId="198C7B4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D6104D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E02931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sz w:val="24"/>
                <w:szCs w:val="24"/>
                <w:vertAlign w:val="superscript"/>
                <w:lang w:eastAsia="de-DE"/>
              </w:rPr>
              <w:t>4)</w:t>
            </w:r>
          </w:p>
        </w:tc>
        <w:tc>
          <w:tcPr>
            <w:tcW w:w="607" w:type="dxa"/>
            <w:noWrap/>
            <w:vAlign w:val="center"/>
          </w:tcPr>
          <w:p w14:paraId="53D229B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097CA3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A36882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39126C5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12D3A24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5C05084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sz w:val="24"/>
                <w:szCs w:val="24"/>
                <w:vertAlign w:val="superscript"/>
                <w:lang w:eastAsia="de-DE"/>
              </w:rPr>
              <w:t>4)</w:t>
            </w:r>
          </w:p>
        </w:tc>
      </w:tr>
      <w:tr w:rsidR="00722A47" w:rsidRPr="00722A47" w14:paraId="2F23B59A" w14:textId="77777777" w:rsidTr="004954C9">
        <w:trPr>
          <w:trHeight w:val="20"/>
        </w:trPr>
        <w:tc>
          <w:tcPr>
            <w:tcW w:w="478" w:type="dxa"/>
            <w:noWrap/>
          </w:tcPr>
          <w:p w14:paraId="664EEAD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B25</w:t>
            </w:r>
          </w:p>
        </w:tc>
        <w:tc>
          <w:tcPr>
            <w:tcW w:w="4284" w:type="dxa"/>
          </w:tcPr>
          <w:p w14:paraId="7C94BB0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der Bahnbauweise E 3b</w:t>
            </w:r>
          </w:p>
        </w:tc>
        <w:tc>
          <w:tcPr>
            <w:tcW w:w="865" w:type="dxa"/>
            <w:noWrap/>
            <w:vAlign w:val="center"/>
          </w:tcPr>
          <w:p w14:paraId="70D81C3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DBE481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7DF539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4D95E60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0AA55F7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54B834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CF77BE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D5A241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6275CE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AA55B95" w14:textId="77777777" w:rsidTr="004954C9">
        <w:trPr>
          <w:trHeight w:val="208"/>
        </w:trPr>
        <w:tc>
          <w:tcPr>
            <w:tcW w:w="478" w:type="dxa"/>
            <w:noWrap/>
          </w:tcPr>
          <w:p w14:paraId="07FAAAD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B26</w:t>
            </w:r>
          </w:p>
        </w:tc>
        <w:tc>
          <w:tcPr>
            <w:tcW w:w="4284" w:type="dxa"/>
          </w:tcPr>
          <w:p w14:paraId="3677CD8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3b</w:t>
            </w:r>
          </w:p>
        </w:tc>
        <w:tc>
          <w:tcPr>
            <w:tcW w:w="865" w:type="dxa"/>
            <w:noWrap/>
            <w:vAlign w:val="center"/>
          </w:tcPr>
          <w:p w14:paraId="2D15417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37E12C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6A3493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313D870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072A1B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8B1BDF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05D1B58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92EAF9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F1458F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bl>
    <w:p w14:paraId="34B76654" w14:textId="77777777" w:rsidR="00722A47" w:rsidRPr="00722A47" w:rsidRDefault="00722A47" w:rsidP="00722A47">
      <w:pPr>
        <w:spacing w:before="0" w:after="0"/>
        <w:ind w:left="227" w:hanging="227"/>
        <w:jc w:val="left"/>
        <w:rPr>
          <w:rFonts w:ascii="Times New Roman" w:eastAsia="Times New Roman" w:hAnsi="Times New Roman" w:cs="Times New Roman"/>
          <w:sz w:val="16"/>
          <w:szCs w:val="20"/>
          <w:lang w:eastAsia="de-DE"/>
        </w:rPr>
      </w:pPr>
      <w:r w:rsidRPr="00722A47">
        <w:rPr>
          <w:rFonts w:ascii="Times New Roman" w:eastAsia="Times New Roman" w:hAnsi="Times New Roman" w:cs="Times New Roman"/>
          <w:sz w:val="16"/>
          <w:szCs w:val="20"/>
          <w:lang w:eastAsia="de-DE"/>
        </w:rPr>
        <w:t xml:space="preserve">1) Zulässig, wenn AMPA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7,3 µg/l, Glyphosat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5,5 µg/l, Atrazin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2,0 µg/l, </w:t>
      </w:r>
      <w:proofErr w:type="spellStart"/>
      <w:r w:rsidRPr="00722A47">
        <w:rPr>
          <w:rFonts w:ascii="Times New Roman" w:eastAsia="Times New Roman" w:hAnsi="Times New Roman" w:cs="Times New Roman"/>
          <w:sz w:val="16"/>
          <w:szCs w:val="20"/>
          <w:lang w:eastAsia="de-DE"/>
        </w:rPr>
        <w:t>Bromacil</w:t>
      </w:r>
      <w:proofErr w:type="spellEnd"/>
      <w:r w:rsidRPr="00722A47">
        <w:rPr>
          <w:rFonts w:ascii="Times New Roman" w:eastAsia="Times New Roman" w:hAnsi="Times New Roman" w:cs="Times New Roman"/>
          <w:sz w:val="16"/>
          <w:szCs w:val="20"/>
          <w:lang w:eastAsia="de-DE"/>
        </w:rPr>
        <w:t xml:space="preserv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0,8 µg/l, </w:t>
      </w:r>
      <w:proofErr w:type="spellStart"/>
      <w:r w:rsidRPr="00722A47">
        <w:rPr>
          <w:rFonts w:ascii="Times New Roman" w:eastAsia="Times New Roman" w:hAnsi="Times New Roman" w:cs="Times New Roman"/>
          <w:sz w:val="16"/>
          <w:szCs w:val="20"/>
          <w:lang w:eastAsia="de-DE"/>
        </w:rPr>
        <w:t>Diuron</w:t>
      </w:r>
      <w:proofErr w:type="spellEnd"/>
      <w:r w:rsidRPr="00722A47">
        <w:rPr>
          <w:rFonts w:ascii="Times New Roman" w:eastAsia="Times New Roman" w:hAnsi="Times New Roman" w:cs="Times New Roman"/>
          <w:sz w:val="16"/>
          <w:szCs w:val="20"/>
          <w:lang w:eastAsia="de-DE"/>
        </w:rPr>
        <w:t xml:space="preserv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0,5 µg/l, </w:t>
      </w:r>
      <w:proofErr w:type="spellStart"/>
      <w:r w:rsidRPr="00722A47">
        <w:rPr>
          <w:rFonts w:ascii="Times New Roman" w:eastAsia="Times New Roman" w:hAnsi="Times New Roman" w:cs="Times New Roman"/>
          <w:sz w:val="16"/>
          <w:szCs w:val="20"/>
          <w:lang w:eastAsia="de-DE"/>
        </w:rPr>
        <w:t>Simazin</w:t>
      </w:r>
      <w:proofErr w:type="spellEnd"/>
      <w:r w:rsidRPr="00722A47">
        <w:rPr>
          <w:rFonts w:ascii="Times New Roman" w:eastAsia="Times New Roman" w:hAnsi="Times New Roman" w:cs="Times New Roman"/>
          <w:sz w:val="16"/>
          <w:szCs w:val="20"/>
          <w:lang w:eastAsia="de-DE"/>
        </w:rPr>
        <w:t xml:space="preserv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5,8 µg/l und sonstige Herbizide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5,3 µg/l. </w:t>
      </w:r>
    </w:p>
    <w:p w14:paraId="7ADD8073" w14:textId="77777777" w:rsidR="00722A47" w:rsidRPr="00722A47" w:rsidRDefault="00722A47" w:rsidP="00722A47">
      <w:pPr>
        <w:tabs>
          <w:tab w:val="left" w:pos="142"/>
        </w:tabs>
        <w:spacing w:before="0" w:after="0"/>
        <w:ind w:left="142" w:hanging="142"/>
        <w:jc w:val="left"/>
        <w:rPr>
          <w:rFonts w:ascii="Times New Roman" w:eastAsia="Times New Roman" w:hAnsi="Times New Roman" w:cs="Times New Roman"/>
          <w:sz w:val="16"/>
          <w:szCs w:val="20"/>
          <w:lang w:eastAsia="de-DE"/>
        </w:rPr>
      </w:pPr>
      <w:r w:rsidRPr="00722A47">
        <w:rPr>
          <w:rFonts w:ascii="Times New Roman" w:eastAsia="Times New Roman" w:hAnsi="Times New Roman" w:cs="Times New Roman"/>
          <w:sz w:val="16"/>
          <w:szCs w:val="20"/>
          <w:lang w:eastAsia="de-DE"/>
        </w:rPr>
        <w:t xml:space="preserve">2) Zulässig, wenn AMPA, Glyphosat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5,8 µg/l, Atrazin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1,5 µg/l, </w:t>
      </w:r>
      <w:proofErr w:type="spellStart"/>
      <w:r w:rsidRPr="00722A47">
        <w:rPr>
          <w:rFonts w:ascii="Times New Roman" w:eastAsia="Times New Roman" w:hAnsi="Times New Roman" w:cs="Times New Roman"/>
          <w:sz w:val="16"/>
          <w:szCs w:val="20"/>
          <w:lang w:eastAsia="de-DE"/>
        </w:rPr>
        <w:t>Bromacil</w:t>
      </w:r>
      <w:proofErr w:type="spellEnd"/>
      <w:r w:rsidRPr="00722A47">
        <w:rPr>
          <w:rFonts w:ascii="Times New Roman" w:eastAsia="Times New Roman" w:hAnsi="Times New Roman" w:cs="Times New Roman"/>
          <w:sz w:val="16"/>
          <w:szCs w:val="20"/>
          <w:lang w:eastAsia="de-DE"/>
        </w:rPr>
        <w:t xml:space="preserv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0,7 µg/l, </w:t>
      </w:r>
      <w:proofErr w:type="spellStart"/>
      <w:r w:rsidRPr="00722A47">
        <w:rPr>
          <w:rFonts w:ascii="Times New Roman" w:eastAsia="Times New Roman" w:hAnsi="Times New Roman" w:cs="Times New Roman"/>
          <w:sz w:val="16"/>
          <w:szCs w:val="20"/>
          <w:lang w:eastAsia="de-DE"/>
        </w:rPr>
        <w:t>Diuron</w:t>
      </w:r>
      <w:proofErr w:type="spellEnd"/>
      <w:r w:rsidRPr="00722A47">
        <w:rPr>
          <w:rFonts w:ascii="Times New Roman" w:eastAsia="Times New Roman" w:hAnsi="Times New Roman" w:cs="Times New Roman"/>
          <w:sz w:val="16"/>
          <w:szCs w:val="20"/>
          <w:lang w:eastAsia="de-DE"/>
        </w:rPr>
        <w:t xml:space="preserv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0,4 µg/l, </w:t>
      </w:r>
      <w:proofErr w:type="spellStart"/>
      <w:r w:rsidRPr="00722A47">
        <w:rPr>
          <w:rFonts w:ascii="Times New Roman" w:eastAsia="Times New Roman" w:hAnsi="Times New Roman" w:cs="Times New Roman"/>
          <w:sz w:val="16"/>
          <w:szCs w:val="20"/>
          <w:lang w:eastAsia="de-DE"/>
        </w:rPr>
        <w:t>Simazin</w:t>
      </w:r>
      <w:proofErr w:type="spellEnd"/>
      <w:r w:rsidRPr="00722A47">
        <w:rPr>
          <w:rFonts w:ascii="Times New Roman" w:eastAsia="Times New Roman" w:hAnsi="Times New Roman" w:cs="Times New Roman"/>
          <w:sz w:val="16"/>
          <w:szCs w:val="20"/>
          <w:lang w:eastAsia="de-DE"/>
        </w:rPr>
        <w:t xml:space="preserv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4,1 µg/l, sonstige Herbizide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3,7 µg/l und PAK</w:t>
      </w:r>
      <w:r w:rsidRPr="00722A47">
        <w:rPr>
          <w:rFonts w:ascii="Times New Roman" w:eastAsia="Times New Roman" w:hAnsi="Times New Roman" w:cs="Times New Roman"/>
          <w:sz w:val="16"/>
          <w:szCs w:val="20"/>
          <w:vertAlign w:val="subscript"/>
          <w:lang w:eastAsia="de-DE"/>
        </w:rPr>
        <w:t xml:space="preserve">15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28 µg/l. </w:t>
      </w:r>
    </w:p>
    <w:p w14:paraId="1E95B71D" w14:textId="77777777" w:rsidR="00722A47" w:rsidRPr="00722A47" w:rsidRDefault="00722A47" w:rsidP="00722A47">
      <w:pPr>
        <w:spacing w:before="0" w:after="0"/>
        <w:jc w:val="left"/>
        <w:rPr>
          <w:rFonts w:ascii="Times New Roman" w:eastAsia="Times New Roman" w:hAnsi="Times New Roman" w:cs="Times New Roman"/>
          <w:sz w:val="16"/>
          <w:szCs w:val="20"/>
          <w:lang w:eastAsia="de-DE"/>
        </w:rPr>
      </w:pPr>
      <w:r w:rsidRPr="00722A47">
        <w:rPr>
          <w:rFonts w:ascii="Times New Roman" w:eastAsia="Times New Roman" w:hAnsi="Times New Roman" w:cs="Times New Roman"/>
          <w:sz w:val="16"/>
          <w:szCs w:val="20"/>
          <w:lang w:eastAsia="de-DE"/>
        </w:rPr>
        <w:t xml:space="preserve">3) Zulässig, wenn AMPA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14 µg/l, Atrazin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3,0 µg/l, </w:t>
      </w:r>
      <w:proofErr w:type="spellStart"/>
      <w:r w:rsidRPr="00722A47">
        <w:rPr>
          <w:rFonts w:ascii="Times New Roman" w:eastAsia="Times New Roman" w:hAnsi="Times New Roman" w:cs="Times New Roman"/>
          <w:sz w:val="16"/>
          <w:szCs w:val="20"/>
          <w:lang w:eastAsia="de-DE"/>
        </w:rPr>
        <w:t>Bromacil</w:t>
      </w:r>
      <w:proofErr w:type="spellEnd"/>
      <w:r w:rsidRPr="00722A47">
        <w:rPr>
          <w:rFonts w:ascii="Times New Roman" w:eastAsia="Times New Roman" w:hAnsi="Times New Roman" w:cs="Times New Roman"/>
          <w:sz w:val="16"/>
          <w:szCs w:val="20"/>
          <w:lang w:eastAsia="de-DE"/>
        </w:rPr>
        <w:t xml:space="preserv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1,0 µg/l, </w:t>
      </w:r>
      <w:proofErr w:type="spellStart"/>
      <w:r w:rsidRPr="00722A47">
        <w:rPr>
          <w:rFonts w:ascii="Times New Roman" w:eastAsia="Times New Roman" w:hAnsi="Times New Roman" w:cs="Times New Roman"/>
          <w:sz w:val="16"/>
          <w:szCs w:val="20"/>
          <w:lang w:eastAsia="de-DE"/>
        </w:rPr>
        <w:t>Diuron</w:t>
      </w:r>
      <w:proofErr w:type="spellEnd"/>
      <w:r w:rsidRPr="00722A47">
        <w:rPr>
          <w:rFonts w:ascii="Times New Roman" w:eastAsia="Times New Roman" w:hAnsi="Times New Roman" w:cs="Times New Roman"/>
          <w:sz w:val="16"/>
          <w:szCs w:val="20"/>
          <w:lang w:eastAsia="de-DE"/>
        </w:rPr>
        <w:t xml:space="preserv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0,7 µg/l und </w:t>
      </w:r>
      <w:proofErr w:type="spellStart"/>
      <w:r w:rsidRPr="00722A47">
        <w:rPr>
          <w:rFonts w:ascii="Times New Roman" w:eastAsia="Times New Roman" w:hAnsi="Times New Roman" w:cs="Times New Roman"/>
          <w:sz w:val="16"/>
          <w:szCs w:val="20"/>
          <w:lang w:eastAsia="de-DE"/>
        </w:rPr>
        <w:t>Simazin</w:t>
      </w:r>
      <w:proofErr w:type="spellEnd"/>
      <w:r w:rsidRPr="00722A47">
        <w:rPr>
          <w:rFonts w:ascii="Times New Roman" w:eastAsia="Times New Roman" w:hAnsi="Times New Roman" w:cs="Times New Roman"/>
          <w:sz w:val="16"/>
          <w:szCs w:val="20"/>
          <w:lang w:eastAsia="de-DE"/>
        </w:rPr>
        <w:t xml:space="preserv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9,6 µg/l. </w:t>
      </w:r>
    </w:p>
    <w:p w14:paraId="709E8669" w14:textId="77777777" w:rsidR="00722A47" w:rsidRDefault="00722A47" w:rsidP="00722A47">
      <w:pPr>
        <w:spacing w:before="0" w:after="160"/>
        <w:jc w:val="left"/>
        <w:rPr>
          <w:rFonts w:ascii="Times New Roman" w:eastAsia="Times New Roman" w:hAnsi="Times New Roman" w:cs="Times New Roman"/>
          <w:sz w:val="16"/>
          <w:szCs w:val="20"/>
          <w:lang w:eastAsia="de-DE"/>
        </w:rPr>
      </w:pPr>
      <w:r w:rsidRPr="00722A47">
        <w:rPr>
          <w:rFonts w:ascii="Times New Roman" w:eastAsia="Times New Roman" w:hAnsi="Times New Roman" w:cs="Times New Roman"/>
          <w:sz w:val="16"/>
          <w:szCs w:val="20"/>
          <w:lang w:eastAsia="de-DE"/>
        </w:rPr>
        <w:lastRenderedPageBreak/>
        <w:t xml:space="preserve">4) Zulässig, wenn AMPA, Glyphosat, </w:t>
      </w:r>
      <w:proofErr w:type="spellStart"/>
      <w:r w:rsidRPr="00722A47">
        <w:rPr>
          <w:rFonts w:ascii="Times New Roman" w:eastAsia="Times New Roman" w:hAnsi="Times New Roman" w:cs="Times New Roman"/>
          <w:sz w:val="16"/>
          <w:szCs w:val="20"/>
          <w:lang w:eastAsia="de-DE"/>
        </w:rPr>
        <w:t>Simazin</w:t>
      </w:r>
      <w:proofErr w:type="spellEnd"/>
      <w:r w:rsidRPr="00722A47">
        <w:rPr>
          <w:rFonts w:ascii="Times New Roman" w:eastAsia="Times New Roman" w:hAnsi="Times New Roman" w:cs="Times New Roman"/>
          <w:sz w:val="16"/>
          <w:szCs w:val="20"/>
          <w:lang w:eastAsia="de-DE"/>
        </w:rPr>
        <w:t xml:space="preserve"> und sonstige Herbizide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10,3 µg/l. </w:t>
      </w:r>
    </w:p>
    <w:p w14:paraId="24037642" w14:textId="0C2DD8A2" w:rsidR="00722A47" w:rsidRPr="00722A47" w:rsidRDefault="00722A47" w:rsidP="00722A47">
      <w:pPr>
        <w:pStyle w:val="berschrift1"/>
      </w:pPr>
      <w:r>
        <w:rPr>
          <w:lang w:eastAsia="de-DE"/>
        </w:rPr>
        <w:br w:type="page"/>
      </w:r>
      <w:r w:rsidRPr="008D0377">
        <w:lastRenderedPageBreak/>
        <w:t>Tabelle 7: Gleisschotter der Klasse 3 (GS-3)</w:t>
      </w:r>
    </w:p>
    <w:p w14:paraId="33DC74C7" w14:textId="77777777" w:rsidR="00722A47" w:rsidRPr="00722A47" w:rsidRDefault="00722A47" w:rsidP="00722A47">
      <w:pPr>
        <w:keepNext/>
        <w:spacing w:before="0" w:after="200"/>
        <w:jc w:val="left"/>
        <w:rPr>
          <w:rFonts w:ascii="Times New Roman" w:eastAsia="Calibri" w:hAnsi="Times New Roman" w:cs="Times New Roman"/>
          <w:b/>
          <w:sz w:val="18"/>
          <w:szCs w:val="18"/>
        </w:rPr>
      </w:pPr>
    </w:p>
    <w:tbl>
      <w:tblPr>
        <w:tblW w:w="11185"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
        <w:gridCol w:w="4284"/>
        <w:gridCol w:w="865"/>
        <w:gridCol w:w="675"/>
        <w:gridCol w:w="1205"/>
        <w:gridCol w:w="576"/>
        <w:gridCol w:w="715"/>
        <w:gridCol w:w="508"/>
        <w:gridCol w:w="715"/>
        <w:gridCol w:w="551"/>
        <w:gridCol w:w="715"/>
      </w:tblGrid>
      <w:tr w:rsidR="00722A47" w:rsidRPr="00722A47" w14:paraId="55B5AFEF" w14:textId="77777777" w:rsidTr="004954C9">
        <w:trPr>
          <w:trHeight w:val="330"/>
        </w:trPr>
        <w:tc>
          <w:tcPr>
            <w:tcW w:w="11185" w:type="dxa"/>
            <w:gridSpan w:val="11"/>
            <w:noWrap/>
            <w:vAlign w:val="bottom"/>
          </w:tcPr>
          <w:p w14:paraId="2B78D5FA" w14:textId="77777777" w:rsidR="00722A47" w:rsidRPr="00722A47" w:rsidRDefault="00722A47" w:rsidP="00722A47">
            <w:pPr>
              <w:spacing w:before="0" w:after="0"/>
              <w:jc w:val="center"/>
              <w:rPr>
                <w:rFonts w:ascii="Times New Roman" w:eastAsia="Times New Roman" w:hAnsi="Times New Roman" w:cs="Times New Roman"/>
                <w:b/>
                <w:bCs/>
                <w:sz w:val="24"/>
                <w:szCs w:val="24"/>
                <w:lang w:eastAsia="de-DE"/>
              </w:rPr>
            </w:pPr>
            <w:r w:rsidRPr="00722A47">
              <w:rPr>
                <w:rFonts w:ascii="Times New Roman" w:eastAsia="Times New Roman" w:hAnsi="Times New Roman" w:cs="Times New Roman"/>
                <w:b/>
                <w:sz w:val="24"/>
                <w:szCs w:val="20"/>
                <w:lang w:eastAsia="de-DE"/>
              </w:rPr>
              <w:br w:type="page"/>
            </w:r>
            <w:r w:rsidRPr="00722A47">
              <w:rPr>
                <w:rFonts w:ascii="Times New Roman" w:eastAsia="Times New Roman" w:hAnsi="Times New Roman" w:cs="Times New Roman"/>
                <w:b/>
                <w:sz w:val="24"/>
                <w:szCs w:val="24"/>
                <w:lang w:eastAsia="de-DE"/>
              </w:rPr>
              <w:t>Gleisschotter der Klasse 3 (</w:t>
            </w:r>
            <w:r w:rsidRPr="00722A47">
              <w:rPr>
                <w:rFonts w:ascii="Times New Roman" w:eastAsia="Times New Roman" w:hAnsi="Times New Roman" w:cs="Tahoma"/>
                <w:b/>
                <w:bCs/>
                <w:sz w:val="24"/>
                <w:szCs w:val="24"/>
                <w:lang w:eastAsia="de-DE"/>
              </w:rPr>
              <w:t>GS-3)</w:t>
            </w:r>
          </w:p>
        </w:tc>
      </w:tr>
      <w:tr w:rsidR="00722A47" w:rsidRPr="00722A47" w14:paraId="03F5873E" w14:textId="77777777" w:rsidTr="004954C9">
        <w:trPr>
          <w:trHeight w:val="20"/>
        </w:trPr>
        <w:tc>
          <w:tcPr>
            <w:tcW w:w="4762" w:type="dxa"/>
            <w:gridSpan w:val="2"/>
            <w:vMerge w:val="restart"/>
            <w:shd w:val="clear" w:color="auto" w:fill="auto"/>
            <w:noWrap/>
          </w:tcPr>
          <w:p w14:paraId="362B550B"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Einbauweise</w:t>
            </w:r>
          </w:p>
        </w:tc>
        <w:tc>
          <w:tcPr>
            <w:tcW w:w="6423" w:type="dxa"/>
            <w:gridSpan w:val="9"/>
            <w:shd w:val="clear" w:color="auto" w:fill="auto"/>
            <w:noWrap/>
            <w:vAlign w:val="center"/>
          </w:tcPr>
          <w:p w14:paraId="376A4C15"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Eigenschaft der Grundwasserdeckschicht</w:t>
            </w:r>
          </w:p>
        </w:tc>
      </w:tr>
      <w:tr w:rsidR="00722A47" w:rsidRPr="00722A47" w14:paraId="35E25D77" w14:textId="77777777" w:rsidTr="004954C9">
        <w:trPr>
          <w:trHeight w:val="20"/>
        </w:trPr>
        <w:tc>
          <w:tcPr>
            <w:tcW w:w="4762" w:type="dxa"/>
            <w:gridSpan w:val="2"/>
            <w:vMerge/>
            <w:shd w:val="clear" w:color="auto" w:fill="auto"/>
            <w:noWrap/>
            <w:vAlign w:val="center"/>
          </w:tcPr>
          <w:p w14:paraId="7D51FF2E" w14:textId="77777777" w:rsidR="00722A47" w:rsidRPr="00722A47" w:rsidRDefault="00722A47" w:rsidP="00722A47">
            <w:pPr>
              <w:spacing w:before="0" w:after="0"/>
              <w:jc w:val="center"/>
              <w:rPr>
                <w:rFonts w:ascii="Times New Roman" w:eastAsia="Times New Roman" w:hAnsi="Times New Roman" w:cs="Times New Roman"/>
                <w:sz w:val="20"/>
                <w:szCs w:val="24"/>
                <w:lang w:eastAsia="de-DE"/>
              </w:rPr>
            </w:pPr>
          </w:p>
        </w:tc>
        <w:tc>
          <w:tcPr>
            <w:tcW w:w="2745" w:type="dxa"/>
            <w:gridSpan w:val="3"/>
            <w:shd w:val="clear" w:color="auto" w:fill="auto"/>
            <w:noWrap/>
            <w:vAlign w:val="center"/>
          </w:tcPr>
          <w:p w14:paraId="4DB7879D"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außerhalb von</w:t>
            </w:r>
          </w:p>
          <w:p w14:paraId="14DA6E46"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c>
          <w:tcPr>
            <w:tcW w:w="3678" w:type="dxa"/>
            <w:gridSpan w:val="6"/>
            <w:shd w:val="clear" w:color="auto" w:fill="auto"/>
            <w:noWrap/>
            <w:vAlign w:val="center"/>
          </w:tcPr>
          <w:p w14:paraId="1AC53DE9"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innerhalb von</w:t>
            </w:r>
          </w:p>
          <w:p w14:paraId="1BE4DC41"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r>
      <w:tr w:rsidR="00722A47" w:rsidRPr="00722A47" w14:paraId="02EA55D5" w14:textId="77777777" w:rsidTr="004954C9">
        <w:trPr>
          <w:trHeight w:val="20"/>
        </w:trPr>
        <w:tc>
          <w:tcPr>
            <w:tcW w:w="4762" w:type="dxa"/>
            <w:gridSpan w:val="2"/>
            <w:vMerge/>
            <w:shd w:val="clear" w:color="auto" w:fill="auto"/>
            <w:noWrap/>
            <w:vAlign w:val="center"/>
          </w:tcPr>
          <w:p w14:paraId="48286C6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51D2B063"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proofErr w:type="spellStart"/>
            <w:r w:rsidRPr="00722A47">
              <w:rPr>
                <w:rFonts w:ascii="Times New Roman" w:eastAsia="Times New Roman" w:hAnsi="Times New Roman" w:cs="Times New Roman"/>
                <w:sz w:val="20"/>
                <w:szCs w:val="20"/>
                <w:lang w:eastAsia="de-DE"/>
              </w:rPr>
              <w:t>un</w:t>
            </w:r>
            <w:proofErr w:type="spellEnd"/>
            <w:r w:rsidRPr="00722A47">
              <w:rPr>
                <w:rFonts w:ascii="Times New Roman" w:eastAsia="Times New Roman" w:hAnsi="Times New Roman" w:cs="Times New Roman"/>
                <w:sz w:val="20"/>
                <w:szCs w:val="20"/>
                <w:lang w:eastAsia="de-DE"/>
              </w:rPr>
              <w:t>-günstig</w:t>
            </w:r>
          </w:p>
        </w:tc>
        <w:tc>
          <w:tcPr>
            <w:tcW w:w="1880" w:type="dxa"/>
            <w:gridSpan w:val="2"/>
            <w:shd w:val="clear" w:color="auto" w:fill="auto"/>
            <w:noWrap/>
            <w:vAlign w:val="center"/>
          </w:tcPr>
          <w:p w14:paraId="1AC59611"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c>
          <w:tcPr>
            <w:tcW w:w="3678" w:type="dxa"/>
            <w:gridSpan w:val="6"/>
            <w:shd w:val="clear" w:color="auto" w:fill="auto"/>
            <w:noWrap/>
            <w:vAlign w:val="center"/>
          </w:tcPr>
          <w:p w14:paraId="291AC452"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r>
      <w:tr w:rsidR="00722A47" w:rsidRPr="00722A47" w14:paraId="064F9BEF" w14:textId="77777777" w:rsidTr="004954C9">
        <w:trPr>
          <w:trHeight w:val="20"/>
        </w:trPr>
        <w:tc>
          <w:tcPr>
            <w:tcW w:w="4762" w:type="dxa"/>
            <w:gridSpan w:val="2"/>
            <w:vMerge/>
            <w:shd w:val="clear" w:color="auto" w:fill="auto"/>
            <w:noWrap/>
            <w:vAlign w:val="center"/>
          </w:tcPr>
          <w:p w14:paraId="72EB904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val="restart"/>
            <w:shd w:val="clear" w:color="auto" w:fill="auto"/>
            <w:noWrap/>
            <w:vAlign w:val="bottom"/>
          </w:tcPr>
          <w:p w14:paraId="520A49E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val="restart"/>
            <w:shd w:val="clear" w:color="auto" w:fill="auto"/>
            <w:noWrap/>
            <w:vAlign w:val="center"/>
          </w:tcPr>
          <w:p w14:paraId="6FC24BE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1205" w:type="dxa"/>
            <w:vMerge w:val="restart"/>
            <w:shd w:val="clear" w:color="auto" w:fill="auto"/>
            <w:noWrap/>
            <w:vAlign w:val="center"/>
          </w:tcPr>
          <w:p w14:paraId="0BE5E795" w14:textId="543C1DBC"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0DF207E3" w14:textId="214DA8D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1925514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1257" w:type="dxa"/>
            <w:gridSpan w:val="2"/>
            <w:shd w:val="clear" w:color="auto" w:fill="auto"/>
            <w:noWrap/>
            <w:vAlign w:val="center"/>
          </w:tcPr>
          <w:p w14:paraId="47AAF08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A</w:t>
            </w:r>
          </w:p>
        </w:tc>
        <w:tc>
          <w:tcPr>
            <w:tcW w:w="1189" w:type="dxa"/>
            <w:gridSpan w:val="2"/>
            <w:shd w:val="clear" w:color="auto" w:fill="auto"/>
            <w:noWrap/>
            <w:vAlign w:val="center"/>
          </w:tcPr>
          <w:p w14:paraId="03DA0A3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B</w:t>
            </w:r>
          </w:p>
        </w:tc>
        <w:tc>
          <w:tcPr>
            <w:tcW w:w="1232" w:type="dxa"/>
            <w:gridSpan w:val="2"/>
            <w:shd w:val="clear" w:color="auto" w:fill="auto"/>
            <w:noWrap/>
            <w:vAlign w:val="center"/>
          </w:tcPr>
          <w:p w14:paraId="5EC6A90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Wasservor-</w:t>
            </w:r>
          </w:p>
        </w:tc>
      </w:tr>
      <w:tr w:rsidR="00722A47" w:rsidRPr="00722A47" w14:paraId="35477621" w14:textId="77777777" w:rsidTr="004954C9">
        <w:trPr>
          <w:trHeight w:val="80"/>
        </w:trPr>
        <w:tc>
          <w:tcPr>
            <w:tcW w:w="4762" w:type="dxa"/>
            <w:gridSpan w:val="2"/>
            <w:vMerge/>
            <w:shd w:val="clear" w:color="auto" w:fill="auto"/>
            <w:noWrap/>
            <w:vAlign w:val="center"/>
          </w:tcPr>
          <w:p w14:paraId="371DD54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0E8ABF4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7BD90E7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510DA96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57" w:type="dxa"/>
            <w:gridSpan w:val="2"/>
            <w:shd w:val="clear" w:color="auto" w:fill="auto"/>
            <w:noWrap/>
            <w:vAlign w:val="center"/>
          </w:tcPr>
          <w:p w14:paraId="1427AB4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III</w:t>
            </w:r>
          </w:p>
        </w:tc>
        <w:tc>
          <w:tcPr>
            <w:tcW w:w="1189" w:type="dxa"/>
            <w:gridSpan w:val="2"/>
            <w:shd w:val="clear" w:color="auto" w:fill="auto"/>
            <w:noWrap/>
            <w:vAlign w:val="center"/>
          </w:tcPr>
          <w:p w14:paraId="50E3AA9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IV</w:t>
            </w:r>
          </w:p>
        </w:tc>
        <w:tc>
          <w:tcPr>
            <w:tcW w:w="1232" w:type="dxa"/>
            <w:gridSpan w:val="2"/>
            <w:shd w:val="clear" w:color="auto" w:fill="auto"/>
            <w:noWrap/>
            <w:vAlign w:val="center"/>
          </w:tcPr>
          <w:p w14:paraId="4914929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ranggebiete</w:t>
            </w:r>
          </w:p>
        </w:tc>
      </w:tr>
      <w:tr w:rsidR="00722A47" w:rsidRPr="00722A47" w14:paraId="3BD34828" w14:textId="77777777" w:rsidTr="004954C9">
        <w:trPr>
          <w:trHeight w:val="80"/>
        </w:trPr>
        <w:tc>
          <w:tcPr>
            <w:tcW w:w="4762" w:type="dxa"/>
            <w:gridSpan w:val="2"/>
            <w:vMerge/>
            <w:shd w:val="clear" w:color="auto" w:fill="auto"/>
            <w:noWrap/>
            <w:vAlign w:val="center"/>
          </w:tcPr>
          <w:p w14:paraId="118BA55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3552837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398996E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6E6E609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576" w:type="dxa"/>
            <w:shd w:val="clear" w:color="auto" w:fill="auto"/>
            <w:noWrap/>
            <w:vAlign w:val="center"/>
          </w:tcPr>
          <w:p w14:paraId="1B7BC6A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76802FF5" w14:textId="3B52F70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2EBCB48E" w14:textId="78DBA6D9"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18676A7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08" w:type="dxa"/>
            <w:shd w:val="clear" w:color="auto" w:fill="auto"/>
            <w:noWrap/>
            <w:vAlign w:val="center"/>
          </w:tcPr>
          <w:p w14:paraId="526BA6D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06EBDFD2" w14:textId="1D9CD4D6"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21F635BC" w14:textId="249DCEEA"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7D783AD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51" w:type="dxa"/>
            <w:shd w:val="clear" w:color="auto" w:fill="auto"/>
            <w:noWrap/>
            <w:vAlign w:val="center"/>
          </w:tcPr>
          <w:p w14:paraId="0876709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42CA6870" w14:textId="5517B130"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6A1555C5" w14:textId="08F55189"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4F88528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r>
      <w:tr w:rsidR="00722A47" w:rsidRPr="00722A47" w14:paraId="0A22D283" w14:textId="77777777" w:rsidTr="004954C9">
        <w:trPr>
          <w:trHeight w:val="111"/>
        </w:trPr>
        <w:tc>
          <w:tcPr>
            <w:tcW w:w="4762" w:type="dxa"/>
            <w:gridSpan w:val="2"/>
            <w:vMerge/>
            <w:shd w:val="clear" w:color="auto" w:fill="auto"/>
            <w:noWrap/>
            <w:vAlign w:val="center"/>
          </w:tcPr>
          <w:p w14:paraId="3384001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6A038EB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1</w:t>
            </w:r>
          </w:p>
        </w:tc>
        <w:tc>
          <w:tcPr>
            <w:tcW w:w="675" w:type="dxa"/>
            <w:shd w:val="clear" w:color="auto" w:fill="auto"/>
            <w:noWrap/>
            <w:vAlign w:val="center"/>
          </w:tcPr>
          <w:p w14:paraId="258652E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2</w:t>
            </w:r>
          </w:p>
        </w:tc>
        <w:tc>
          <w:tcPr>
            <w:tcW w:w="1205" w:type="dxa"/>
            <w:shd w:val="clear" w:color="auto" w:fill="auto"/>
            <w:noWrap/>
            <w:vAlign w:val="center"/>
          </w:tcPr>
          <w:p w14:paraId="2D2734A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3</w:t>
            </w:r>
          </w:p>
        </w:tc>
        <w:tc>
          <w:tcPr>
            <w:tcW w:w="1257" w:type="dxa"/>
            <w:gridSpan w:val="2"/>
            <w:shd w:val="clear" w:color="auto" w:fill="auto"/>
            <w:noWrap/>
            <w:vAlign w:val="center"/>
          </w:tcPr>
          <w:p w14:paraId="541B77C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4</w:t>
            </w:r>
          </w:p>
        </w:tc>
        <w:tc>
          <w:tcPr>
            <w:tcW w:w="1189" w:type="dxa"/>
            <w:gridSpan w:val="2"/>
            <w:shd w:val="clear" w:color="auto" w:fill="auto"/>
            <w:noWrap/>
            <w:vAlign w:val="center"/>
          </w:tcPr>
          <w:p w14:paraId="3CCF055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5</w:t>
            </w:r>
          </w:p>
        </w:tc>
        <w:tc>
          <w:tcPr>
            <w:tcW w:w="1232" w:type="dxa"/>
            <w:gridSpan w:val="2"/>
            <w:shd w:val="clear" w:color="auto" w:fill="auto"/>
            <w:noWrap/>
            <w:vAlign w:val="center"/>
          </w:tcPr>
          <w:p w14:paraId="6D0C40E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6</w:t>
            </w:r>
          </w:p>
        </w:tc>
      </w:tr>
      <w:tr w:rsidR="00722A47" w:rsidRPr="00722A47" w14:paraId="333BE51E" w14:textId="77777777" w:rsidTr="004954C9">
        <w:trPr>
          <w:trHeight w:val="20"/>
        </w:trPr>
        <w:tc>
          <w:tcPr>
            <w:tcW w:w="478" w:type="dxa"/>
            <w:noWrap/>
          </w:tcPr>
          <w:p w14:paraId="74F290F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w:t>
            </w:r>
          </w:p>
        </w:tc>
        <w:tc>
          <w:tcPr>
            <w:tcW w:w="4284" w:type="dxa"/>
          </w:tcPr>
          <w:p w14:paraId="18B0B92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Schotteroberbau der Bahnbauweise Standard Damm </w:t>
            </w:r>
          </w:p>
        </w:tc>
        <w:tc>
          <w:tcPr>
            <w:tcW w:w="865" w:type="dxa"/>
            <w:noWrap/>
            <w:vAlign w:val="center"/>
          </w:tcPr>
          <w:p w14:paraId="4EBC3AE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62D788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976ACF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18D731B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129BF29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3B7011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EB0E46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0338487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21401A4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33C0E117" w14:textId="77777777" w:rsidTr="004954C9">
        <w:trPr>
          <w:trHeight w:val="20"/>
        </w:trPr>
        <w:tc>
          <w:tcPr>
            <w:tcW w:w="478" w:type="dxa"/>
            <w:noWrap/>
          </w:tcPr>
          <w:p w14:paraId="1BD16E8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w:t>
            </w:r>
          </w:p>
        </w:tc>
        <w:tc>
          <w:tcPr>
            <w:tcW w:w="4284" w:type="dxa"/>
          </w:tcPr>
          <w:p w14:paraId="4C8A784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Standard Einschnitt</w:t>
            </w:r>
          </w:p>
        </w:tc>
        <w:tc>
          <w:tcPr>
            <w:tcW w:w="865" w:type="dxa"/>
            <w:noWrap/>
            <w:vAlign w:val="center"/>
          </w:tcPr>
          <w:p w14:paraId="773514F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A71DAB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CDF6A2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71F745C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63DFD8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333EA1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79A8BAE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59178A2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771D227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1906F31" w14:textId="77777777" w:rsidTr="004954C9">
        <w:trPr>
          <w:trHeight w:val="20"/>
        </w:trPr>
        <w:tc>
          <w:tcPr>
            <w:tcW w:w="478" w:type="dxa"/>
            <w:noWrap/>
          </w:tcPr>
          <w:p w14:paraId="0987F48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B3</w:t>
            </w:r>
          </w:p>
        </w:tc>
        <w:tc>
          <w:tcPr>
            <w:tcW w:w="4284" w:type="dxa"/>
          </w:tcPr>
          <w:p w14:paraId="3FBC388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w:t>
            </w:r>
          </w:p>
        </w:tc>
        <w:tc>
          <w:tcPr>
            <w:tcW w:w="865" w:type="dxa"/>
            <w:noWrap/>
            <w:vAlign w:val="center"/>
          </w:tcPr>
          <w:p w14:paraId="32D1854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AF4019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DEEBCA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7AC90E1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0E2F63A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4B0EAD8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0D24B05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538D192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670B8F9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6026A330" w14:textId="77777777" w:rsidTr="004954C9">
        <w:trPr>
          <w:trHeight w:val="20"/>
        </w:trPr>
        <w:tc>
          <w:tcPr>
            <w:tcW w:w="478" w:type="dxa"/>
            <w:noWrap/>
          </w:tcPr>
          <w:p w14:paraId="5D0694B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B4</w:t>
            </w:r>
          </w:p>
        </w:tc>
        <w:tc>
          <w:tcPr>
            <w:tcW w:w="4284" w:type="dxa"/>
          </w:tcPr>
          <w:p w14:paraId="60855D7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 modifiziert</w:t>
            </w:r>
          </w:p>
        </w:tc>
        <w:tc>
          <w:tcPr>
            <w:tcW w:w="865" w:type="dxa"/>
            <w:noWrap/>
            <w:vAlign w:val="center"/>
          </w:tcPr>
          <w:p w14:paraId="775EB42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7314E6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999750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576" w:type="dxa"/>
            <w:noWrap/>
            <w:vAlign w:val="center"/>
          </w:tcPr>
          <w:p w14:paraId="5F2A419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323075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1DE358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64B8657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111975E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8CBDE9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r>
      <w:tr w:rsidR="00722A47" w:rsidRPr="00722A47" w14:paraId="24C84AC4" w14:textId="77777777" w:rsidTr="004954C9">
        <w:trPr>
          <w:trHeight w:val="20"/>
        </w:trPr>
        <w:tc>
          <w:tcPr>
            <w:tcW w:w="478" w:type="dxa"/>
            <w:noWrap/>
          </w:tcPr>
          <w:p w14:paraId="454F56F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B5</w:t>
            </w:r>
          </w:p>
        </w:tc>
        <w:tc>
          <w:tcPr>
            <w:tcW w:w="4284" w:type="dxa"/>
          </w:tcPr>
          <w:p w14:paraId="0FC7CBC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7EE12B7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Bahnbauweise Standard Damm </w:t>
            </w:r>
          </w:p>
        </w:tc>
        <w:tc>
          <w:tcPr>
            <w:tcW w:w="865" w:type="dxa"/>
            <w:noWrap/>
            <w:vAlign w:val="center"/>
          </w:tcPr>
          <w:p w14:paraId="1F4C76F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37C2D8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DEA96E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0BAC5BD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6E4AF50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4CA61B4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B714CA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6495B48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5E3B521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136C7229" w14:textId="77777777" w:rsidTr="004954C9">
        <w:trPr>
          <w:trHeight w:val="20"/>
        </w:trPr>
        <w:tc>
          <w:tcPr>
            <w:tcW w:w="478" w:type="dxa"/>
            <w:noWrap/>
          </w:tcPr>
          <w:p w14:paraId="32E90CF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B6</w:t>
            </w:r>
          </w:p>
        </w:tc>
        <w:tc>
          <w:tcPr>
            <w:tcW w:w="4284" w:type="dxa"/>
          </w:tcPr>
          <w:p w14:paraId="31A2DEF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5051241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Standard Einschnitt</w:t>
            </w:r>
          </w:p>
        </w:tc>
        <w:tc>
          <w:tcPr>
            <w:tcW w:w="865" w:type="dxa"/>
            <w:noWrap/>
            <w:vAlign w:val="center"/>
          </w:tcPr>
          <w:p w14:paraId="53E174B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B46A65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066EFC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78097F4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1F64CCC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9104C5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014DE7A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24BD765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371E50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A7114D6" w14:textId="77777777" w:rsidTr="004954C9">
        <w:trPr>
          <w:trHeight w:val="20"/>
        </w:trPr>
        <w:tc>
          <w:tcPr>
            <w:tcW w:w="478" w:type="dxa"/>
            <w:noWrap/>
          </w:tcPr>
          <w:p w14:paraId="42644F9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B7</w:t>
            </w:r>
          </w:p>
        </w:tc>
        <w:tc>
          <w:tcPr>
            <w:tcW w:w="4284" w:type="dxa"/>
          </w:tcPr>
          <w:p w14:paraId="1D4E615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62F9CE3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24687B2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74A68D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CA4740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2C049A7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47A6CA9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4B6799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4762756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2740014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5D7E1ED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75AACD3" w14:textId="77777777" w:rsidTr="004954C9">
        <w:trPr>
          <w:trHeight w:val="20"/>
        </w:trPr>
        <w:tc>
          <w:tcPr>
            <w:tcW w:w="478" w:type="dxa"/>
            <w:noWrap/>
          </w:tcPr>
          <w:p w14:paraId="6F39389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B8</w:t>
            </w:r>
          </w:p>
        </w:tc>
        <w:tc>
          <w:tcPr>
            <w:tcW w:w="4284" w:type="dxa"/>
          </w:tcPr>
          <w:p w14:paraId="013C294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7C088CE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6F11E99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D3AEDF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8C7174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576" w:type="dxa"/>
            <w:noWrap/>
            <w:vAlign w:val="center"/>
          </w:tcPr>
          <w:p w14:paraId="08D5121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1244D7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8BD3FF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2F4B263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7105FD1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0DCC72B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r>
      <w:tr w:rsidR="00722A47" w:rsidRPr="00722A47" w14:paraId="648A5021" w14:textId="77777777" w:rsidTr="004954C9">
        <w:trPr>
          <w:trHeight w:val="20"/>
        </w:trPr>
        <w:tc>
          <w:tcPr>
            <w:tcW w:w="478" w:type="dxa"/>
            <w:noWrap/>
          </w:tcPr>
          <w:p w14:paraId="6CA517A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B9</w:t>
            </w:r>
          </w:p>
        </w:tc>
        <w:tc>
          <w:tcPr>
            <w:tcW w:w="4284" w:type="dxa"/>
          </w:tcPr>
          <w:p w14:paraId="14887AC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52DB889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4B14410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30F958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7E7B8F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3FB0285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64092D9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4F26970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67BCE1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269E223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B92A9D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F0E5C42" w14:textId="77777777" w:rsidTr="004954C9">
        <w:trPr>
          <w:trHeight w:val="20"/>
        </w:trPr>
        <w:tc>
          <w:tcPr>
            <w:tcW w:w="478" w:type="dxa"/>
            <w:noWrap/>
          </w:tcPr>
          <w:p w14:paraId="2930F69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B10</w:t>
            </w:r>
          </w:p>
        </w:tc>
        <w:tc>
          <w:tcPr>
            <w:tcW w:w="4284" w:type="dxa"/>
          </w:tcPr>
          <w:p w14:paraId="5670578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2EDA554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0906FF2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C76698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5BA75D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2D48B72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59A7A73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FC6C47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76C011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573A75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0E7FE2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49462F1" w14:textId="77777777" w:rsidTr="004954C9">
        <w:trPr>
          <w:trHeight w:val="20"/>
        </w:trPr>
        <w:tc>
          <w:tcPr>
            <w:tcW w:w="478" w:type="dxa"/>
            <w:noWrap/>
          </w:tcPr>
          <w:p w14:paraId="64F6495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B11</w:t>
            </w:r>
          </w:p>
        </w:tc>
        <w:tc>
          <w:tcPr>
            <w:tcW w:w="4284" w:type="dxa"/>
          </w:tcPr>
          <w:p w14:paraId="5769322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Spezielle Bodenschicht der Bahnbauweise H</w:t>
            </w:r>
          </w:p>
        </w:tc>
        <w:tc>
          <w:tcPr>
            <w:tcW w:w="865" w:type="dxa"/>
            <w:noWrap/>
            <w:vAlign w:val="center"/>
          </w:tcPr>
          <w:p w14:paraId="79B5D2F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F6A3A0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941B7C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76" w:type="dxa"/>
            <w:noWrap/>
            <w:vAlign w:val="center"/>
          </w:tcPr>
          <w:p w14:paraId="29330EF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6D2589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E9CCB6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033292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15BD5ED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CECD42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r>
      <w:tr w:rsidR="00722A47" w:rsidRPr="00722A47" w14:paraId="1E5111D0" w14:textId="77777777" w:rsidTr="004954C9">
        <w:trPr>
          <w:trHeight w:val="20"/>
        </w:trPr>
        <w:tc>
          <w:tcPr>
            <w:tcW w:w="478" w:type="dxa"/>
            <w:noWrap/>
          </w:tcPr>
          <w:p w14:paraId="0BA491E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B12</w:t>
            </w:r>
          </w:p>
        </w:tc>
        <w:tc>
          <w:tcPr>
            <w:tcW w:w="4284" w:type="dxa"/>
          </w:tcPr>
          <w:p w14:paraId="437E9A1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6AEA6D9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Standard Damm </w:t>
            </w:r>
          </w:p>
        </w:tc>
        <w:tc>
          <w:tcPr>
            <w:tcW w:w="865" w:type="dxa"/>
            <w:noWrap/>
            <w:vAlign w:val="center"/>
          </w:tcPr>
          <w:p w14:paraId="3E7C63F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51420F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042B2C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09D225F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5E08014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425B44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65818CB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3601083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60A468B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B341E29" w14:textId="77777777" w:rsidTr="004954C9">
        <w:trPr>
          <w:trHeight w:val="20"/>
        </w:trPr>
        <w:tc>
          <w:tcPr>
            <w:tcW w:w="478" w:type="dxa"/>
            <w:noWrap/>
          </w:tcPr>
          <w:p w14:paraId="2725254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B13</w:t>
            </w:r>
          </w:p>
        </w:tc>
        <w:tc>
          <w:tcPr>
            <w:tcW w:w="4284" w:type="dxa"/>
          </w:tcPr>
          <w:p w14:paraId="571461B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43F5C7E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Standard Einschnitt</w:t>
            </w:r>
          </w:p>
        </w:tc>
        <w:tc>
          <w:tcPr>
            <w:tcW w:w="865" w:type="dxa"/>
            <w:noWrap/>
            <w:vAlign w:val="center"/>
          </w:tcPr>
          <w:p w14:paraId="4701DC2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D66AC3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6E985B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57BC494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6D53E34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4644489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44A151C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7BCAE40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3199FAB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59A9D8EA" w14:textId="77777777" w:rsidTr="004954C9">
        <w:trPr>
          <w:trHeight w:val="20"/>
        </w:trPr>
        <w:tc>
          <w:tcPr>
            <w:tcW w:w="478" w:type="dxa"/>
            <w:noWrap/>
          </w:tcPr>
          <w:p w14:paraId="1976096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B14</w:t>
            </w:r>
          </w:p>
        </w:tc>
        <w:tc>
          <w:tcPr>
            <w:tcW w:w="4284" w:type="dxa"/>
          </w:tcPr>
          <w:p w14:paraId="605272B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H</w:t>
            </w:r>
          </w:p>
        </w:tc>
        <w:tc>
          <w:tcPr>
            <w:tcW w:w="865" w:type="dxa"/>
            <w:noWrap/>
            <w:vAlign w:val="center"/>
          </w:tcPr>
          <w:p w14:paraId="5608350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3E6C66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75713A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0298944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27E2A2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D23443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3CFD48C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5BDEB13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0942906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3686AB1C" w14:textId="77777777" w:rsidTr="004954C9">
        <w:trPr>
          <w:trHeight w:val="20"/>
        </w:trPr>
        <w:tc>
          <w:tcPr>
            <w:tcW w:w="478" w:type="dxa"/>
            <w:noWrap/>
          </w:tcPr>
          <w:p w14:paraId="63F376A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B15</w:t>
            </w:r>
          </w:p>
        </w:tc>
        <w:tc>
          <w:tcPr>
            <w:tcW w:w="4284" w:type="dxa"/>
          </w:tcPr>
          <w:p w14:paraId="0E1ACE5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356B916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H modifiziert</w:t>
            </w:r>
          </w:p>
        </w:tc>
        <w:tc>
          <w:tcPr>
            <w:tcW w:w="865" w:type="dxa"/>
            <w:noWrap/>
            <w:vAlign w:val="center"/>
          </w:tcPr>
          <w:p w14:paraId="7AB5675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C4B6A4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438D34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630E081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C58FDC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D0D51B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305258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77CDD7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C48238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6D816425" w14:textId="77777777" w:rsidTr="004954C9">
        <w:trPr>
          <w:trHeight w:val="20"/>
        </w:trPr>
        <w:tc>
          <w:tcPr>
            <w:tcW w:w="478" w:type="dxa"/>
            <w:noWrap/>
          </w:tcPr>
          <w:p w14:paraId="675F213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B16</w:t>
            </w:r>
          </w:p>
        </w:tc>
        <w:tc>
          <w:tcPr>
            <w:tcW w:w="4284" w:type="dxa"/>
          </w:tcPr>
          <w:p w14:paraId="478954B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w:t>
            </w:r>
          </w:p>
        </w:tc>
        <w:tc>
          <w:tcPr>
            <w:tcW w:w="865" w:type="dxa"/>
            <w:noWrap/>
            <w:vAlign w:val="center"/>
          </w:tcPr>
          <w:p w14:paraId="7A83598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C0F601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4E66BE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66C59DE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4647C13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49CB74E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D51992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FFFFFF"/>
            <w:noWrap/>
            <w:vAlign w:val="center"/>
          </w:tcPr>
          <w:p w14:paraId="5E6DBDC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FFFFFF"/>
            <w:vAlign w:val="center"/>
          </w:tcPr>
          <w:p w14:paraId="3315FC6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8E0E252" w14:textId="77777777" w:rsidTr="004954C9">
        <w:trPr>
          <w:trHeight w:val="20"/>
        </w:trPr>
        <w:tc>
          <w:tcPr>
            <w:tcW w:w="478" w:type="dxa"/>
            <w:noWrap/>
          </w:tcPr>
          <w:p w14:paraId="17EBC00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B17</w:t>
            </w:r>
          </w:p>
        </w:tc>
        <w:tc>
          <w:tcPr>
            <w:tcW w:w="4284" w:type="dxa"/>
          </w:tcPr>
          <w:p w14:paraId="4A32854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w:t>
            </w:r>
          </w:p>
        </w:tc>
        <w:tc>
          <w:tcPr>
            <w:tcW w:w="865" w:type="dxa"/>
            <w:noWrap/>
            <w:vAlign w:val="center"/>
          </w:tcPr>
          <w:p w14:paraId="0F2F487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3FAB62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42A91E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576" w:type="dxa"/>
            <w:noWrap/>
            <w:vAlign w:val="center"/>
          </w:tcPr>
          <w:p w14:paraId="502BB99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87C711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90B238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5B5F816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79F5556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53DAB86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r>
      <w:tr w:rsidR="00722A47" w:rsidRPr="00722A47" w14:paraId="78870954" w14:textId="77777777" w:rsidTr="004954C9">
        <w:trPr>
          <w:trHeight w:val="20"/>
        </w:trPr>
        <w:tc>
          <w:tcPr>
            <w:tcW w:w="478" w:type="dxa"/>
            <w:noWrap/>
          </w:tcPr>
          <w:p w14:paraId="36571F4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B18</w:t>
            </w:r>
          </w:p>
        </w:tc>
        <w:tc>
          <w:tcPr>
            <w:tcW w:w="4284" w:type="dxa"/>
          </w:tcPr>
          <w:p w14:paraId="4757EF8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 mit Randwegabdichtung oberhalb der FSS</w:t>
            </w:r>
          </w:p>
        </w:tc>
        <w:tc>
          <w:tcPr>
            <w:tcW w:w="865" w:type="dxa"/>
            <w:noWrap/>
            <w:vAlign w:val="center"/>
          </w:tcPr>
          <w:p w14:paraId="138D479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DFF55A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784ADB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780865F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53BDE6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4D058C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17E9D2A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0042679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E8DFF4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629DEA1C" w14:textId="77777777" w:rsidTr="004954C9">
        <w:trPr>
          <w:trHeight w:val="20"/>
        </w:trPr>
        <w:tc>
          <w:tcPr>
            <w:tcW w:w="478" w:type="dxa"/>
            <w:noWrap/>
          </w:tcPr>
          <w:p w14:paraId="6F7DCF1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B19</w:t>
            </w:r>
          </w:p>
        </w:tc>
        <w:tc>
          <w:tcPr>
            <w:tcW w:w="4284" w:type="dxa"/>
          </w:tcPr>
          <w:p w14:paraId="487F514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 mit Randwegabdichtung</w:t>
            </w:r>
          </w:p>
        </w:tc>
        <w:tc>
          <w:tcPr>
            <w:tcW w:w="865" w:type="dxa"/>
            <w:noWrap/>
            <w:vAlign w:val="center"/>
          </w:tcPr>
          <w:p w14:paraId="575E884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09F0A6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05FAA0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010A8B6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0C921B5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C2F082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1357E28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2D9ADD1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920991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6C3ED224" w14:textId="77777777" w:rsidTr="004954C9">
        <w:trPr>
          <w:trHeight w:val="20"/>
        </w:trPr>
        <w:tc>
          <w:tcPr>
            <w:tcW w:w="478" w:type="dxa"/>
            <w:noWrap/>
          </w:tcPr>
          <w:p w14:paraId="5F2B1D7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B20</w:t>
            </w:r>
          </w:p>
        </w:tc>
        <w:tc>
          <w:tcPr>
            <w:tcW w:w="4284" w:type="dxa"/>
          </w:tcPr>
          <w:p w14:paraId="1415802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unterhalb </w:t>
            </w: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bzw. PSS der Bahnbauweise E 1</w:t>
            </w:r>
          </w:p>
        </w:tc>
        <w:tc>
          <w:tcPr>
            <w:tcW w:w="865" w:type="dxa"/>
            <w:noWrap/>
            <w:vAlign w:val="center"/>
          </w:tcPr>
          <w:p w14:paraId="17E0F9B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CD8636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46B422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21D5F88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8AB765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4E866C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72BD06A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8B57E1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5B2825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AF5CBE3" w14:textId="77777777" w:rsidTr="004954C9">
        <w:trPr>
          <w:trHeight w:val="20"/>
        </w:trPr>
        <w:tc>
          <w:tcPr>
            <w:tcW w:w="478" w:type="dxa"/>
            <w:noWrap/>
          </w:tcPr>
          <w:p w14:paraId="4110920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B21</w:t>
            </w:r>
          </w:p>
        </w:tc>
        <w:tc>
          <w:tcPr>
            <w:tcW w:w="4284" w:type="dxa"/>
          </w:tcPr>
          <w:p w14:paraId="33C0215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1 mit Dichtungselement auf dem Planum</w:t>
            </w:r>
          </w:p>
        </w:tc>
        <w:tc>
          <w:tcPr>
            <w:tcW w:w="865" w:type="dxa"/>
            <w:noWrap/>
            <w:vAlign w:val="center"/>
          </w:tcPr>
          <w:p w14:paraId="6CCBE2E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4CD22D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CBD96D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0050E46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A5696D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6E566A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49A03E3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2380394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922E69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66F8D612" w14:textId="77777777" w:rsidTr="004954C9">
        <w:trPr>
          <w:trHeight w:val="20"/>
        </w:trPr>
        <w:tc>
          <w:tcPr>
            <w:tcW w:w="478" w:type="dxa"/>
            <w:noWrap/>
          </w:tcPr>
          <w:p w14:paraId="629B757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B22</w:t>
            </w:r>
          </w:p>
        </w:tc>
        <w:tc>
          <w:tcPr>
            <w:tcW w:w="4284" w:type="dxa"/>
          </w:tcPr>
          <w:p w14:paraId="00F54FD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Tragschicht als witterungsunempfindliches Dichtungselement der Bahnbauweise E 2</w:t>
            </w:r>
          </w:p>
        </w:tc>
        <w:tc>
          <w:tcPr>
            <w:tcW w:w="865" w:type="dxa"/>
            <w:noWrap/>
            <w:vAlign w:val="center"/>
          </w:tcPr>
          <w:p w14:paraId="5E03974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ACF924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82A988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352AA03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F50BBF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747BAB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5D3AD7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14B3838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5C9BA3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14E38C1" w14:textId="77777777" w:rsidTr="004954C9">
        <w:trPr>
          <w:trHeight w:val="20"/>
        </w:trPr>
        <w:tc>
          <w:tcPr>
            <w:tcW w:w="478" w:type="dxa"/>
            <w:noWrap/>
          </w:tcPr>
          <w:p w14:paraId="73395C6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B23</w:t>
            </w:r>
          </w:p>
        </w:tc>
        <w:tc>
          <w:tcPr>
            <w:tcW w:w="4284" w:type="dxa"/>
          </w:tcPr>
          <w:p w14:paraId="7A9BFDB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2</w:t>
            </w:r>
          </w:p>
        </w:tc>
        <w:tc>
          <w:tcPr>
            <w:tcW w:w="865" w:type="dxa"/>
            <w:noWrap/>
            <w:vAlign w:val="center"/>
          </w:tcPr>
          <w:p w14:paraId="4D623FC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D34D84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F5B189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64CAC35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51B5289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DE2FAF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77C325A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148879E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2B9145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3FF13872" w14:textId="77777777" w:rsidTr="004954C9">
        <w:trPr>
          <w:trHeight w:val="20"/>
        </w:trPr>
        <w:tc>
          <w:tcPr>
            <w:tcW w:w="478" w:type="dxa"/>
            <w:noWrap/>
          </w:tcPr>
          <w:p w14:paraId="50E4143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B24</w:t>
            </w:r>
          </w:p>
        </w:tc>
        <w:tc>
          <w:tcPr>
            <w:tcW w:w="4284" w:type="dxa"/>
          </w:tcPr>
          <w:p w14:paraId="58E83C2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und Unterbau (Damm) der Bahnbauweise E 3a</w:t>
            </w:r>
          </w:p>
        </w:tc>
        <w:tc>
          <w:tcPr>
            <w:tcW w:w="865" w:type="dxa"/>
            <w:noWrap/>
            <w:vAlign w:val="center"/>
          </w:tcPr>
          <w:p w14:paraId="60576FA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563B70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D7090E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5274E60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69AAA0F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1EF1E6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5D6EC92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7E27FF0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5F6EFD1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62899405" w14:textId="77777777" w:rsidTr="004954C9">
        <w:trPr>
          <w:trHeight w:val="20"/>
        </w:trPr>
        <w:tc>
          <w:tcPr>
            <w:tcW w:w="478" w:type="dxa"/>
            <w:noWrap/>
          </w:tcPr>
          <w:p w14:paraId="240F515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B25</w:t>
            </w:r>
          </w:p>
        </w:tc>
        <w:tc>
          <w:tcPr>
            <w:tcW w:w="4284" w:type="dxa"/>
          </w:tcPr>
          <w:p w14:paraId="7AB168D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der Bahnbauweise E 3b</w:t>
            </w:r>
          </w:p>
        </w:tc>
        <w:tc>
          <w:tcPr>
            <w:tcW w:w="865" w:type="dxa"/>
            <w:noWrap/>
            <w:vAlign w:val="center"/>
          </w:tcPr>
          <w:p w14:paraId="030F532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DF5B33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5EA349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14F007A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57617A9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1A9ABA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752C197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37D9A93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343EA69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683CC4F" w14:textId="77777777" w:rsidTr="004954C9">
        <w:trPr>
          <w:trHeight w:val="208"/>
        </w:trPr>
        <w:tc>
          <w:tcPr>
            <w:tcW w:w="478" w:type="dxa"/>
            <w:noWrap/>
          </w:tcPr>
          <w:p w14:paraId="5300614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B26</w:t>
            </w:r>
          </w:p>
        </w:tc>
        <w:tc>
          <w:tcPr>
            <w:tcW w:w="4284" w:type="dxa"/>
          </w:tcPr>
          <w:p w14:paraId="509FC17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3b</w:t>
            </w:r>
          </w:p>
        </w:tc>
        <w:tc>
          <w:tcPr>
            <w:tcW w:w="865" w:type="dxa"/>
            <w:noWrap/>
            <w:vAlign w:val="center"/>
          </w:tcPr>
          <w:p w14:paraId="1BCEF88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E21599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077BE9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5CD6951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F2394F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3158A6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6C6AD19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58F6FDE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167736F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bl>
    <w:p w14:paraId="3941F034" w14:textId="77777777" w:rsidR="00722A47" w:rsidRPr="00722A47" w:rsidRDefault="00722A47" w:rsidP="00722A47">
      <w:pPr>
        <w:spacing w:before="0" w:after="0"/>
        <w:jc w:val="left"/>
        <w:rPr>
          <w:rFonts w:ascii="Times New Roman" w:eastAsia="Times New Roman" w:hAnsi="Times New Roman" w:cs="Tahoma"/>
          <w:sz w:val="16"/>
          <w:szCs w:val="16"/>
          <w:lang w:eastAsia="de-DE"/>
        </w:rPr>
      </w:pPr>
      <w:r w:rsidRPr="00722A47">
        <w:rPr>
          <w:rFonts w:ascii="Times New Roman" w:eastAsia="Times New Roman" w:hAnsi="Times New Roman" w:cs="Tahoma"/>
          <w:sz w:val="16"/>
          <w:szCs w:val="16"/>
          <w:lang w:eastAsia="de-DE"/>
        </w:rPr>
        <w:t xml:space="preserve">1) Zulässig, wenn AMPA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27 µg/l.</w:t>
      </w:r>
    </w:p>
    <w:p w14:paraId="31A8DE52" w14:textId="77777777" w:rsidR="00722A47" w:rsidRPr="00722A47" w:rsidRDefault="00722A47" w:rsidP="00722A47">
      <w:pPr>
        <w:spacing w:before="0" w:after="0"/>
        <w:jc w:val="left"/>
        <w:rPr>
          <w:rFonts w:ascii="Times New Roman" w:eastAsia="Times New Roman" w:hAnsi="Times New Roman" w:cs="Tahoma"/>
          <w:sz w:val="16"/>
          <w:szCs w:val="16"/>
          <w:lang w:eastAsia="de-DE"/>
        </w:rPr>
      </w:pPr>
      <w:r w:rsidRPr="00722A47">
        <w:rPr>
          <w:rFonts w:ascii="Times New Roman" w:eastAsia="Times New Roman" w:hAnsi="Times New Roman" w:cs="Tahoma"/>
          <w:sz w:val="16"/>
          <w:szCs w:val="16"/>
          <w:lang w:eastAsia="de-DE"/>
        </w:rPr>
        <w:t xml:space="preserve">2) Zulässig, wenn AMPA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45 µg/l, </w:t>
      </w:r>
      <w:proofErr w:type="spellStart"/>
      <w:r w:rsidRPr="00722A47">
        <w:rPr>
          <w:rFonts w:ascii="Times New Roman" w:eastAsia="Times New Roman" w:hAnsi="Times New Roman" w:cs="Tahoma"/>
          <w:sz w:val="16"/>
          <w:szCs w:val="16"/>
          <w:lang w:eastAsia="de-DE"/>
        </w:rPr>
        <w:t>Bromacil</w:t>
      </w:r>
      <w:proofErr w:type="spellEnd"/>
      <w:r w:rsidRPr="00722A47">
        <w:rPr>
          <w:rFonts w:ascii="Times New Roman" w:eastAsia="Times New Roman" w:hAnsi="Times New Roman" w:cs="Tahoma"/>
          <w:sz w:val="16"/>
          <w:szCs w:val="16"/>
          <w:lang w:eastAsia="de-DE"/>
        </w:rPr>
        <w:t xml:space="preserve">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5,2 µg/l und </w:t>
      </w:r>
      <w:proofErr w:type="spellStart"/>
      <w:r w:rsidRPr="00722A47">
        <w:rPr>
          <w:rFonts w:ascii="Times New Roman" w:eastAsia="Times New Roman" w:hAnsi="Times New Roman" w:cs="Tahoma"/>
          <w:sz w:val="16"/>
          <w:szCs w:val="16"/>
          <w:lang w:eastAsia="de-DE"/>
        </w:rPr>
        <w:t>Diuron</w:t>
      </w:r>
      <w:proofErr w:type="spellEnd"/>
      <w:r w:rsidRPr="00722A47">
        <w:rPr>
          <w:rFonts w:ascii="Times New Roman" w:eastAsia="Times New Roman" w:hAnsi="Times New Roman" w:cs="Tahoma"/>
          <w:sz w:val="16"/>
          <w:szCs w:val="16"/>
          <w:lang w:eastAsia="de-DE"/>
        </w:rPr>
        <w:t xml:space="preserve">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3,9 µg/l.</w:t>
      </w:r>
    </w:p>
    <w:p w14:paraId="3665CB0D" w14:textId="77777777" w:rsidR="00722A47" w:rsidRPr="00722A47" w:rsidRDefault="00722A47" w:rsidP="00722A47">
      <w:pPr>
        <w:spacing w:before="0" w:after="0"/>
        <w:jc w:val="left"/>
        <w:rPr>
          <w:rFonts w:ascii="Times New Roman" w:eastAsia="Times New Roman" w:hAnsi="Times New Roman" w:cs="Tahoma"/>
          <w:sz w:val="16"/>
          <w:szCs w:val="16"/>
          <w:lang w:eastAsia="de-DE"/>
        </w:rPr>
      </w:pPr>
      <w:r w:rsidRPr="00722A47">
        <w:rPr>
          <w:rFonts w:ascii="Times New Roman" w:eastAsia="Times New Roman" w:hAnsi="Times New Roman" w:cs="Tahoma"/>
          <w:sz w:val="16"/>
          <w:szCs w:val="16"/>
          <w:lang w:eastAsia="de-DE"/>
        </w:rPr>
        <w:t xml:space="preserve">3) Zulässig, wenn AMPA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34 µg/l, </w:t>
      </w:r>
      <w:proofErr w:type="spellStart"/>
      <w:r w:rsidRPr="00722A47">
        <w:rPr>
          <w:rFonts w:ascii="Times New Roman" w:eastAsia="Times New Roman" w:hAnsi="Times New Roman" w:cs="Tahoma"/>
          <w:sz w:val="16"/>
          <w:szCs w:val="16"/>
          <w:lang w:eastAsia="de-DE"/>
        </w:rPr>
        <w:t>Bromacil</w:t>
      </w:r>
      <w:proofErr w:type="spellEnd"/>
      <w:r w:rsidRPr="00722A47">
        <w:rPr>
          <w:rFonts w:ascii="Times New Roman" w:eastAsia="Times New Roman" w:hAnsi="Times New Roman" w:cs="Tahoma"/>
          <w:sz w:val="16"/>
          <w:szCs w:val="16"/>
          <w:lang w:eastAsia="de-DE"/>
        </w:rPr>
        <w:t xml:space="preserve">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4,2 µg/l und </w:t>
      </w:r>
      <w:proofErr w:type="spellStart"/>
      <w:r w:rsidRPr="00722A47">
        <w:rPr>
          <w:rFonts w:ascii="Times New Roman" w:eastAsia="Times New Roman" w:hAnsi="Times New Roman" w:cs="Tahoma"/>
          <w:sz w:val="16"/>
          <w:szCs w:val="16"/>
          <w:lang w:eastAsia="de-DE"/>
        </w:rPr>
        <w:t>Diuron</w:t>
      </w:r>
      <w:proofErr w:type="spellEnd"/>
      <w:r w:rsidRPr="00722A47">
        <w:rPr>
          <w:rFonts w:ascii="Times New Roman" w:eastAsia="Times New Roman" w:hAnsi="Times New Roman" w:cs="Tahoma"/>
          <w:sz w:val="16"/>
          <w:szCs w:val="16"/>
          <w:lang w:eastAsia="de-DE"/>
        </w:rPr>
        <w:t xml:space="preserve">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3,5 µg/l. </w:t>
      </w:r>
    </w:p>
    <w:p w14:paraId="74F49534" w14:textId="55DC685C" w:rsidR="00722A47" w:rsidRPr="00722A47" w:rsidRDefault="00722A47" w:rsidP="00722A47">
      <w:pPr>
        <w:pStyle w:val="berschrift1"/>
      </w:pPr>
      <w:r>
        <w:rPr>
          <w:rFonts w:ascii="Calibri Light" w:eastAsia="Times New Roman" w:hAnsi="Calibri Light" w:cs="Times New Roman"/>
          <w:sz w:val="28"/>
          <w:szCs w:val="20"/>
          <w:lang w:eastAsia="de-DE"/>
        </w:rPr>
        <w:br w:type="page"/>
      </w:r>
      <w:r w:rsidRPr="008D0377">
        <w:lastRenderedPageBreak/>
        <w:t>Tabelle 8: Recycling-Baustoff der Klasse 1 (RC-1)</w:t>
      </w:r>
    </w:p>
    <w:p w14:paraId="660CE798" w14:textId="77777777" w:rsidR="00722A47" w:rsidRPr="00722A47" w:rsidRDefault="00722A47" w:rsidP="00722A47">
      <w:pPr>
        <w:keepNext/>
        <w:spacing w:before="0" w:after="200"/>
        <w:jc w:val="left"/>
        <w:rPr>
          <w:rFonts w:ascii="Times New Roman" w:eastAsia="Calibri" w:hAnsi="Times New Roman" w:cs="Times New Roman"/>
          <w:b/>
          <w:sz w:val="18"/>
          <w:szCs w:val="18"/>
        </w:rPr>
      </w:pPr>
    </w:p>
    <w:tbl>
      <w:tblPr>
        <w:tblW w:w="11214" w:type="dxa"/>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
        <w:gridCol w:w="4284"/>
        <w:gridCol w:w="865"/>
        <w:gridCol w:w="675"/>
        <w:gridCol w:w="1205"/>
        <w:gridCol w:w="607"/>
        <w:gridCol w:w="715"/>
        <w:gridCol w:w="508"/>
        <w:gridCol w:w="715"/>
        <w:gridCol w:w="551"/>
        <w:gridCol w:w="715"/>
      </w:tblGrid>
      <w:tr w:rsidR="00722A47" w:rsidRPr="00722A47" w14:paraId="45B1B226" w14:textId="77777777" w:rsidTr="004954C9">
        <w:trPr>
          <w:trHeight w:val="330"/>
        </w:trPr>
        <w:tc>
          <w:tcPr>
            <w:tcW w:w="11214" w:type="dxa"/>
            <w:gridSpan w:val="11"/>
            <w:noWrap/>
            <w:vAlign w:val="bottom"/>
          </w:tcPr>
          <w:p w14:paraId="181DAE3A" w14:textId="77777777" w:rsidR="00722A47" w:rsidRPr="00722A47" w:rsidRDefault="00722A47" w:rsidP="00722A47">
            <w:pPr>
              <w:spacing w:before="0" w:after="0"/>
              <w:jc w:val="center"/>
              <w:rPr>
                <w:rFonts w:ascii="Times New Roman" w:eastAsia="Times New Roman" w:hAnsi="Times New Roman" w:cs="Times New Roman"/>
                <w:b/>
                <w:bCs/>
                <w:sz w:val="24"/>
                <w:szCs w:val="24"/>
                <w:lang w:eastAsia="de-DE"/>
              </w:rPr>
            </w:pPr>
            <w:r w:rsidRPr="00722A47">
              <w:rPr>
                <w:rFonts w:ascii="Times New Roman" w:eastAsia="Times New Roman" w:hAnsi="Times New Roman" w:cs="Times New Roman"/>
                <w:b/>
                <w:sz w:val="24"/>
                <w:szCs w:val="20"/>
                <w:lang w:eastAsia="de-DE"/>
              </w:rPr>
              <w:br w:type="page"/>
            </w:r>
            <w:r w:rsidRPr="00722A47">
              <w:rPr>
                <w:rFonts w:ascii="Times New Roman" w:eastAsia="Times New Roman" w:hAnsi="Times New Roman" w:cs="Times New Roman"/>
                <w:b/>
                <w:sz w:val="24"/>
                <w:szCs w:val="24"/>
                <w:lang w:eastAsia="de-DE"/>
              </w:rPr>
              <w:t>Recycling-Baustoff der Klasse 1 (</w:t>
            </w:r>
            <w:r w:rsidRPr="00722A47">
              <w:rPr>
                <w:rFonts w:ascii="Times New Roman" w:eastAsia="Times New Roman" w:hAnsi="Times New Roman" w:cs="Tahoma"/>
                <w:b/>
                <w:bCs/>
                <w:sz w:val="24"/>
                <w:szCs w:val="24"/>
                <w:lang w:eastAsia="de-DE"/>
              </w:rPr>
              <w:t>RC-1)</w:t>
            </w:r>
          </w:p>
        </w:tc>
      </w:tr>
      <w:tr w:rsidR="00722A47" w:rsidRPr="00722A47" w14:paraId="73AD5034" w14:textId="77777777" w:rsidTr="004954C9">
        <w:trPr>
          <w:trHeight w:val="20"/>
        </w:trPr>
        <w:tc>
          <w:tcPr>
            <w:tcW w:w="4762" w:type="dxa"/>
            <w:gridSpan w:val="2"/>
            <w:vMerge w:val="restart"/>
            <w:shd w:val="clear" w:color="auto" w:fill="auto"/>
            <w:noWrap/>
          </w:tcPr>
          <w:p w14:paraId="4D0C35CB"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Einbauweise</w:t>
            </w:r>
          </w:p>
        </w:tc>
        <w:tc>
          <w:tcPr>
            <w:tcW w:w="6452" w:type="dxa"/>
            <w:gridSpan w:val="9"/>
            <w:shd w:val="clear" w:color="auto" w:fill="auto"/>
            <w:noWrap/>
            <w:vAlign w:val="center"/>
          </w:tcPr>
          <w:p w14:paraId="68788C5A"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Eigenschaft der Grundwasserdeckschicht</w:t>
            </w:r>
          </w:p>
        </w:tc>
      </w:tr>
      <w:tr w:rsidR="00722A47" w:rsidRPr="00722A47" w14:paraId="6BE1074E" w14:textId="77777777" w:rsidTr="004954C9">
        <w:trPr>
          <w:trHeight w:val="20"/>
        </w:trPr>
        <w:tc>
          <w:tcPr>
            <w:tcW w:w="4762" w:type="dxa"/>
            <w:gridSpan w:val="2"/>
            <w:vMerge/>
            <w:shd w:val="clear" w:color="auto" w:fill="auto"/>
            <w:noWrap/>
            <w:vAlign w:val="center"/>
          </w:tcPr>
          <w:p w14:paraId="5AEAD03A" w14:textId="77777777" w:rsidR="00722A47" w:rsidRPr="00722A47" w:rsidRDefault="00722A47" w:rsidP="00722A47">
            <w:pPr>
              <w:spacing w:before="0" w:after="0"/>
              <w:jc w:val="center"/>
              <w:rPr>
                <w:rFonts w:ascii="Times New Roman" w:eastAsia="Times New Roman" w:hAnsi="Times New Roman" w:cs="Times New Roman"/>
                <w:sz w:val="20"/>
                <w:szCs w:val="24"/>
                <w:lang w:eastAsia="de-DE"/>
              </w:rPr>
            </w:pPr>
          </w:p>
        </w:tc>
        <w:tc>
          <w:tcPr>
            <w:tcW w:w="2745" w:type="dxa"/>
            <w:gridSpan w:val="3"/>
            <w:shd w:val="clear" w:color="auto" w:fill="auto"/>
            <w:noWrap/>
            <w:vAlign w:val="center"/>
          </w:tcPr>
          <w:p w14:paraId="7D432C4A"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außerhalb von</w:t>
            </w:r>
          </w:p>
          <w:p w14:paraId="15071051"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c>
          <w:tcPr>
            <w:tcW w:w="3707" w:type="dxa"/>
            <w:gridSpan w:val="6"/>
            <w:shd w:val="clear" w:color="auto" w:fill="auto"/>
            <w:noWrap/>
            <w:vAlign w:val="center"/>
          </w:tcPr>
          <w:p w14:paraId="4B09A999"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innerhalb von</w:t>
            </w:r>
          </w:p>
          <w:p w14:paraId="4CBC38EF"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r>
      <w:tr w:rsidR="00722A47" w:rsidRPr="00722A47" w14:paraId="7CF07895" w14:textId="77777777" w:rsidTr="004954C9">
        <w:trPr>
          <w:trHeight w:val="20"/>
        </w:trPr>
        <w:tc>
          <w:tcPr>
            <w:tcW w:w="4762" w:type="dxa"/>
            <w:gridSpan w:val="2"/>
            <w:vMerge/>
            <w:shd w:val="clear" w:color="auto" w:fill="auto"/>
            <w:noWrap/>
            <w:vAlign w:val="center"/>
          </w:tcPr>
          <w:p w14:paraId="32E23D6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2C5ACB93"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proofErr w:type="spellStart"/>
            <w:r w:rsidRPr="00722A47">
              <w:rPr>
                <w:rFonts w:ascii="Times New Roman" w:eastAsia="Times New Roman" w:hAnsi="Times New Roman" w:cs="Times New Roman"/>
                <w:sz w:val="20"/>
                <w:szCs w:val="20"/>
                <w:lang w:eastAsia="de-DE"/>
              </w:rPr>
              <w:t>un</w:t>
            </w:r>
            <w:proofErr w:type="spellEnd"/>
            <w:r w:rsidRPr="00722A47">
              <w:rPr>
                <w:rFonts w:ascii="Times New Roman" w:eastAsia="Times New Roman" w:hAnsi="Times New Roman" w:cs="Times New Roman"/>
                <w:sz w:val="20"/>
                <w:szCs w:val="20"/>
                <w:lang w:eastAsia="de-DE"/>
              </w:rPr>
              <w:t>-günstig</w:t>
            </w:r>
          </w:p>
        </w:tc>
        <w:tc>
          <w:tcPr>
            <w:tcW w:w="1880" w:type="dxa"/>
            <w:gridSpan w:val="2"/>
            <w:shd w:val="clear" w:color="auto" w:fill="auto"/>
            <w:noWrap/>
            <w:vAlign w:val="center"/>
          </w:tcPr>
          <w:p w14:paraId="3240857E"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c>
          <w:tcPr>
            <w:tcW w:w="3707" w:type="dxa"/>
            <w:gridSpan w:val="6"/>
            <w:shd w:val="clear" w:color="auto" w:fill="auto"/>
            <w:noWrap/>
            <w:vAlign w:val="center"/>
          </w:tcPr>
          <w:p w14:paraId="704E0A5D"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r>
      <w:tr w:rsidR="00722A47" w:rsidRPr="00722A47" w14:paraId="2E785B53" w14:textId="77777777" w:rsidTr="004954C9">
        <w:trPr>
          <w:trHeight w:val="20"/>
        </w:trPr>
        <w:tc>
          <w:tcPr>
            <w:tcW w:w="4762" w:type="dxa"/>
            <w:gridSpan w:val="2"/>
            <w:vMerge/>
            <w:shd w:val="clear" w:color="auto" w:fill="auto"/>
            <w:noWrap/>
            <w:vAlign w:val="center"/>
          </w:tcPr>
          <w:p w14:paraId="304EF46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val="restart"/>
            <w:shd w:val="clear" w:color="auto" w:fill="auto"/>
            <w:noWrap/>
            <w:vAlign w:val="bottom"/>
          </w:tcPr>
          <w:p w14:paraId="6003BCA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val="restart"/>
            <w:shd w:val="clear" w:color="auto" w:fill="auto"/>
            <w:noWrap/>
            <w:vAlign w:val="center"/>
          </w:tcPr>
          <w:p w14:paraId="0A6968A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1205" w:type="dxa"/>
            <w:vMerge w:val="restart"/>
            <w:shd w:val="clear" w:color="auto" w:fill="auto"/>
            <w:noWrap/>
            <w:vAlign w:val="center"/>
          </w:tcPr>
          <w:p w14:paraId="08E1810E" w14:textId="4645B91B"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4E209F25" w14:textId="7BDB0D75"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54863CF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1286" w:type="dxa"/>
            <w:gridSpan w:val="2"/>
            <w:shd w:val="clear" w:color="auto" w:fill="auto"/>
            <w:noWrap/>
            <w:vAlign w:val="center"/>
          </w:tcPr>
          <w:p w14:paraId="3CDD802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A</w:t>
            </w:r>
          </w:p>
        </w:tc>
        <w:tc>
          <w:tcPr>
            <w:tcW w:w="1189" w:type="dxa"/>
            <w:gridSpan w:val="2"/>
            <w:shd w:val="clear" w:color="auto" w:fill="auto"/>
            <w:noWrap/>
            <w:vAlign w:val="center"/>
          </w:tcPr>
          <w:p w14:paraId="18897F3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B</w:t>
            </w:r>
          </w:p>
        </w:tc>
        <w:tc>
          <w:tcPr>
            <w:tcW w:w="1232" w:type="dxa"/>
            <w:gridSpan w:val="2"/>
            <w:shd w:val="clear" w:color="auto" w:fill="auto"/>
            <w:noWrap/>
            <w:vAlign w:val="center"/>
          </w:tcPr>
          <w:p w14:paraId="6DE2BCF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Wasservor-</w:t>
            </w:r>
          </w:p>
        </w:tc>
      </w:tr>
      <w:tr w:rsidR="00722A47" w:rsidRPr="00722A47" w14:paraId="2F16A74C" w14:textId="77777777" w:rsidTr="004954C9">
        <w:trPr>
          <w:trHeight w:val="80"/>
        </w:trPr>
        <w:tc>
          <w:tcPr>
            <w:tcW w:w="4762" w:type="dxa"/>
            <w:gridSpan w:val="2"/>
            <w:vMerge/>
            <w:shd w:val="clear" w:color="auto" w:fill="auto"/>
            <w:noWrap/>
            <w:vAlign w:val="center"/>
          </w:tcPr>
          <w:p w14:paraId="5A5441E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6D7181C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368C8BF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48E2EA2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86" w:type="dxa"/>
            <w:gridSpan w:val="2"/>
            <w:shd w:val="clear" w:color="auto" w:fill="auto"/>
            <w:noWrap/>
            <w:vAlign w:val="center"/>
          </w:tcPr>
          <w:p w14:paraId="443EEA4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III</w:t>
            </w:r>
          </w:p>
        </w:tc>
        <w:tc>
          <w:tcPr>
            <w:tcW w:w="1189" w:type="dxa"/>
            <w:gridSpan w:val="2"/>
            <w:shd w:val="clear" w:color="auto" w:fill="auto"/>
            <w:noWrap/>
            <w:vAlign w:val="center"/>
          </w:tcPr>
          <w:p w14:paraId="3CAECAD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IV</w:t>
            </w:r>
          </w:p>
        </w:tc>
        <w:tc>
          <w:tcPr>
            <w:tcW w:w="1232" w:type="dxa"/>
            <w:gridSpan w:val="2"/>
            <w:shd w:val="clear" w:color="auto" w:fill="auto"/>
            <w:noWrap/>
            <w:vAlign w:val="center"/>
          </w:tcPr>
          <w:p w14:paraId="18A939A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ranggebiete</w:t>
            </w:r>
          </w:p>
        </w:tc>
      </w:tr>
      <w:tr w:rsidR="00722A47" w:rsidRPr="00722A47" w14:paraId="4CEBAD52" w14:textId="77777777" w:rsidTr="004954C9">
        <w:trPr>
          <w:trHeight w:val="80"/>
        </w:trPr>
        <w:tc>
          <w:tcPr>
            <w:tcW w:w="4762" w:type="dxa"/>
            <w:gridSpan w:val="2"/>
            <w:vMerge/>
            <w:shd w:val="clear" w:color="auto" w:fill="auto"/>
            <w:noWrap/>
            <w:vAlign w:val="center"/>
          </w:tcPr>
          <w:p w14:paraId="131CD55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5431566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03CD7C0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7D1CBA2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07" w:type="dxa"/>
            <w:shd w:val="clear" w:color="auto" w:fill="auto"/>
            <w:noWrap/>
            <w:vAlign w:val="center"/>
          </w:tcPr>
          <w:p w14:paraId="521DD27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79" w:type="dxa"/>
            <w:shd w:val="clear" w:color="auto" w:fill="auto"/>
            <w:vAlign w:val="center"/>
          </w:tcPr>
          <w:p w14:paraId="5D20F653" w14:textId="1DA03ABE"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5496C417" w14:textId="26FA3A9B"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36ED7C7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08" w:type="dxa"/>
            <w:shd w:val="clear" w:color="auto" w:fill="auto"/>
            <w:noWrap/>
            <w:vAlign w:val="center"/>
          </w:tcPr>
          <w:p w14:paraId="4FCC164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63806F99" w14:textId="68A70CE5"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51462270" w14:textId="6BA69D0F"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0AA4051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51" w:type="dxa"/>
            <w:shd w:val="clear" w:color="auto" w:fill="auto"/>
            <w:noWrap/>
            <w:vAlign w:val="center"/>
          </w:tcPr>
          <w:p w14:paraId="516349F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6919A567" w14:textId="71E4298E"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17EB595B" w14:textId="591B1602"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3ACFB1F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r>
      <w:tr w:rsidR="00722A47" w:rsidRPr="00722A47" w14:paraId="45D81F75" w14:textId="77777777" w:rsidTr="004954C9">
        <w:trPr>
          <w:trHeight w:val="111"/>
        </w:trPr>
        <w:tc>
          <w:tcPr>
            <w:tcW w:w="4762" w:type="dxa"/>
            <w:gridSpan w:val="2"/>
            <w:vMerge/>
            <w:shd w:val="clear" w:color="auto" w:fill="auto"/>
            <w:noWrap/>
            <w:vAlign w:val="center"/>
          </w:tcPr>
          <w:p w14:paraId="0864F30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23CC8EB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1</w:t>
            </w:r>
          </w:p>
        </w:tc>
        <w:tc>
          <w:tcPr>
            <w:tcW w:w="675" w:type="dxa"/>
            <w:shd w:val="clear" w:color="auto" w:fill="auto"/>
            <w:noWrap/>
            <w:vAlign w:val="center"/>
          </w:tcPr>
          <w:p w14:paraId="798BD24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2</w:t>
            </w:r>
          </w:p>
        </w:tc>
        <w:tc>
          <w:tcPr>
            <w:tcW w:w="1205" w:type="dxa"/>
            <w:shd w:val="clear" w:color="auto" w:fill="auto"/>
            <w:noWrap/>
            <w:vAlign w:val="center"/>
          </w:tcPr>
          <w:p w14:paraId="040ED8C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3</w:t>
            </w:r>
          </w:p>
        </w:tc>
        <w:tc>
          <w:tcPr>
            <w:tcW w:w="1286" w:type="dxa"/>
            <w:gridSpan w:val="2"/>
            <w:shd w:val="clear" w:color="auto" w:fill="auto"/>
            <w:noWrap/>
            <w:vAlign w:val="center"/>
          </w:tcPr>
          <w:p w14:paraId="489FA5E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4</w:t>
            </w:r>
          </w:p>
        </w:tc>
        <w:tc>
          <w:tcPr>
            <w:tcW w:w="1189" w:type="dxa"/>
            <w:gridSpan w:val="2"/>
            <w:shd w:val="clear" w:color="auto" w:fill="auto"/>
            <w:noWrap/>
            <w:vAlign w:val="center"/>
          </w:tcPr>
          <w:p w14:paraId="2FAC9E0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5</w:t>
            </w:r>
          </w:p>
        </w:tc>
        <w:tc>
          <w:tcPr>
            <w:tcW w:w="1232" w:type="dxa"/>
            <w:gridSpan w:val="2"/>
            <w:shd w:val="clear" w:color="auto" w:fill="auto"/>
            <w:noWrap/>
            <w:vAlign w:val="center"/>
          </w:tcPr>
          <w:p w14:paraId="0C37703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6</w:t>
            </w:r>
          </w:p>
        </w:tc>
      </w:tr>
      <w:tr w:rsidR="00722A47" w:rsidRPr="00722A47" w14:paraId="465634A4" w14:textId="77777777" w:rsidTr="004954C9">
        <w:trPr>
          <w:trHeight w:val="20"/>
        </w:trPr>
        <w:tc>
          <w:tcPr>
            <w:tcW w:w="478" w:type="dxa"/>
            <w:noWrap/>
          </w:tcPr>
          <w:p w14:paraId="0F3B978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w:t>
            </w:r>
          </w:p>
        </w:tc>
        <w:tc>
          <w:tcPr>
            <w:tcW w:w="4284" w:type="dxa"/>
          </w:tcPr>
          <w:p w14:paraId="7C320A6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Schotteroberbau der Bahnbauweise Standard Damm </w:t>
            </w:r>
          </w:p>
        </w:tc>
        <w:tc>
          <w:tcPr>
            <w:tcW w:w="865" w:type="dxa"/>
            <w:noWrap/>
            <w:vAlign w:val="center"/>
          </w:tcPr>
          <w:p w14:paraId="26C73B1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432911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2F4C78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6396FA9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217E1A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937732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F4918E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724C195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6C7457B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6F17589" w14:textId="77777777" w:rsidTr="004954C9">
        <w:trPr>
          <w:trHeight w:val="20"/>
        </w:trPr>
        <w:tc>
          <w:tcPr>
            <w:tcW w:w="478" w:type="dxa"/>
            <w:noWrap/>
          </w:tcPr>
          <w:p w14:paraId="742E48B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w:t>
            </w:r>
          </w:p>
        </w:tc>
        <w:tc>
          <w:tcPr>
            <w:tcW w:w="4284" w:type="dxa"/>
          </w:tcPr>
          <w:p w14:paraId="2EA8D68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Standard Einschnitt</w:t>
            </w:r>
          </w:p>
        </w:tc>
        <w:tc>
          <w:tcPr>
            <w:tcW w:w="865" w:type="dxa"/>
            <w:noWrap/>
            <w:vAlign w:val="center"/>
          </w:tcPr>
          <w:p w14:paraId="1E3B7DB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B52D2E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372110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2A04386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7EF4686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15574D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466EF0C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291707D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3956FD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23E788A" w14:textId="77777777" w:rsidTr="004954C9">
        <w:trPr>
          <w:trHeight w:val="20"/>
        </w:trPr>
        <w:tc>
          <w:tcPr>
            <w:tcW w:w="478" w:type="dxa"/>
            <w:noWrap/>
          </w:tcPr>
          <w:p w14:paraId="3836D32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B3</w:t>
            </w:r>
          </w:p>
        </w:tc>
        <w:tc>
          <w:tcPr>
            <w:tcW w:w="4284" w:type="dxa"/>
          </w:tcPr>
          <w:p w14:paraId="2A5026F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w:t>
            </w:r>
          </w:p>
        </w:tc>
        <w:tc>
          <w:tcPr>
            <w:tcW w:w="865" w:type="dxa"/>
            <w:noWrap/>
            <w:vAlign w:val="center"/>
          </w:tcPr>
          <w:p w14:paraId="5FF46FE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F74FEE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662C60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165478B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1A749A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49C1C20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93DFE2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4A4D10E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098EB18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108C347A" w14:textId="77777777" w:rsidTr="004954C9">
        <w:trPr>
          <w:trHeight w:val="20"/>
        </w:trPr>
        <w:tc>
          <w:tcPr>
            <w:tcW w:w="478" w:type="dxa"/>
            <w:noWrap/>
          </w:tcPr>
          <w:p w14:paraId="71A32BC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B4</w:t>
            </w:r>
          </w:p>
        </w:tc>
        <w:tc>
          <w:tcPr>
            <w:tcW w:w="4284" w:type="dxa"/>
          </w:tcPr>
          <w:p w14:paraId="1BD490B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 modifiziert</w:t>
            </w:r>
          </w:p>
        </w:tc>
        <w:tc>
          <w:tcPr>
            <w:tcW w:w="865" w:type="dxa"/>
            <w:noWrap/>
            <w:vAlign w:val="center"/>
          </w:tcPr>
          <w:p w14:paraId="44BFD71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EABE38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343844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0036B5B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DE70FF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345C5DA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5682DA7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7503E38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13D1CF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1623435B" w14:textId="77777777" w:rsidTr="004954C9">
        <w:trPr>
          <w:trHeight w:val="20"/>
        </w:trPr>
        <w:tc>
          <w:tcPr>
            <w:tcW w:w="478" w:type="dxa"/>
            <w:noWrap/>
          </w:tcPr>
          <w:p w14:paraId="6DC5E78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B5</w:t>
            </w:r>
          </w:p>
        </w:tc>
        <w:tc>
          <w:tcPr>
            <w:tcW w:w="4284" w:type="dxa"/>
          </w:tcPr>
          <w:p w14:paraId="5C4F797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6FF37AD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Bahnbauweise Standard Damm </w:t>
            </w:r>
          </w:p>
        </w:tc>
        <w:tc>
          <w:tcPr>
            <w:tcW w:w="865" w:type="dxa"/>
            <w:noWrap/>
            <w:vAlign w:val="center"/>
          </w:tcPr>
          <w:p w14:paraId="6ABD1F5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7468292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AFF306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0AF1CA9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shd w:val="clear" w:color="auto" w:fill="FFFFFF"/>
            <w:vAlign w:val="center"/>
          </w:tcPr>
          <w:p w14:paraId="78F612D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33EACD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FFFFFF"/>
            <w:vAlign w:val="center"/>
          </w:tcPr>
          <w:p w14:paraId="66794DA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56A4FD8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29FC3B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0DAAD1B8" w14:textId="77777777" w:rsidTr="004954C9">
        <w:trPr>
          <w:trHeight w:val="20"/>
        </w:trPr>
        <w:tc>
          <w:tcPr>
            <w:tcW w:w="478" w:type="dxa"/>
            <w:noWrap/>
          </w:tcPr>
          <w:p w14:paraId="61DBBCA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B6</w:t>
            </w:r>
          </w:p>
        </w:tc>
        <w:tc>
          <w:tcPr>
            <w:tcW w:w="4284" w:type="dxa"/>
          </w:tcPr>
          <w:p w14:paraId="45E1D85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0434805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Standard Einschnitt</w:t>
            </w:r>
          </w:p>
        </w:tc>
        <w:tc>
          <w:tcPr>
            <w:tcW w:w="865" w:type="dxa"/>
            <w:noWrap/>
            <w:vAlign w:val="center"/>
          </w:tcPr>
          <w:p w14:paraId="6D2CF03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70090B1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5FB040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29D5C9C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shd w:val="clear" w:color="auto" w:fill="FFFFFF"/>
            <w:vAlign w:val="center"/>
          </w:tcPr>
          <w:p w14:paraId="09AA6CE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A1F8CD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FFFFFF"/>
            <w:vAlign w:val="center"/>
          </w:tcPr>
          <w:p w14:paraId="576AE82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3B59D88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00D5304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2D2A872B" w14:textId="77777777" w:rsidTr="004954C9">
        <w:trPr>
          <w:trHeight w:val="20"/>
        </w:trPr>
        <w:tc>
          <w:tcPr>
            <w:tcW w:w="478" w:type="dxa"/>
            <w:noWrap/>
          </w:tcPr>
          <w:p w14:paraId="6D3C27D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B7</w:t>
            </w:r>
          </w:p>
        </w:tc>
        <w:tc>
          <w:tcPr>
            <w:tcW w:w="4284" w:type="dxa"/>
          </w:tcPr>
          <w:p w14:paraId="37D1E1C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09CE554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4BA92B3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33EB312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0C94EA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25DC34D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shd w:val="clear" w:color="auto" w:fill="FFFFFF"/>
            <w:vAlign w:val="center"/>
          </w:tcPr>
          <w:p w14:paraId="0BE2F3F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CB633D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FFFFFF"/>
            <w:vAlign w:val="center"/>
          </w:tcPr>
          <w:p w14:paraId="14F02C5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5CE16F3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4F73EBD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3554D70D" w14:textId="77777777" w:rsidTr="004954C9">
        <w:trPr>
          <w:trHeight w:val="20"/>
        </w:trPr>
        <w:tc>
          <w:tcPr>
            <w:tcW w:w="478" w:type="dxa"/>
            <w:noWrap/>
          </w:tcPr>
          <w:p w14:paraId="5390591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B8</w:t>
            </w:r>
          </w:p>
        </w:tc>
        <w:tc>
          <w:tcPr>
            <w:tcW w:w="4284" w:type="dxa"/>
          </w:tcPr>
          <w:p w14:paraId="63B65A0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65A807B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7A3C130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6DB1D0F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9A9CE1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62555EF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shd w:val="clear" w:color="auto" w:fill="FFFFFF"/>
            <w:vAlign w:val="center"/>
          </w:tcPr>
          <w:p w14:paraId="002A070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75D29D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FFFFFF"/>
            <w:vAlign w:val="center"/>
          </w:tcPr>
          <w:p w14:paraId="7C1B8FD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486B5A0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59693CF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03C0FDA0" w14:textId="77777777" w:rsidTr="004954C9">
        <w:trPr>
          <w:trHeight w:val="20"/>
        </w:trPr>
        <w:tc>
          <w:tcPr>
            <w:tcW w:w="478" w:type="dxa"/>
            <w:noWrap/>
          </w:tcPr>
          <w:p w14:paraId="12CAE93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B9</w:t>
            </w:r>
          </w:p>
        </w:tc>
        <w:tc>
          <w:tcPr>
            <w:tcW w:w="4284" w:type="dxa"/>
          </w:tcPr>
          <w:p w14:paraId="0D618E2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7296C68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1D4B25E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66F8CD8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1F194F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5BEDFC7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shd w:val="clear" w:color="auto" w:fill="FFFFFF"/>
            <w:vAlign w:val="center"/>
          </w:tcPr>
          <w:p w14:paraId="53FC190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958342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FFFFFF"/>
            <w:vAlign w:val="center"/>
          </w:tcPr>
          <w:p w14:paraId="17D5682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71096B8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16FA95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2E6E2F83" w14:textId="77777777" w:rsidTr="004954C9">
        <w:trPr>
          <w:trHeight w:val="20"/>
        </w:trPr>
        <w:tc>
          <w:tcPr>
            <w:tcW w:w="478" w:type="dxa"/>
            <w:noWrap/>
          </w:tcPr>
          <w:p w14:paraId="1DCE966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B10</w:t>
            </w:r>
          </w:p>
        </w:tc>
        <w:tc>
          <w:tcPr>
            <w:tcW w:w="4284" w:type="dxa"/>
          </w:tcPr>
          <w:p w14:paraId="196BC40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564B401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1FE78C0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10F2B25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9AFB0D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74209CD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shd w:val="clear" w:color="auto" w:fill="FFFFFF"/>
            <w:vAlign w:val="center"/>
          </w:tcPr>
          <w:p w14:paraId="222D074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347CB9F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FFFFFF"/>
            <w:vAlign w:val="center"/>
          </w:tcPr>
          <w:p w14:paraId="2FF6C85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296F9CE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39E201D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5C977D8" w14:textId="77777777" w:rsidTr="004954C9">
        <w:trPr>
          <w:trHeight w:val="20"/>
        </w:trPr>
        <w:tc>
          <w:tcPr>
            <w:tcW w:w="478" w:type="dxa"/>
            <w:noWrap/>
          </w:tcPr>
          <w:p w14:paraId="54217F3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B11</w:t>
            </w:r>
          </w:p>
        </w:tc>
        <w:tc>
          <w:tcPr>
            <w:tcW w:w="4284" w:type="dxa"/>
          </w:tcPr>
          <w:p w14:paraId="241A5DE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Spezielle Bodenschicht der Bahnbauweise H</w:t>
            </w:r>
          </w:p>
        </w:tc>
        <w:tc>
          <w:tcPr>
            <w:tcW w:w="865" w:type="dxa"/>
            <w:noWrap/>
            <w:vAlign w:val="center"/>
          </w:tcPr>
          <w:p w14:paraId="22909F7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1415A9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33D109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38B28AD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FFFFFF"/>
            <w:vAlign w:val="center"/>
          </w:tcPr>
          <w:p w14:paraId="3484F1A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FFFFFF"/>
            <w:noWrap/>
            <w:vAlign w:val="center"/>
          </w:tcPr>
          <w:p w14:paraId="6B36AF0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2BE5EEA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2F010BE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56318BB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944B742" w14:textId="77777777" w:rsidTr="004954C9">
        <w:trPr>
          <w:trHeight w:val="20"/>
        </w:trPr>
        <w:tc>
          <w:tcPr>
            <w:tcW w:w="478" w:type="dxa"/>
            <w:noWrap/>
          </w:tcPr>
          <w:p w14:paraId="5D07722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B12</w:t>
            </w:r>
          </w:p>
        </w:tc>
        <w:tc>
          <w:tcPr>
            <w:tcW w:w="4284" w:type="dxa"/>
          </w:tcPr>
          <w:p w14:paraId="01B4515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7DA0348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Standard Damm </w:t>
            </w:r>
          </w:p>
        </w:tc>
        <w:tc>
          <w:tcPr>
            <w:tcW w:w="865" w:type="dxa"/>
            <w:noWrap/>
            <w:vAlign w:val="center"/>
          </w:tcPr>
          <w:p w14:paraId="060C811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28C1B3A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A1645D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3382351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shd w:val="clear" w:color="auto" w:fill="FFFFFF"/>
            <w:vAlign w:val="center"/>
          </w:tcPr>
          <w:p w14:paraId="253B104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5ECC06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FFFFFF"/>
            <w:vAlign w:val="center"/>
          </w:tcPr>
          <w:p w14:paraId="469ECB6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54EDCB9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41A7466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5BFB8DB5" w14:textId="77777777" w:rsidTr="004954C9">
        <w:trPr>
          <w:trHeight w:val="20"/>
        </w:trPr>
        <w:tc>
          <w:tcPr>
            <w:tcW w:w="478" w:type="dxa"/>
            <w:noWrap/>
          </w:tcPr>
          <w:p w14:paraId="6C3730A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B13</w:t>
            </w:r>
          </w:p>
        </w:tc>
        <w:tc>
          <w:tcPr>
            <w:tcW w:w="4284" w:type="dxa"/>
          </w:tcPr>
          <w:p w14:paraId="1C5229B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17165FF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Standard Einschnitt</w:t>
            </w:r>
          </w:p>
        </w:tc>
        <w:tc>
          <w:tcPr>
            <w:tcW w:w="865" w:type="dxa"/>
            <w:noWrap/>
            <w:vAlign w:val="center"/>
          </w:tcPr>
          <w:p w14:paraId="506C597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67B07EF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904DDE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4AC16B3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shd w:val="clear" w:color="auto" w:fill="FFFFFF"/>
            <w:vAlign w:val="center"/>
          </w:tcPr>
          <w:p w14:paraId="7939F7E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3FE89FE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FFFFFF"/>
            <w:vAlign w:val="center"/>
          </w:tcPr>
          <w:p w14:paraId="5A4C31B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381C4BE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309840D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12501A7C" w14:textId="77777777" w:rsidTr="004954C9">
        <w:trPr>
          <w:trHeight w:val="20"/>
        </w:trPr>
        <w:tc>
          <w:tcPr>
            <w:tcW w:w="478" w:type="dxa"/>
            <w:noWrap/>
          </w:tcPr>
          <w:p w14:paraId="5C78354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B14</w:t>
            </w:r>
          </w:p>
        </w:tc>
        <w:tc>
          <w:tcPr>
            <w:tcW w:w="4284" w:type="dxa"/>
          </w:tcPr>
          <w:p w14:paraId="0AA13E3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H</w:t>
            </w:r>
          </w:p>
        </w:tc>
        <w:tc>
          <w:tcPr>
            <w:tcW w:w="865" w:type="dxa"/>
            <w:noWrap/>
            <w:vAlign w:val="center"/>
          </w:tcPr>
          <w:p w14:paraId="66DD624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56103FD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86F0E1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677BD45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shd w:val="clear" w:color="auto" w:fill="FFFFFF"/>
            <w:vAlign w:val="center"/>
          </w:tcPr>
          <w:p w14:paraId="148E7EA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399D8D1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FFFFFF"/>
            <w:vAlign w:val="center"/>
          </w:tcPr>
          <w:p w14:paraId="6C3B26B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344A0A0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76ED78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3BB877E6" w14:textId="77777777" w:rsidTr="004954C9">
        <w:trPr>
          <w:trHeight w:val="20"/>
        </w:trPr>
        <w:tc>
          <w:tcPr>
            <w:tcW w:w="478" w:type="dxa"/>
            <w:noWrap/>
          </w:tcPr>
          <w:p w14:paraId="2614CDD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B15</w:t>
            </w:r>
          </w:p>
        </w:tc>
        <w:tc>
          <w:tcPr>
            <w:tcW w:w="4284" w:type="dxa"/>
          </w:tcPr>
          <w:p w14:paraId="072A16F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74C0A5D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H modifiziert</w:t>
            </w:r>
          </w:p>
        </w:tc>
        <w:tc>
          <w:tcPr>
            <w:tcW w:w="865" w:type="dxa"/>
            <w:noWrap/>
            <w:vAlign w:val="center"/>
          </w:tcPr>
          <w:p w14:paraId="1DA8648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75" w:type="dxa"/>
            <w:noWrap/>
            <w:vAlign w:val="center"/>
          </w:tcPr>
          <w:p w14:paraId="60258D7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BB038A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527A9AF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79" w:type="dxa"/>
            <w:shd w:val="clear" w:color="auto" w:fill="FFFFFF"/>
            <w:vAlign w:val="center"/>
          </w:tcPr>
          <w:p w14:paraId="4497BAF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BEC694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81" w:type="dxa"/>
            <w:shd w:val="clear" w:color="auto" w:fill="FFFFFF"/>
            <w:vAlign w:val="center"/>
          </w:tcPr>
          <w:p w14:paraId="078F909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29AA31B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0141286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CC049F8" w14:textId="77777777" w:rsidTr="004954C9">
        <w:trPr>
          <w:trHeight w:val="20"/>
        </w:trPr>
        <w:tc>
          <w:tcPr>
            <w:tcW w:w="478" w:type="dxa"/>
            <w:noWrap/>
          </w:tcPr>
          <w:p w14:paraId="2EDC830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B16</w:t>
            </w:r>
          </w:p>
        </w:tc>
        <w:tc>
          <w:tcPr>
            <w:tcW w:w="4284" w:type="dxa"/>
          </w:tcPr>
          <w:p w14:paraId="5C9B8BF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w:t>
            </w:r>
          </w:p>
        </w:tc>
        <w:tc>
          <w:tcPr>
            <w:tcW w:w="865" w:type="dxa"/>
            <w:noWrap/>
            <w:vAlign w:val="center"/>
          </w:tcPr>
          <w:p w14:paraId="5656710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75" w:type="dxa"/>
            <w:noWrap/>
            <w:vAlign w:val="center"/>
          </w:tcPr>
          <w:p w14:paraId="4D3C017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212560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647C26A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79" w:type="dxa"/>
            <w:shd w:val="clear" w:color="auto" w:fill="FFFFFF"/>
            <w:vAlign w:val="center"/>
          </w:tcPr>
          <w:p w14:paraId="09E3F77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99A44F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81" w:type="dxa"/>
            <w:shd w:val="clear" w:color="auto" w:fill="FFFFFF"/>
            <w:vAlign w:val="center"/>
          </w:tcPr>
          <w:p w14:paraId="7E536C7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617459A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479F7E6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2CB0AE8F" w14:textId="77777777" w:rsidTr="004954C9">
        <w:trPr>
          <w:trHeight w:val="20"/>
        </w:trPr>
        <w:tc>
          <w:tcPr>
            <w:tcW w:w="478" w:type="dxa"/>
            <w:noWrap/>
          </w:tcPr>
          <w:p w14:paraId="07E29D2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B17</w:t>
            </w:r>
          </w:p>
        </w:tc>
        <w:tc>
          <w:tcPr>
            <w:tcW w:w="4284" w:type="dxa"/>
          </w:tcPr>
          <w:p w14:paraId="1BB4279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w:t>
            </w:r>
          </w:p>
        </w:tc>
        <w:tc>
          <w:tcPr>
            <w:tcW w:w="865" w:type="dxa"/>
            <w:noWrap/>
            <w:vAlign w:val="center"/>
          </w:tcPr>
          <w:p w14:paraId="695F320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040E370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061687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23F0CF0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shd w:val="clear" w:color="auto" w:fill="FFFFFF"/>
            <w:vAlign w:val="center"/>
          </w:tcPr>
          <w:p w14:paraId="6842414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0CF8B4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FFFFFF"/>
            <w:vAlign w:val="center"/>
          </w:tcPr>
          <w:p w14:paraId="451DE82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275FC1B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F98318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08F2BC03" w14:textId="77777777" w:rsidTr="004954C9">
        <w:trPr>
          <w:trHeight w:val="20"/>
        </w:trPr>
        <w:tc>
          <w:tcPr>
            <w:tcW w:w="478" w:type="dxa"/>
            <w:noWrap/>
          </w:tcPr>
          <w:p w14:paraId="1125655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B18</w:t>
            </w:r>
          </w:p>
        </w:tc>
        <w:tc>
          <w:tcPr>
            <w:tcW w:w="4284" w:type="dxa"/>
          </w:tcPr>
          <w:p w14:paraId="62AE6A3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 mit Randwegabdichtung oberhalb der FSS</w:t>
            </w:r>
          </w:p>
        </w:tc>
        <w:tc>
          <w:tcPr>
            <w:tcW w:w="865" w:type="dxa"/>
            <w:noWrap/>
            <w:vAlign w:val="center"/>
          </w:tcPr>
          <w:p w14:paraId="582D9A1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87E5E7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2FA045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5C848D8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FFFFFF"/>
            <w:vAlign w:val="center"/>
          </w:tcPr>
          <w:p w14:paraId="6435BE9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FFFFFF"/>
            <w:noWrap/>
            <w:vAlign w:val="center"/>
          </w:tcPr>
          <w:p w14:paraId="7CDEA00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03AEAE6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5F644D6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25FA288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58F0614B" w14:textId="77777777" w:rsidTr="004954C9">
        <w:trPr>
          <w:trHeight w:val="20"/>
        </w:trPr>
        <w:tc>
          <w:tcPr>
            <w:tcW w:w="478" w:type="dxa"/>
            <w:noWrap/>
          </w:tcPr>
          <w:p w14:paraId="63236C3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B19</w:t>
            </w:r>
          </w:p>
        </w:tc>
        <w:tc>
          <w:tcPr>
            <w:tcW w:w="4284" w:type="dxa"/>
          </w:tcPr>
          <w:p w14:paraId="60FAA15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 mit Randwegabdichtung</w:t>
            </w:r>
          </w:p>
        </w:tc>
        <w:tc>
          <w:tcPr>
            <w:tcW w:w="865" w:type="dxa"/>
            <w:noWrap/>
            <w:vAlign w:val="center"/>
          </w:tcPr>
          <w:p w14:paraId="0A0C650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75" w:type="dxa"/>
            <w:noWrap/>
            <w:vAlign w:val="center"/>
          </w:tcPr>
          <w:p w14:paraId="188C1F3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295ABB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52E94A3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79" w:type="dxa"/>
            <w:shd w:val="clear" w:color="auto" w:fill="FFFFFF"/>
            <w:vAlign w:val="center"/>
          </w:tcPr>
          <w:p w14:paraId="5AD03B4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17EE7D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81" w:type="dxa"/>
            <w:shd w:val="clear" w:color="auto" w:fill="FFFFFF"/>
            <w:vAlign w:val="center"/>
          </w:tcPr>
          <w:p w14:paraId="7C90DCC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5C73791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54F8696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3DFFD18B" w14:textId="77777777" w:rsidTr="004954C9">
        <w:trPr>
          <w:trHeight w:val="20"/>
        </w:trPr>
        <w:tc>
          <w:tcPr>
            <w:tcW w:w="478" w:type="dxa"/>
            <w:noWrap/>
          </w:tcPr>
          <w:p w14:paraId="18D1620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B20</w:t>
            </w:r>
          </w:p>
        </w:tc>
        <w:tc>
          <w:tcPr>
            <w:tcW w:w="4284" w:type="dxa"/>
          </w:tcPr>
          <w:p w14:paraId="33AA499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unterhalb </w:t>
            </w: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bzw. PSS der Bahnbauweise E 1</w:t>
            </w:r>
          </w:p>
        </w:tc>
        <w:tc>
          <w:tcPr>
            <w:tcW w:w="865" w:type="dxa"/>
            <w:noWrap/>
            <w:vAlign w:val="center"/>
          </w:tcPr>
          <w:p w14:paraId="26D6BFD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178955B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AAB494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682791F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shd w:val="clear" w:color="auto" w:fill="FFFFFF"/>
            <w:vAlign w:val="center"/>
          </w:tcPr>
          <w:p w14:paraId="5117BB1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67280E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FFFFFF"/>
            <w:vAlign w:val="center"/>
          </w:tcPr>
          <w:p w14:paraId="41C82CA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376603D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5FAE550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35594646" w14:textId="77777777" w:rsidTr="004954C9">
        <w:trPr>
          <w:trHeight w:val="20"/>
        </w:trPr>
        <w:tc>
          <w:tcPr>
            <w:tcW w:w="478" w:type="dxa"/>
            <w:noWrap/>
          </w:tcPr>
          <w:p w14:paraId="1A16949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B21</w:t>
            </w:r>
          </w:p>
        </w:tc>
        <w:tc>
          <w:tcPr>
            <w:tcW w:w="4284" w:type="dxa"/>
          </w:tcPr>
          <w:p w14:paraId="6F4F4F8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1 mit Dichtungselement auf dem Planum</w:t>
            </w:r>
          </w:p>
        </w:tc>
        <w:tc>
          <w:tcPr>
            <w:tcW w:w="865" w:type="dxa"/>
            <w:noWrap/>
            <w:vAlign w:val="center"/>
          </w:tcPr>
          <w:p w14:paraId="50ABC73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907421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67FE29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0323CFF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FFFFFF"/>
            <w:vAlign w:val="center"/>
          </w:tcPr>
          <w:p w14:paraId="0FECD5F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FFFFFF"/>
            <w:noWrap/>
            <w:vAlign w:val="center"/>
          </w:tcPr>
          <w:p w14:paraId="0BD881C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0BF6959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0DD6935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7BDF01E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0883B50" w14:textId="77777777" w:rsidTr="004954C9">
        <w:trPr>
          <w:trHeight w:val="20"/>
        </w:trPr>
        <w:tc>
          <w:tcPr>
            <w:tcW w:w="478" w:type="dxa"/>
            <w:noWrap/>
          </w:tcPr>
          <w:p w14:paraId="3CE9C45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B22</w:t>
            </w:r>
          </w:p>
        </w:tc>
        <w:tc>
          <w:tcPr>
            <w:tcW w:w="4284" w:type="dxa"/>
          </w:tcPr>
          <w:p w14:paraId="6F1F3B4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Tragschicht als witterungsunempfindliches Dichtungselement der Bahnbauweise E 2</w:t>
            </w:r>
          </w:p>
        </w:tc>
        <w:tc>
          <w:tcPr>
            <w:tcW w:w="865" w:type="dxa"/>
            <w:noWrap/>
            <w:vAlign w:val="center"/>
          </w:tcPr>
          <w:p w14:paraId="1C326A5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75" w:type="dxa"/>
            <w:noWrap/>
            <w:vAlign w:val="center"/>
          </w:tcPr>
          <w:p w14:paraId="55273B9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D25E67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120788E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79" w:type="dxa"/>
            <w:shd w:val="clear" w:color="auto" w:fill="FFFFFF"/>
            <w:vAlign w:val="center"/>
          </w:tcPr>
          <w:p w14:paraId="461BAA5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E62635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81" w:type="dxa"/>
            <w:shd w:val="clear" w:color="auto" w:fill="FFFFFF"/>
            <w:vAlign w:val="center"/>
          </w:tcPr>
          <w:p w14:paraId="0F8A8A2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50E2C9D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276533F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3D5098A0" w14:textId="77777777" w:rsidTr="004954C9">
        <w:trPr>
          <w:trHeight w:val="20"/>
        </w:trPr>
        <w:tc>
          <w:tcPr>
            <w:tcW w:w="478" w:type="dxa"/>
            <w:noWrap/>
          </w:tcPr>
          <w:p w14:paraId="3558541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B23</w:t>
            </w:r>
          </w:p>
        </w:tc>
        <w:tc>
          <w:tcPr>
            <w:tcW w:w="4284" w:type="dxa"/>
          </w:tcPr>
          <w:p w14:paraId="189DC82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2</w:t>
            </w:r>
          </w:p>
        </w:tc>
        <w:tc>
          <w:tcPr>
            <w:tcW w:w="865" w:type="dxa"/>
            <w:noWrap/>
            <w:vAlign w:val="center"/>
          </w:tcPr>
          <w:p w14:paraId="7814279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383F476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EA4521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30EE950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shd w:val="clear" w:color="auto" w:fill="FFFFFF"/>
            <w:vAlign w:val="center"/>
          </w:tcPr>
          <w:p w14:paraId="4BD8D2E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81F2D0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FFFFFF"/>
            <w:vAlign w:val="center"/>
          </w:tcPr>
          <w:p w14:paraId="3F0F21D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4292D73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657B1E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0251EADD" w14:textId="77777777" w:rsidTr="004954C9">
        <w:trPr>
          <w:trHeight w:val="20"/>
        </w:trPr>
        <w:tc>
          <w:tcPr>
            <w:tcW w:w="478" w:type="dxa"/>
            <w:noWrap/>
          </w:tcPr>
          <w:p w14:paraId="57FC045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B24</w:t>
            </w:r>
          </w:p>
        </w:tc>
        <w:tc>
          <w:tcPr>
            <w:tcW w:w="4284" w:type="dxa"/>
          </w:tcPr>
          <w:p w14:paraId="7A3EA19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und Unterbau (Damm) der Bahnbauweise E 3a</w:t>
            </w:r>
          </w:p>
        </w:tc>
        <w:tc>
          <w:tcPr>
            <w:tcW w:w="865" w:type="dxa"/>
            <w:noWrap/>
            <w:vAlign w:val="center"/>
          </w:tcPr>
          <w:p w14:paraId="4FCA1BF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179F7AD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C37849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58E62E1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shd w:val="clear" w:color="auto" w:fill="FFFFFF"/>
            <w:vAlign w:val="center"/>
          </w:tcPr>
          <w:p w14:paraId="1183A3D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23052E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FFFFFF"/>
            <w:vAlign w:val="center"/>
          </w:tcPr>
          <w:p w14:paraId="12E8664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78A91BF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0AA1F57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6CA61073" w14:textId="77777777" w:rsidTr="004954C9">
        <w:trPr>
          <w:trHeight w:val="20"/>
        </w:trPr>
        <w:tc>
          <w:tcPr>
            <w:tcW w:w="478" w:type="dxa"/>
            <w:noWrap/>
          </w:tcPr>
          <w:p w14:paraId="1BABC89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B25</w:t>
            </w:r>
          </w:p>
        </w:tc>
        <w:tc>
          <w:tcPr>
            <w:tcW w:w="4284" w:type="dxa"/>
          </w:tcPr>
          <w:p w14:paraId="283B64C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der Bahnbauweise E 3b</w:t>
            </w:r>
          </w:p>
        </w:tc>
        <w:tc>
          <w:tcPr>
            <w:tcW w:w="865" w:type="dxa"/>
            <w:noWrap/>
            <w:vAlign w:val="center"/>
          </w:tcPr>
          <w:p w14:paraId="09963D4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63B9807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E83485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6D7B71B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shd w:val="clear" w:color="auto" w:fill="FFFFFF"/>
            <w:vAlign w:val="center"/>
          </w:tcPr>
          <w:p w14:paraId="33C6958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464503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FFFFFF"/>
            <w:vAlign w:val="center"/>
          </w:tcPr>
          <w:p w14:paraId="7766097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2086495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5AB8551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A2473B8" w14:textId="77777777" w:rsidTr="004954C9">
        <w:trPr>
          <w:trHeight w:val="208"/>
        </w:trPr>
        <w:tc>
          <w:tcPr>
            <w:tcW w:w="478" w:type="dxa"/>
            <w:noWrap/>
          </w:tcPr>
          <w:p w14:paraId="39D2009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B26</w:t>
            </w:r>
          </w:p>
        </w:tc>
        <w:tc>
          <w:tcPr>
            <w:tcW w:w="4284" w:type="dxa"/>
          </w:tcPr>
          <w:p w14:paraId="486D819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3b</w:t>
            </w:r>
          </w:p>
        </w:tc>
        <w:tc>
          <w:tcPr>
            <w:tcW w:w="865" w:type="dxa"/>
            <w:noWrap/>
            <w:vAlign w:val="center"/>
          </w:tcPr>
          <w:p w14:paraId="2C11447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2D7B5A9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04E83B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0F207DF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9" w:type="dxa"/>
            <w:shd w:val="clear" w:color="auto" w:fill="FFFFFF"/>
            <w:vAlign w:val="center"/>
          </w:tcPr>
          <w:p w14:paraId="6C8D4F4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42691B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FFFFFF"/>
            <w:vAlign w:val="center"/>
          </w:tcPr>
          <w:p w14:paraId="56B0BAF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5501C3B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3FBE147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bl>
    <w:p w14:paraId="63784D28" w14:textId="77777777" w:rsidR="00722A47" w:rsidRPr="00722A47" w:rsidRDefault="00722A47" w:rsidP="00722A47">
      <w:pPr>
        <w:spacing w:before="0" w:after="0"/>
        <w:jc w:val="left"/>
        <w:rPr>
          <w:rFonts w:ascii="Times New Roman" w:eastAsia="Times New Roman" w:hAnsi="Times New Roman" w:cs="Tahoma"/>
          <w:sz w:val="16"/>
          <w:szCs w:val="16"/>
          <w:lang w:eastAsia="de-DE"/>
        </w:rPr>
      </w:pPr>
      <w:r w:rsidRPr="00722A47">
        <w:rPr>
          <w:rFonts w:ascii="Times New Roman" w:eastAsia="Times New Roman" w:hAnsi="Times New Roman" w:cs="Tahoma"/>
          <w:sz w:val="16"/>
          <w:szCs w:val="16"/>
          <w:lang w:eastAsia="de-DE"/>
        </w:rPr>
        <w:t xml:space="preserve">1) Zulässig, wenn Chrom, ges.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25 µg/l, Kupfer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50 µg/l, Vanadium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50 µg/l und PAK</w:t>
      </w:r>
      <w:r w:rsidRPr="00722A47">
        <w:rPr>
          <w:rFonts w:ascii="Times New Roman" w:eastAsia="Times New Roman" w:hAnsi="Times New Roman" w:cs="Tahoma"/>
          <w:b/>
          <w:sz w:val="16"/>
          <w:szCs w:val="16"/>
          <w:vertAlign w:val="subscript"/>
          <w:lang w:eastAsia="de-DE"/>
        </w:rPr>
        <w:t>15</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0,5 µg/l.</w:t>
      </w:r>
    </w:p>
    <w:p w14:paraId="1934E65A" w14:textId="77777777" w:rsidR="00722A47" w:rsidRDefault="00722A47" w:rsidP="00722A47">
      <w:pPr>
        <w:spacing w:before="0" w:after="0"/>
        <w:ind w:left="170" w:hanging="170"/>
        <w:jc w:val="left"/>
        <w:rPr>
          <w:rFonts w:ascii="Times New Roman" w:eastAsia="Times New Roman" w:hAnsi="Times New Roman" w:cs="Tahoma"/>
          <w:sz w:val="16"/>
          <w:szCs w:val="16"/>
          <w:lang w:eastAsia="de-DE"/>
        </w:rPr>
      </w:pPr>
      <w:r w:rsidRPr="00722A47">
        <w:rPr>
          <w:rFonts w:ascii="Times New Roman" w:eastAsia="Times New Roman" w:hAnsi="Times New Roman" w:cs="Tahoma"/>
          <w:sz w:val="16"/>
          <w:szCs w:val="16"/>
          <w:lang w:eastAsia="de-DE"/>
        </w:rPr>
        <w:t xml:space="preserve">2) Zulässig, wenn Chrom, ges.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100 µg/l und PAK</w:t>
      </w:r>
      <w:r w:rsidRPr="00722A47">
        <w:rPr>
          <w:rFonts w:ascii="Times New Roman" w:eastAsia="Times New Roman" w:hAnsi="Times New Roman" w:cs="Tahoma"/>
          <w:b/>
          <w:sz w:val="16"/>
          <w:szCs w:val="16"/>
          <w:vertAlign w:val="subscript"/>
          <w:lang w:eastAsia="de-DE"/>
        </w:rPr>
        <w:t>15</w:t>
      </w:r>
      <w:r w:rsidRPr="00722A47">
        <w:rPr>
          <w:rFonts w:ascii="Times New Roman" w:eastAsia="Times New Roman" w:hAnsi="Times New Roman" w:cs="Tahoma"/>
          <w:sz w:val="16"/>
          <w:szCs w:val="16"/>
          <w:lang w:eastAsia="de-DE"/>
        </w:rPr>
        <w:t xml:space="preserve">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2 µg/l.</w:t>
      </w:r>
    </w:p>
    <w:p w14:paraId="4CC4E4D9" w14:textId="039C8364" w:rsidR="00722A47" w:rsidRPr="00722A47" w:rsidRDefault="00722A47" w:rsidP="00722A47">
      <w:pPr>
        <w:pStyle w:val="berschrift1"/>
      </w:pPr>
      <w:r>
        <w:rPr>
          <w:rFonts w:ascii="Times New Roman" w:eastAsia="Times New Roman" w:hAnsi="Times New Roman" w:cs="Tahoma"/>
          <w:sz w:val="16"/>
          <w:szCs w:val="16"/>
          <w:lang w:eastAsia="de-DE"/>
        </w:rPr>
        <w:br w:type="page"/>
      </w:r>
      <w:r w:rsidRPr="008D0377">
        <w:lastRenderedPageBreak/>
        <w:t>Tabelle 9: Recycling-Baustoff der Klasse 2 (RC-2)</w:t>
      </w:r>
    </w:p>
    <w:p w14:paraId="388C433B" w14:textId="77777777" w:rsidR="00722A47" w:rsidRPr="00722A47" w:rsidRDefault="00722A47" w:rsidP="00722A47">
      <w:pPr>
        <w:keepNext/>
        <w:spacing w:before="0" w:after="200"/>
        <w:jc w:val="left"/>
        <w:rPr>
          <w:rFonts w:ascii="Times New Roman" w:eastAsia="Calibri" w:hAnsi="Times New Roman" w:cs="Times New Roman"/>
          <w:b/>
          <w:sz w:val="18"/>
          <w:szCs w:val="18"/>
        </w:rPr>
      </w:pPr>
      <w:r w:rsidRPr="00722A47">
        <w:rPr>
          <w:rFonts w:ascii="Times New Roman" w:eastAsia="Calibri" w:hAnsi="Times New Roman" w:cs="Times New Roman"/>
          <w:b/>
          <w:sz w:val="18"/>
          <w:szCs w:val="18"/>
        </w:rPr>
        <w:t xml:space="preserve"> </w:t>
      </w:r>
    </w:p>
    <w:tbl>
      <w:tblPr>
        <w:tblW w:w="11214" w:type="dxa"/>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
        <w:gridCol w:w="4284"/>
        <w:gridCol w:w="865"/>
        <w:gridCol w:w="675"/>
        <w:gridCol w:w="1205"/>
        <w:gridCol w:w="607"/>
        <w:gridCol w:w="715"/>
        <w:gridCol w:w="508"/>
        <w:gridCol w:w="715"/>
        <w:gridCol w:w="551"/>
        <w:gridCol w:w="715"/>
      </w:tblGrid>
      <w:tr w:rsidR="00722A47" w:rsidRPr="00722A47" w14:paraId="1A6EBBC3" w14:textId="77777777" w:rsidTr="004954C9">
        <w:trPr>
          <w:trHeight w:val="330"/>
        </w:trPr>
        <w:tc>
          <w:tcPr>
            <w:tcW w:w="11214" w:type="dxa"/>
            <w:gridSpan w:val="11"/>
            <w:noWrap/>
            <w:vAlign w:val="bottom"/>
          </w:tcPr>
          <w:p w14:paraId="77FC0592" w14:textId="77777777" w:rsidR="00722A47" w:rsidRPr="00722A47" w:rsidRDefault="00722A47" w:rsidP="00722A47">
            <w:pPr>
              <w:spacing w:before="0" w:after="0"/>
              <w:jc w:val="center"/>
              <w:rPr>
                <w:rFonts w:ascii="Times New Roman" w:eastAsia="Times New Roman" w:hAnsi="Times New Roman" w:cs="Times New Roman"/>
                <w:b/>
                <w:bCs/>
                <w:sz w:val="24"/>
                <w:szCs w:val="24"/>
                <w:lang w:eastAsia="de-DE"/>
              </w:rPr>
            </w:pPr>
            <w:r w:rsidRPr="00722A47">
              <w:rPr>
                <w:rFonts w:ascii="Times New Roman" w:eastAsia="Times New Roman" w:hAnsi="Times New Roman" w:cs="Times New Roman"/>
                <w:b/>
                <w:sz w:val="24"/>
                <w:szCs w:val="20"/>
                <w:lang w:eastAsia="de-DE"/>
              </w:rPr>
              <w:br w:type="page"/>
            </w:r>
            <w:r w:rsidRPr="00722A47">
              <w:rPr>
                <w:rFonts w:ascii="Times New Roman" w:eastAsia="Times New Roman" w:hAnsi="Times New Roman" w:cs="Times New Roman"/>
                <w:b/>
                <w:sz w:val="24"/>
                <w:szCs w:val="24"/>
                <w:lang w:eastAsia="de-DE"/>
              </w:rPr>
              <w:t>Recycling-Baustoff der Klasse 2 (</w:t>
            </w:r>
            <w:r w:rsidRPr="00722A47">
              <w:rPr>
                <w:rFonts w:ascii="Times New Roman" w:eastAsia="Times New Roman" w:hAnsi="Times New Roman" w:cs="Tahoma"/>
                <w:b/>
                <w:bCs/>
                <w:sz w:val="24"/>
                <w:szCs w:val="24"/>
                <w:lang w:eastAsia="de-DE"/>
              </w:rPr>
              <w:t>RC-2)</w:t>
            </w:r>
          </w:p>
        </w:tc>
      </w:tr>
      <w:tr w:rsidR="00722A47" w:rsidRPr="00722A47" w14:paraId="2619C458" w14:textId="77777777" w:rsidTr="004954C9">
        <w:trPr>
          <w:trHeight w:val="20"/>
        </w:trPr>
        <w:tc>
          <w:tcPr>
            <w:tcW w:w="4762" w:type="dxa"/>
            <w:gridSpan w:val="2"/>
            <w:vMerge w:val="restart"/>
            <w:shd w:val="clear" w:color="auto" w:fill="auto"/>
            <w:noWrap/>
          </w:tcPr>
          <w:p w14:paraId="2525D5EC"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Einbauweise</w:t>
            </w:r>
          </w:p>
        </w:tc>
        <w:tc>
          <w:tcPr>
            <w:tcW w:w="6452" w:type="dxa"/>
            <w:gridSpan w:val="9"/>
            <w:shd w:val="clear" w:color="auto" w:fill="auto"/>
            <w:noWrap/>
            <w:vAlign w:val="center"/>
          </w:tcPr>
          <w:p w14:paraId="378C8D69"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Eigenschaft der Grundwasserdeckschicht</w:t>
            </w:r>
          </w:p>
        </w:tc>
      </w:tr>
      <w:tr w:rsidR="00722A47" w:rsidRPr="00722A47" w14:paraId="4C7B3CDA" w14:textId="77777777" w:rsidTr="004954C9">
        <w:trPr>
          <w:trHeight w:val="20"/>
        </w:trPr>
        <w:tc>
          <w:tcPr>
            <w:tcW w:w="4762" w:type="dxa"/>
            <w:gridSpan w:val="2"/>
            <w:vMerge/>
            <w:shd w:val="clear" w:color="auto" w:fill="auto"/>
            <w:noWrap/>
            <w:vAlign w:val="center"/>
          </w:tcPr>
          <w:p w14:paraId="458E3D95" w14:textId="77777777" w:rsidR="00722A47" w:rsidRPr="00722A47" w:rsidRDefault="00722A47" w:rsidP="00722A47">
            <w:pPr>
              <w:spacing w:before="0" w:after="0"/>
              <w:jc w:val="center"/>
              <w:rPr>
                <w:rFonts w:ascii="Times New Roman" w:eastAsia="Times New Roman" w:hAnsi="Times New Roman" w:cs="Times New Roman"/>
                <w:sz w:val="20"/>
                <w:szCs w:val="24"/>
                <w:lang w:eastAsia="de-DE"/>
              </w:rPr>
            </w:pPr>
          </w:p>
        </w:tc>
        <w:tc>
          <w:tcPr>
            <w:tcW w:w="2745" w:type="dxa"/>
            <w:gridSpan w:val="3"/>
            <w:shd w:val="clear" w:color="auto" w:fill="auto"/>
            <w:noWrap/>
            <w:vAlign w:val="center"/>
          </w:tcPr>
          <w:p w14:paraId="7CDD6041"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außerhalb von</w:t>
            </w:r>
          </w:p>
          <w:p w14:paraId="53C2A9BA"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c>
          <w:tcPr>
            <w:tcW w:w="3707" w:type="dxa"/>
            <w:gridSpan w:val="6"/>
            <w:shd w:val="clear" w:color="auto" w:fill="auto"/>
            <w:noWrap/>
            <w:vAlign w:val="center"/>
          </w:tcPr>
          <w:p w14:paraId="6DF6382F"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innerhalb von</w:t>
            </w:r>
          </w:p>
          <w:p w14:paraId="19D64755"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r>
      <w:tr w:rsidR="00722A47" w:rsidRPr="00722A47" w14:paraId="45DFF661" w14:textId="77777777" w:rsidTr="004954C9">
        <w:trPr>
          <w:trHeight w:val="20"/>
        </w:trPr>
        <w:tc>
          <w:tcPr>
            <w:tcW w:w="4762" w:type="dxa"/>
            <w:gridSpan w:val="2"/>
            <w:vMerge/>
            <w:shd w:val="clear" w:color="auto" w:fill="auto"/>
            <w:noWrap/>
            <w:vAlign w:val="center"/>
          </w:tcPr>
          <w:p w14:paraId="2EDA612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0ACD9C24"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proofErr w:type="spellStart"/>
            <w:r w:rsidRPr="00722A47">
              <w:rPr>
                <w:rFonts w:ascii="Times New Roman" w:eastAsia="Times New Roman" w:hAnsi="Times New Roman" w:cs="Times New Roman"/>
                <w:sz w:val="20"/>
                <w:szCs w:val="20"/>
                <w:lang w:eastAsia="de-DE"/>
              </w:rPr>
              <w:t>un</w:t>
            </w:r>
            <w:proofErr w:type="spellEnd"/>
            <w:r w:rsidRPr="00722A47">
              <w:rPr>
                <w:rFonts w:ascii="Times New Roman" w:eastAsia="Times New Roman" w:hAnsi="Times New Roman" w:cs="Times New Roman"/>
                <w:sz w:val="20"/>
                <w:szCs w:val="20"/>
                <w:lang w:eastAsia="de-DE"/>
              </w:rPr>
              <w:t>-günstig</w:t>
            </w:r>
          </w:p>
        </w:tc>
        <w:tc>
          <w:tcPr>
            <w:tcW w:w="1880" w:type="dxa"/>
            <w:gridSpan w:val="2"/>
            <w:shd w:val="clear" w:color="auto" w:fill="auto"/>
            <w:noWrap/>
            <w:vAlign w:val="center"/>
          </w:tcPr>
          <w:p w14:paraId="0CEBC070"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c>
          <w:tcPr>
            <w:tcW w:w="3707" w:type="dxa"/>
            <w:gridSpan w:val="6"/>
            <w:shd w:val="clear" w:color="auto" w:fill="auto"/>
            <w:noWrap/>
            <w:vAlign w:val="center"/>
          </w:tcPr>
          <w:p w14:paraId="4B42345F"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r>
      <w:tr w:rsidR="00722A47" w:rsidRPr="00722A47" w14:paraId="7DF2FA6C" w14:textId="77777777" w:rsidTr="004954C9">
        <w:trPr>
          <w:trHeight w:val="20"/>
        </w:trPr>
        <w:tc>
          <w:tcPr>
            <w:tcW w:w="4762" w:type="dxa"/>
            <w:gridSpan w:val="2"/>
            <w:vMerge/>
            <w:shd w:val="clear" w:color="auto" w:fill="auto"/>
            <w:noWrap/>
            <w:vAlign w:val="center"/>
          </w:tcPr>
          <w:p w14:paraId="3BFBC73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val="restart"/>
            <w:shd w:val="clear" w:color="auto" w:fill="auto"/>
            <w:noWrap/>
            <w:vAlign w:val="bottom"/>
          </w:tcPr>
          <w:p w14:paraId="4516A35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val="restart"/>
            <w:shd w:val="clear" w:color="auto" w:fill="auto"/>
            <w:noWrap/>
            <w:vAlign w:val="center"/>
          </w:tcPr>
          <w:p w14:paraId="1084D49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1205" w:type="dxa"/>
            <w:vMerge w:val="restart"/>
            <w:shd w:val="clear" w:color="auto" w:fill="auto"/>
            <w:noWrap/>
            <w:vAlign w:val="center"/>
          </w:tcPr>
          <w:p w14:paraId="52DD519E" w14:textId="7F283A71"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0F90F849" w14:textId="4556FA96"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4791D2D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1286" w:type="dxa"/>
            <w:gridSpan w:val="2"/>
            <w:shd w:val="clear" w:color="auto" w:fill="auto"/>
            <w:noWrap/>
            <w:vAlign w:val="center"/>
          </w:tcPr>
          <w:p w14:paraId="4052AFD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A</w:t>
            </w:r>
          </w:p>
        </w:tc>
        <w:tc>
          <w:tcPr>
            <w:tcW w:w="1189" w:type="dxa"/>
            <w:gridSpan w:val="2"/>
            <w:shd w:val="clear" w:color="auto" w:fill="auto"/>
            <w:noWrap/>
            <w:vAlign w:val="center"/>
          </w:tcPr>
          <w:p w14:paraId="3F3193B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B</w:t>
            </w:r>
          </w:p>
        </w:tc>
        <w:tc>
          <w:tcPr>
            <w:tcW w:w="1232" w:type="dxa"/>
            <w:gridSpan w:val="2"/>
            <w:shd w:val="clear" w:color="auto" w:fill="auto"/>
            <w:noWrap/>
            <w:vAlign w:val="center"/>
          </w:tcPr>
          <w:p w14:paraId="6BFDAD6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Wasservor-</w:t>
            </w:r>
          </w:p>
        </w:tc>
      </w:tr>
      <w:tr w:rsidR="00722A47" w:rsidRPr="00722A47" w14:paraId="30295A23" w14:textId="77777777" w:rsidTr="004954C9">
        <w:trPr>
          <w:trHeight w:val="80"/>
        </w:trPr>
        <w:tc>
          <w:tcPr>
            <w:tcW w:w="4762" w:type="dxa"/>
            <w:gridSpan w:val="2"/>
            <w:vMerge/>
            <w:shd w:val="clear" w:color="auto" w:fill="auto"/>
            <w:noWrap/>
            <w:vAlign w:val="center"/>
          </w:tcPr>
          <w:p w14:paraId="6D7DFA8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1501835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76182FD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18EF39E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86" w:type="dxa"/>
            <w:gridSpan w:val="2"/>
            <w:shd w:val="clear" w:color="auto" w:fill="auto"/>
            <w:noWrap/>
            <w:vAlign w:val="center"/>
          </w:tcPr>
          <w:p w14:paraId="2C8CDF6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III</w:t>
            </w:r>
          </w:p>
        </w:tc>
        <w:tc>
          <w:tcPr>
            <w:tcW w:w="1189" w:type="dxa"/>
            <w:gridSpan w:val="2"/>
            <w:shd w:val="clear" w:color="auto" w:fill="auto"/>
            <w:noWrap/>
            <w:vAlign w:val="center"/>
          </w:tcPr>
          <w:p w14:paraId="3364659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IV</w:t>
            </w:r>
          </w:p>
        </w:tc>
        <w:tc>
          <w:tcPr>
            <w:tcW w:w="1232" w:type="dxa"/>
            <w:gridSpan w:val="2"/>
            <w:shd w:val="clear" w:color="auto" w:fill="auto"/>
            <w:noWrap/>
            <w:vAlign w:val="center"/>
          </w:tcPr>
          <w:p w14:paraId="2D9B0C0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ranggebiete</w:t>
            </w:r>
          </w:p>
        </w:tc>
      </w:tr>
      <w:tr w:rsidR="00722A47" w:rsidRPr="00722A47" w14:paraId="5B85027B" w14:textId="77777777" w:rsidTr="004954C9">
        <w:trPr>
          <w:trHeight w:val="80"/>
        </w:trPr>
        <w:tc>
          <w:tcPr>
            <w:tcW w:w="4762" w:type="dxa"/>
            <w:gridSpan w:val="2"/>
            <w:vMerge/>
            <w:shd w:val="clear" w:color="auto" w:fill="auto"/>
            <w:noWrap/>
            <w:vAlign w:val="center"/>
          </w:tcPr>
          <w:p w14:paraId="3D73B24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1A8B252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671D67C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6E239EA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07" w:type="dxa"/>
            <w:shd w:val="clear" w:color="auto" w:fill="auto"/>
            <w:noWrap/>
            <w:vAlign w:val="center"/>
          </w:tcPr>
          <w:p w14:paraId="678B3B1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79" w:type="dxa"/>
            <w:shd w:val="clear" w:color="auto" w:fill="auto"/>
            <w:vAlign w:val="center"/>
          </w:tcPr>
          <w:p w14:paraId="636614DA" w14:textId="34D817F2"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5E3ADDF0" w14:textId="611B7561"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13612BD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08" w:type="dxa"/>
            <w:shd w:val="clear" w:color="auto" w:fill="auto"/>
            <w:noWrap/>
            <w:vAlign w:val="center"/>
          </w:tcPr>
          <w:p w14:paraId="11DC717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50F89959" w14:textId="7572FB9A"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6C1FC5FE" w14:textId="572B3C54"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19FB993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51" w:type="dxa"/>
            <w:shd w:val="clear" w:color="auto" w:fill="auto"/>
            <w:noWrap/>
            <w:vAlign w:val="center"/>
          </w:tcPr>
          <w:p w14:paraId="6432654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7C64C78F" w14:textId="30B6463F"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4148A692" w14:textId="5BB1AFA8"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1B2AFEF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r>
      <w:tr w:rsidR="00722A47" w:rsidRPr="00722A47" w14:paraId="13C33DAE" w14:textId="77777777" w:rsidTr="004954C9">
        <w:trPr>
          <w:trHeight w:val="111"/>
        </w:trPr>
        <w:tc>
          <w:tcPr>
            <w:tcW w:w="4762" w:type="dxa"/>
            <w:gridSpan w:val="2"/>
            <w:vMerge/>
            <w:shd w:val="clear" w:color="auto" w:fill="auto"/>
            <w:noWrap/>
            <w:vAlign w:val="center"/>
          </w:tcPr>
          <w:p w14:paraId="18BD08F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270DD53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1</w:t>
            </w:r>
          </w:p>
        </w:tc>
        <w:tc>
          <w:tcPr>
            <w:tcW w:w="675" w:type="dxa"/>
            <w:shd w:val="clear" w:color="auto" w:fill="auto"/>
            <w:noWrap/>
            <w:vAlign w:val="center"/>
          </w:tcPr>
          <w:p w14:paraId="58BA08A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2</w:t>
            </w:r>
          </w:p>
        </w:tc>
        <w:tc>
          <w:tcPr>
            <w:tcW w:w="1205" w:type="dxa"/>
            <w:shd w:val="clear" w:color="auto" w:fill="auto"/>
            <w:noWrap/>
            <w:vAlign w:val="center"/>
          </w:tcPr>
          <w:p w14:paraId="73EBE9A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3</w:t>
            </w:r>
          </w:p>
        </w:tc>
        <w:tc>
          <w:tcPr>
            <w:tcW w:w="1286" w:type="dxa"/>
            <w:gridSpan w:val="2"/>
            <w:shd w:val="clear" w:color="auto" w:fill="auto"/>
            <w:noWrap/>
            <w:vAlign w:val="center"/>
          </w:tcPr>
          <w:p w14:paraId="3C6FA1D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4</w:t>
            </w:r>
          </w:p>
        </w:tc>
        <w:tc>
          <w:tcPr>
            <w:tcW w:w="1189" w:type="dxa"/>
            <w:gridSpan w:val="2"/>
            <w:shd w:val="clear" w:color="auto" w:fill="auto"/>
            <w:noWrap/>
            <w:vAlign w:val="center"/>
          </w:tcPr>
          <w:p w14:paraId="21A02D1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5</w:t>
            </w:r>
          </w:p>
        </w:tc>
        <w:tc>
          <w:tcPr>
            <w:tcW w:w="1232" w:type="dxa"/>
            <w:gridSpan w:val="2"/>
            <w:shd w:val="clear" w:color="auto" w:fill="auto"/>
            <w:noWrap/>
            <w:vAlign w:val="center"/>
          </w:tcPr>
          <w:p w14:paraId="18EE947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6</w:t>
            </w:r>
          </w:p>
        </w:tc>
      </w:tr>
      <w:tr w:rsidR="00722A47" w:rsidRPr="00722A47" w14:paraId="3824BE63" w14:textId="77777777" w:rsidTr="004954C9">
        <w:trPr>
          <w:trHeight w:val="20"/>
        </w:trPr>
        <w:tc>
          <w:tcPr>
            <w:tcW w:w="478" w:type="dxa"/>
            <w:noWrap/>
          </w:tcPr>
          <w:p w14:paraId="4421ED8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w:t>
            </w:r>
          </w:p>
        </w:tc>
        <w:tc>
          <w:tcPr>
            <w:tcW w:w="4284" w:type="dxa"/>
          </w:tcPr>
          <w:p w14:paraId="64A1A85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Schotteroberbau der Bahnbauweise Standard Damm </w:t>
            </w:r>
          </w:p>
        </w:tc>
        <w:tc>
          <w:tcPr>
            <w:tcW w:w="865" w:type="dxa"/>
            <w:noWrap/>
            <w:vAlign w:val="center"/>
          </w:tcPr>
          <w:p w14:paraId="28C4AF3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C83542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54067A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42D686A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AF8AC0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0EC6FF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98F63D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4CF7041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B654C1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673A2146" w14:textId="77777777" w:rsidTr="004954C9">
        <w:trPr>
          <w:trHeight w:val="20"/>
        </w:trPr>
        <w:tc>
          <w:tcPr>
            <w:tcW w:w="478" w:type="dxa"/>
            <w:noWrap/>
          </w:tcPr>
          <w:p w14:paraId="74A89FF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w:t>
            </w:r>
          </w:p>
        </w:tc>
        <w:tc>
          <w:tcPr>
            <w:tcW w:w="4284" w:type="dxa"/>
          </w:tcPr>
          <w:p w14:paraId="040EF72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Standard Einschnitt</w:t>
            </w:r>
          </w:p>
        </w:tc>
        <w:tc>
          <w:tcPr>
            <w:tcW w:w="865" w:type="dxa"/>
            <w:noWrap/>
            <w:vAlign w:val="center"/>
          </w:tcPr>
          <w:p w14:paraId="4D2C038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C8F6D7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568376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5A21CF2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5E1493C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6765B9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15A473F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6101A8D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17B71F5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690E6DF0" w14:textId="77777777" w:rsidTr="004954C9">
        <w:trPr>
          <w:trHeight w:val="20"/>
        </w:trPr>
        <w:tc>
          <w:tcPr>
            <w:tcW w:w="478" w:type="dxa"/>
            <w:noWrap/>
          </w:tcPr>
          <w:p w14:paraId="3C1B5E0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B3</w:t>
            </w:r>
          </w:p>
        </w:tc>
        <w:tc>
          <w:tcPr>
            <w:tcW w:w="4284" w:type="dxa"/>
          </w:tcPr>
          <w:p w14:paraId="00F25BE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w:t>
            </w:r>
          </w:p>
        </w:tc>
        <w:tc>
          <w:tcPr>
            <w:tcW w:w="865" w:type="dxa"/>
            <w:noWrap/>
            <w:vAlign w:val="center"/>
          </w:tcPr>
          <w:p w14:paraId="6CBD6DD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A2B834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259478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261A4AC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59B49A3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08D714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4D403C5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345887C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435D303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20DB7E4A" w14:textId="77777777" w:rsidTr="004954C9">
        <w:trPr>
          <w:trHeight w:val="20"/>
        </w:trPr>
        <w:tc>
          <w:tcPr>
            <w:tcW w:w="478" w:type="dxa"/>
            <w:noWrap/>
          </w:tcPr>
          <w:p w14:paraId="699C7B7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B4</w:t>
            </w:r>
          </w:p>
        </w:tc>
        <w:tc>
          <w:tcPr>
            <w:tcW w:w="4284" w:type="dxa"/>
          </w:tcPr>
          <w:p w14:paraId="333A221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 modifiziert</w:t>
            </w:r>
          </w:p>
        </w:tc>
        <w:tc>
          <w:tcPr>
            <w:tcW w:w="865" w:type="dxa"/>
            <w:noWrap/>
            <w:vAlign w:val="center"/>
          </w:tcPr>
          <w:p w14:paraId="583A57E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14AC4F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C73B46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3DDC26B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1C4F6E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3C416C1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4DB81B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640C5CD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49536F2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E4CF58C" w14:textId="77777777" w:rsidTr="004954C9">
        <w:trPr>
          <w:trHeight w:val="20"/>
        </w:trPr>
        <w:tc>
          <w:tcPr>
            <w:tcW w:w="478" w:type="dxa"/>
            <w:noWrap/>
          </w:tcPr>
          <w:p w14:paraId="1F8897E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B5</w:t>
            </w:r>
          </w:p>
        </w:tc>
        <w:tc>
          <w:tcPr>
            <w:tcW w:w="4284" w:type="dxa"/>
          </w:tcPr>
          <w:p w14:paraId="56393E0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6D0D981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Bahnbauweise Standard Damm </w:t>
            </w:r>
          </w:p>
        </w:tc>
        <w:tc>
          <w:tcPr>
            <w:tcW w:w="865" w:type="dxa"/>
            <w:noWrap/>
            <w:vAlign w:val="center"/>
          </w:tcPr>
          <w:p w14:paraId="3D8F91E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7DC262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1205" w:type="dxa"/>
            <w:noWrap/>
            <w:vAlign w:val="center"/>
          </w:tcPr>
          <w:p w14:paraId="63B06F9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02B61AB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1F2BF26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508" w:type="dxa"/>
            <w:shd w:val="clear" w:color="auto" w:fill="auto"/>
            <w:noWrap/>
            <w:vAlign w:val="center"/>
          </w:tcPr>
          <w:p w14:paraId="73FEAF3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C95778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551" w:type="dxa"/>
            <w:shd w:val="clear" w:color="auto" w:fill="auto"/>
            <w:noWrap/>
            <w:vAlign w:val="center"/>
          </w:tcPr>
          <w:p w14:paraId="5D172AB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auto"/>
            <w:vAlign w:val="center"/>
          </w:tcPr>
          <w:p w14:paraId="5CCEA2E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FABCCF3" w14:textId="77777777" w:rsidTr="004954C9">
        <w:trPr>
          <w:trHeight w:val="20"/>
        </w:trPr>
        <w:tc>
          <w:tcPr>
            <w:tcW w:w="478" w:type="dxa"/>
            <w:noWrap/>
          </w:tcPr>
          <w:p w14:paraId="6974F67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B6</w:t>
            </w:r>
          </w:p>
        </w:tc>
        <w:tc>
          <w:tcPr>
            <w:tcW w:w="4284" w:type="dxa"/>
          </w:tcPr>
          <w:p w14:paraId="471F2D2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12153FA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Standard Einschnitt</w:t>
            </w:r>
          </w:p>
        </w:tc>
        <w:tc>
          <w:tcPr>
            <w:tcW w:w="865" w:type="dxa"/>
            <w:noWrap/>
            <w:vAlign w:val="center"/>
          </w:tcPr>
          <w:p w14:paraId="543728B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3216F1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1205" w:type="dxa"/>
            <w:noWrap/>
            <w:vAlign w:val="center"/>
          </w:tcPr>
          <w:p w14:paraId="14AF75D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2A485A3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34BA217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08" w:type="dxa"/>
            <w:shd w:val="clear" w:color="auto" w:fill="auto"/>
            <w:noWrap/>
            <w:vAlign w:val="center"/>
          </w:tcPr>
          <w:p w14:paraId="63A377A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113200D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51" w:type="dxa"/>
            <w:shd w:val="clear" w:color="auto" w:fill="auto"/>
            <w:noWrap/>
            <w:vAlign w:val="center"/>
          </w:tcPr>
          <w:p w14:paraId="4656C9F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81" w:type="dxa"/>
            <w:shd w:val="clear" w:color="auto" w:fill="auto"/>
            <w:vAlign w:val="center"/>
          </w:tcPr>
          <w:p w14:paraId="0A8DDED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62738028" w14:textId="77777777" w:rsidTr="004954C9">
        <w:trPr>
          <w:trHeight w:val="20"/>
        </w:trPr>
        <w:tc>
          <w:tcPr>
            <w:tcW w:w="478" w:type="dxa"/>
            <w:noWrap/>
          </w:tcPr>
          <w:p w14:paraId="7CE2927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B7</w:t>
            </w:r>
          </w:p>
        </w:tc>
        <w:tc>
          <w:tcPr>
            <w:tcW w:w="4284" w:type="dxa"/>
          </w:tcPr>
          <w:p w14:paraId="1B19D9B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49C300E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59065E3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458EB3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1205" w:type="dxa"/>
            <w:noWrap/>
            <w:vAlign w:val="center"/>
          </w:tcPr>
          <w:p w14:paraId="4245C17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091C4D4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1DCC414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508" w:type="dxa"/>
            <w:shd w:val="clear" w:color="auto" w:fill="auto"/>
            <w:noWrap/>
            <w:vAlign w:val="center"/>
          </w:tcPr>
          <w:p w14:paraId="3FF02C8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BE8658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551" w:type="dxa"/>
            <w:shd w:val="clear" w:color="auto" w:fill="auto"/>
            <w:noWrap/>
            <w:vAlign w:val="center"/>
          </w:tcPr>
          <w:p w14:paraId="1D8B878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681" w:type="dxa"/>
            <w:shd w:val="clear" w:color="auto" w:fill="auto"/>
            <w:vAlign w:val="center"/>
          </w:tcPr>
          <w:p w14:paraId="0CDBAC7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84C3EEC" w14:textId="77777777" w:rsidTr="004954C9">
        <w:trPr>
          <w:trHeight w:val="20"/>
        </w:trPr>
        <w:tc>
          <w:tcPr>
            <w:tcW w:w="478" w:type="dxa"/>
            <w:noWrap/>
          </w:tcPr>
          <w:p w14:paraId="04086A3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B8</w:t>
            </w:r>
          </w:p>
        </w:tc>
        <w:tc>
          <w:tcPr>
            <w:tcW w:w="4284" w:type="dxa"/>
          </w:tcPr>
          <w:p w14:paraId="51DF276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78F7847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4AA0BDB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39AE73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8A57C6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3FA3521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7790224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6F80D2C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C23821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3942D68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42C733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C2DCF62" w14:textId="77777777" w:rsidTr="004954C9">
        <w:trPr>
          <w:trHeight w:val="20"/>
        </w:trPr>
        <w:tc>
          <w:tcPr>
            <w:tcW w:w="478" w:type="dxa"/>
            <w:noWrap/>
          </w:tcPr>
          <w:p w14:paraId="3016C3F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B9</w:t>
            </w:r>
          </w:p>
        </w:tc>
        <w:tc>
          <w:tcPr>
            <w:tcW w:w="4284" w:type="dxa"/>
          </w:tcPr>
          <w:p w14:paraId="7467D71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4EB314F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473968D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0787AD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90C74E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5DEE692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1E443C2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3AC514B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5B7805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BC2C89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A95496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F6AA206" w14:textId="77777777" w:rsidTr="004954C9">
        <w:trPr>
          <w:trHeight w:val="20"/>
        </w:trPr>
        <w:tc>
          <w:tcPr>
            <w:tcW w:w="478" w:type="dxa"/>
            <w:noWrap/>
          </w:tcPr>
          <w:p w14:paraId="7479A9B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B10</w:t>
            </w:r>
          </w:p>
        </w:tc>
        <w:tc>
          <w:tcPr>
            <w:tcW w:w="4284" w:type="dxa"/>
          </w:tcPr>
          <w:p w14:paraId="7A706D0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461485E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1C62DF3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8192B9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8A978E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388FE8D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03E57A4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159078F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27C812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D73999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6D75F2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B00B293" w14:textId="77777777" w:rsidTr="004954C9">
        <w:trPr>
          <w:trHeight w:val="20"/>
        </w:trPr>
        <w:tc>
          <w:tcPr>
            <w:tcW w:w="478" w:type="dxa"/>
            <w:noWrap/>
          </w:tcPr>
          <w:p w14:paraId="38D6C33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B11</w:t>
            </w:r>
          </w:p>
        </w:tc>
        <w:tc>
          <w:tcPr>
            <w:tcW w:w="4284" w:type="dxa"/>
          </w:tcPr>
          <w:p w14:paraId="220C7C7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Spezielle Bodenschicht der Bahnbauweise H</w:t>
            </w:r>
          </w:p>
        </w:tc>
        <w:tc>
          <w:tcPr>
            <w:tcW w:w="865" w:type="dxa"/>
            <w:noWrap/>
            <w:vAlign w:val="center"/>
          </w:tcPr>
          <w:p w14:paraId="540E8B8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D0BDF1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B7B14E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1BDECD8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4D803A9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4B549EA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08583B4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auto"/>
            <w:noWrap/>
            <w:vAlign w:val="center"/>
          </w:tcPr>
          <w:p w14:paraId="3BE7B46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43003BB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794BCE0" w14:textId="77777777" w:rsidTr="004954C9">
        <w:trPr>
          <w:trHeight w:val="20"/>
        </w:trPr>
        <w:tc>
          <w:tcPr>
            <w:tcW w:w="478" w:type="dxa"/>
            <w:noWrap/>
          </w:tcPr>
          <w:p w14:paraId="64CFA75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B12</w:t>
            </w:r>
          </w:p>
        </w:tc>
        <w:tc>
          <w:tcPr>
            <w:tcW w:w="4284" w:type="dxa"/>
          </w:tcPr>
          <w:p w14:paraId="0D538AD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5902834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Standard Damm </w:t>
            </w:r>
          </w:p>
        </w:tc>
        <w:tc>
          <w:tcPr>
            <w:tcW w:w="865" w:type="dxa"/>
            <w:noWrap/>
            <w:vAlign w:val="center"/>
          </w:tcPr>
          <w:p w14:paraId="5073B3A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1BF0A1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1205" w:type="dxa"/>
            <w:noWrap/>
            <w:vAlign w:val="center"/>
          </w:tcPr>
          <w:p w14:paraId="18F3160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40A2010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220EA0F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08" w:type="dxa"/>
            <w:shd w:val="clear" w:color="auto" w:fill="auto"/>
            <w:noWrap/>
            <w:vAlign w:val="center"/>
          </w:tcPr>
          <w:p w14:paraId="264216B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06F704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51" w:type="dxa"/>
            <w:shd w:val="clear" w:color="auto" w:fill="auto"/>
            <w:noWrap/>
            <w:vAlign w:val="center"/>
          </w:tcPr>
          <w:p w14:paraId="5E3269C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81" w:type="dxa"/>
            <w:shd w:val="clear" w:color="auto" w:fill="auto"/>
            <w:vAlign w:val="center"/>
          </w:tcPr>
          <w:p w14:paraId="4F10839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515AB1A1" w14:textId="77777777" w:rsidTr="004954C9">
        <w:trPr>
          <w:trHeight w:val="20"/>
        </w:trPr>
        <w:tc>
          <w:tcPr>
            <w:tcW w:w="478" w:type="dxa"/>
            <w:noWrap/>
          </w:tcPr>
          <w:p w14:paraId="301EBDB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B13</w:t>
            </w:r>
          </w:p>
        </w:tc>
        <w:tc>
          <w:tcPr>
            <w:tcW w:w="4284" w:type="dxa"/>
          </w:tcPr>
          <w:p w14:paraId="26619F6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0A2CFE8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Standard Einschnitt</w:t>
            </w:r>
          </w:p>
        </w:tc>
        <w:tc>
          <w:tcPr>
            <w:tcW w:w="865" w:type="dxa"/>
            <w:noWrap/>
            <w:vAlign w:val="center"/>
          </w:tcPr>
          <w:p w14:paraId="7B2E095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02834B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1205" w:type="dxa"/>
            <w:noWrap/>
            <w:vAlign w:val="center"/>
          </w:tcPr>
          <w:p w14:paraId="117AB3F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2B55A9C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105FC60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08" w:type="dxa"/>
            <w:shd w:val="clear" w:color="auto" w:fill="auto"/>
            <w:noWrap/>
            <w:vAlign w:val="center"/>
          </w:tcPr>
          <w:p w14:paraId="453C1ED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E779EA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51" w:type="dxa"/>
            <w:shd w:val="clear" w:color="auto" w:fill="auto"/>
            <w:noWrap/>
            <w:vAlign w:val="center"/>
          </w:tcPr>
          <w:p w14:paraId="3E0D6AB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81" w:type="dxa"/>
            <w:shd w:val="clear" w:color="auto" w:fill="auto"/>
            <w:vAlign w:val="center"/>
          </w:tcPr>
          <w:p w14:paraId="23C4D63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6FD52997" w14:textId="77777777" w:rsidTr="004954C9">
        <w:trPr>
          <w:trHeight w:val="20"/>
        </w:trPr>
        <w:tc>
          <w:tcPr>
            <w:tcW w:w="478" w:type="dxa"/>
            <w:noWrap/>
          </w:tcPr>
          <w:p w14:paraId="1F5D496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B14</w:t>
            </w:r>
          </w:p>
        </w:tc>
        <w:tc>
          <w:tcPr>
            <w:tcW w:w="4284" w:type="dxa"/>
          </w:tcPr>
          <w:p w14:paraId="58D6AF9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H</w:t>
            </w:r>
          </w:p>
        </w:tc>
        <w:tc>
          <w:tcPr>
            <w:tcW w:w="865" w:type="dxa"/>
            <w:noWrap/>
            <w:vAlign w:val="center"/>
          </w:tcPr>
          <w:p w14:paraId="3F1A26C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94E05E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145E49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215FFF2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7ACC43E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09569CE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ACD768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1748C62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DE686F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C47BBBA" w14:textId="77777777" w:rsidTr="004954C9">
        <w:trPr>
          <w:trHeight w:val="20"/>
        </w:trPr>
        <w:tc>
          <w:tcPr>
            <w:tcW w:w="478" w:type="dxa"/>
            <w:noWrap/>
          </w:tcPr>
          <w:p w14:paraId="5FA980F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B15</w:t>
            </w:r>
          </w:p>
        </w:tc>
        <w:tc>
          <w:tcPr>
            <w:tcW w:w="4284" w:type="dxa"/>
          </w:tcPr>
          <w:p w14:paraId="04C547F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1F67A0F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H modifiziert</w:t>
            </w:r>
          </w:p>
        </w:tc>
        <w:tc>
          <w:tcPr>
            <w:tcW w:w="865" w:type="dxa"/>
            <w:noWrap/>
            <w:vAlign w:val="center"/>
          </w:tcPr>
          <w:p w14:paraId="6596ADF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09DE50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46926A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70FB881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7CA19F0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5F5E5E9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4260276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DD4F5C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DE6DA0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D66E068" w14:textId="77777777" w:rsidTr="004954C9">
        <w:trPr>
          <w:trHeight w:val="20"/>
        </w:trPr>
        <w:tc>
          <w:tcPr>
            <w:tcW w:w="478" w:type="dxa"/>
            <w:noWrap/>
          </w:tcPr>
          <w:p w14:paraId="76F99F6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B16</w:t>
            </w:r>
          </w:p>
        </w:tc>
        <w:tc>
          <w:tcPr>
            <w:tcW w:w="4284" w:type="dxa"/>
          </w:tcPr>
          <w:p w14:paraId="6165A55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w:t>
            </w:r>
          </w:p>
        </w:tc>
        <w:tc>
          <w:tcPr>
            <w:tcW w:w="865" w:type="dxa"/>
            <w:noWrap/>
            <w:vAlign w:val="center"/>
          </w:tcPr>
          <w:p w14:paraId="1384A99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36AB50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FB0EAE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11313DD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291E66B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0E56DC1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5450F0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355E68B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1E51BC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3C2D0D6" w14:textId="77777777" w:rsidTr="004954C9">
        <w:trPr>
          <w:trHeight w:val="20"/>
        </w:trPr>
        <w:tc>
          <w:tcPr>
            <w:tcW w:w="478" w:type="dxa"/>
            <w:noWrap/>
          </w:tcPr>
          <w:p w14:paraId="7EBBC41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B17</w:t>
            </w:r>
          </w:p>
        </w:tc>
        <w:tc>
          <w:tcPr>
            <w:tcW w:w="4284" w:type="dxa"/>
          </w:tcPr>
          <w:p w14:paraId="045E435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w:t>
            </w:r>
          </w:p>
        </w:tc>
        <w:tc>
          <w:tcPr>
            <w:tcW w:w="865" w:type="dxa"/>
            <w:noWrap/>
            <w:vAlign w:val="center"/>
          </w:tcPr>
          <w:p w14:paraId="2F4AB8E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0A51EC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99AD1D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0370461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053DFAA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35C4F29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F9C621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0D6C5CF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1136F0D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F1BA6BD" w14:textId="77777777" w:rsidTr="004954C9">
        <w:trPr>
          <w:trHeight w:val="20"/>
        </w:trPr>
        <w:tc>
          <w:tcPr>
            <w:tcW w:w="478" w:type="dxa"/>
            <w:noWrap/>
          </w:tcPr>
          <w:p w14:paraId="63D25BF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B18</w:t>
            </w:r>
          </w:p>
        </w:tc>
        <w:tc>
          <w:tcPr>
            <w:tcW w:w="4284" w:type="dxa"/>
          </w:tcPr>
          <w:p w14:paraId="181ECB6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 mit Randwegabdichtung oberhalb der FSS</w:t>
            </w:r>
          </w:p>
        </w:tc>
        <w:tc>
          <w:tcPr>
            <w:tcW w:w="865" w:type="dxa"/>
            <w:noWrap/>
            <w:vAlign w:val="center"/>
          </w:tcPr>
          <w:p w14:paraId="706D080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1D8D7F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6E120C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55B33F2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588B3C6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7098DE7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39C153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05E599B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446118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187C2D2" w14:textId="77777777" w:rsidTr="004954C9">
        <w:trPr>
          <w:trHeight w:val="20"/>
        </w:trPr>
        <w:tc>
          <w:tcPr>
            <w:tcW w:w="478" w:type="dxa"/>
            <w:noWrap/>
          </w:tcPr>
          <w:p w14:paraId="02D85EB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B19</w:t>
            </w:r>
          </w:p>
        </w:tc>
        <w:tc>
          <w:tcPr>
            <w:tcW w:w="4284" w:type="dxa"/>
          </w:tcPr>
          <w:p w14:paraId="41B5E22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 mit Randwegabdichtung</w:t>
            </w:r>
          </w:p>
        </w:tc>
        <w:tc>
          <w:tcPr>
            <w:tcW w:w="865" w:type="dxa"/>
            <w:noWrap/>
            <w:vAlign w:val="center"/>
          </w:tcPr>
          <w:p w14:paraId="79B1C5F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4037BE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4B42B9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0EF963A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1070B3B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4EAA65B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7A0D043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067403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4176B9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A88282D" w14:textId="77777777" w:rsidTr="004954C9">
        <w:trPr>
          <w:trHeight w:val="20"/>
        </w:trPr>
        <w:tc>
          <w:tcPr>
            <w:tcW w:w="478" w:type="dxa"/>
            <w:noWrap/>
          </w:tcPr>
          <w:p w14:paraId="1049BE0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B20</w:t>
            </w:r>
          </w:p>
        </w:tc>
        <w:tc>
          <w:tcPr>
            <w:tcW w:w="4284" w:type="dxa"/>
          </w:tcPr>
          <w:p w14:paraId="780C77F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unterhalb </w:t>
            </w: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bzw. PSS der Bahnbauweise E 1</w:t>
            </w:r>
          </w:p>
        </w:tc>
        <w:tc>
          <w:tcPr>
            <w:tcW w:w="865" w:type="dxa"/>
            <w:noWrap/>
            <w:vAlign w:val="center"/>
          </w:tcPr>
          <w:p w14:paraId="11636C5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E401A3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C39F32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0631730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3216FAB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369CD4C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99CE7F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37C7FC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A3E7E8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31942475" w14:textId="77777777" w:rsidTr="004954C9">
        <w:trPr>
          <w:trHeight w:val="20"/>
        </w:trPr>
        <w:tc>
          <w:tcPr>
            <w:tcW w:w="478" w:type="dxa"/>
            <w:noWrap/>
          </w:tcPr>
          <w:p w14:paraId="547A363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B21</w:t>
            </w:r>
          </w:p>
        </w:tc>
        <w:tc>
          <w:tcPr>
            <w:tcW w:w="4284" w:type="dxa"/>
          </w:tcPr>
          <w:p w14:paraId="6F7EBD2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1 mit Dichtungselement auf dem Planum</w:t>
            </w:r>
          </w:p>
        </w:tc>
        <w:tc>
          <w:tcPr>
            <w:tcW w:w="865" w:type="dxa"/>
            <w:noWrap/>
            <w:vAlign w:val="center"/>
          </w:tcPr>
          <w:p w14:paraId="6C2BBE4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52FE20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8FF8CA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7EC38F2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2F58874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724B08E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43A1A31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2AFB930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104491A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34A3DBD8" w14:textId="77777777" w:rsidTr="004954C9">
        <w:trPr>
          <w:trHeight w:val="20"/>
        </w:trPr>
        <w:tc>
          <w:tcPr>
            <w:tcW w:w="478" w:type="dxa"/>
            <w:noWrap/>
          </w:tcPr>
          <w:p w14:paraId="1B477B3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B22</w:t>
            </w:r>
          </w:p>
        </w:tc>
        <w:tc>
          <w:tcPr>
            <w:tcW w:w="4284" w:type="dxa"/>
          </w:tcPr>
          <w:p w14:paraId="204EB73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Tragschicht als witterungsunempfindliches Dichtungselement der Bahnbauweise E 2</w:t>
            </w:r>
          </w:p>
        </w:tc>
        <w:tc>
          <w:tcPr>
            <w:tcW w:w="865" w:type="dxa"/>
            <w:noWrap/>
            <w:vAlign w:val="center"/>
          </w:tcPr>
          <w:p w14:paraId="06D852D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3EFA88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C20038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4334216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41F1E0E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774CF2A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E04CAA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8DE488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291F65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9BCDE93" w14:textId="77777777" w:rsidTr="004954C9">
        <w:trPr>
          <w:trHeight w:val="20"/>
        </w:trPr>
        <w:tc>
          <w:tcPr>
            <w:tcW w:w="478" w:type="dxa"/>
            <w:noWrap/>
          </w:tcPr>
          <w:p w14:paraId="0D35B37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B23</w:t>
            </w:r>
          </w:p>
        </w:tc>
        <w:tc>
          <w:tcPr>
            <w:tcW w:w="4284" w:type="dxa"/>
          </w:tcPr>
          <w:p w14:paraId="60324CA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2</w:t>
            </w:r>
          </w:p>
        </w:tc>
        <w:tc>
          <w:tcPr>
            <w:tcW w:w="865" w:type="dxa"/>
            <w:noWrap/>
            <w:vAlign w:val="center"/>
          </w:tcPr>
          <w:p w14:paraId="04B3382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A7ECED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DD20CA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1E3C813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1236024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3D0356A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4421441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B3D783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10391A9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CE3F641" w14:textId="77777777" w:rsidTr="004954C9">
        <w:trPr>
          <w:trHeight w:val="20"/>
        </w:trPr>
        <w:tc>
          <w:tcPr>
            <w:tcW w:w="478" w:type="dxa"/>
            <w:noWrap/>
          </w:tcPr>
          <w:p w14:paraId="5DB3AC8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B24</w:t>
            </w:r>
          </w:p>
        </w:tc>
        <w:tc>
          <w:tcPr>
            <w:tcW w:w="4284" w:type="dxa"/>
          </w:tcPr>
          <w:p w14:paraId="50EFA6D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und Unterbau (Damm) der Bahnbauweise E 3a</w:t>
            </w:r>
          </w:p>
        </w:tc>
        <w:tc>
          <w:tcPr>
            <w:tcW w:w="865" w:type="dxa"/>
            <w:noWrap/>
            <w:vAlign w:val="center"/>
          </w:tcPr>
          <w:p w14:paraId="14E15FF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52BBEA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1205" w:type="dxa"/>
            <w:noWrap/>
            <w:vAlign w:val="center"/>
          </w:tcPr>
          <w:p w14:paraId="1A3EF04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7B94B02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1237AD2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508" w:type="dxa"/>
            <w:shd w:val="clear" w:color="auto" w:fill="auto"/>
            <w:noWrap/>
            <w:vAlign w:val="center"/>
          </w:tcPr>
          <w:p w14:paraId="7CF98B5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C63D6A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551" w:type="dxa"/>
            <w:shd w:val="clear" w:color="auto" w:fill="auto"/>
            <w:noWrap/>
            <w:vAlign w:val="center"/>
          </w:tcPr>
          <w:p w14:paraId="6D2ED8A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681" w:type="dxa"/>
            <w:shd w:val="clear" w:color="auto" w:fill="auto"/>
            <w:vAlign w:val="center"/>
          </w:tcPr>
          <w:p w14:paraId="393A4E8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57C4D6C3" w14:textId="77777777" w:rsidTr="004954C9">
        <w:trPr>
          <w:trHeight w:val="20"/>
        </w:trPr>
        <w:tc>
          <w:tcPr>
            <w:tcW w:w="478" w:type="dxa"/>
            <w:noWrap/>
          </w:tcPr>
          <w:p w14:paraId="206AC13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B25</w:t>
            </w:r>
          </w:p>
        </w:tc>
        <w:tc>
          <w:tcPr>
            <w:tcW w:w="4284" w:type="dxa"/>
          </w:tcPr>
          <w:p w14:paraId="3A83AEF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der Bahnbauweise E 3b</w:t>
            </w:r>
          </w:p>
        </w:tc>
        <w:tc>
          <w:tcPr>
            <w:tcW w:w="865" w:type="dxa"/>
            <w:noWrap/>
            <w:vAlign w:val="center"/>
          </w:tcPr>
          <w:p w14:paraId="68DB9B2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BDC498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CFDFE3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170E379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177814E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4C74C8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CCF594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FFFFFF"/>
            <w:noWrap/>
            <w:vAlign w:val="center"/>
          </w:tcPr>
          <w:p w14:paraId="59A1571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FFFFFF"/>
            <w:vAlign w:val="center"/>
          </w:tcPr>
          <w:p w14:paraId="1D977DE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59068060" w14:textId="77777777" w:rsidTr="004954C9">
        <w:trPr>
          <w:trHeight w:val="208"/>
        </w:trPr>
        <w:tc>
          <w:tcPr>
            <w:tcW w:w="478" w:type="dxa"/>
            <w:noWrap/>
          </w:tcPr>
          <w:p w14:paraId="356FCF4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B26</w:t>
            </w:r>
          </w:p>
        </w:tc>
        <w:tc>
          <w:tcPr>
            <w:tcW w:w="4284" w:type="dxa"/>
          </w:tcPr>
          <w:p w14:paraId="1D6ED75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3b</w:t>
            </w:r>
          </w:p>
        </w:tc>
        <w:tc>
          <w:tcPr>
            <w:tcW w:w="865" w:type="dxa"/>
            <w:noWrap/>
            <w:vAlign w:val="center"/>
          </w:tcPr>
          <w:p w14:paraId="4047FF9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5244B2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C63B2B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17CCF6D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D27866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05B080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F4F2D9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FFFFFF"/>
            <w:noWrap/>
            <w:vAlign w:val="center"/>
          </w:tcPr>
          <w:p w14:paraId="3B94ACC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FFFFFF"/>
            <w:vAlign w:val="center"/>
          </w:tcPr>
          <w:p w14:paraId="51B6487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bl>
    <w:p w14:paraId="6977D4D7" w14:textId="77777777" w:rsidR="00722A47" w:rsidRPr="00722A47" w:rsidRDefault="00722A47" w:rsidP="00722A47">
      <w:pPr>
        <w:spacing w:before="0" w:after="0"/>
        <w:ind w:left="170" w:hanging="170"/>
        <w:jc w:val="left"/>
        <w:rPr>
          <w:rFonts w:ascii="Times New Roman" w:eastAsia="Times New Roman" w:hAnsi="Times New Roman" w:cs="Times New Roman"/>
          <w:sz w:val="16"/>
          <w:szCs w:val="20"/>
          <w:lang w:eastAsia="de-DE"/>
        </w:rPr>
      </w:pPr>
      <w:r w:rsidRPr="00722A47">
        <w:rPr>
          <w:rFonts w:ascii="Times New Roman" w:eastAsia="Times New Roman" w:hAnsi="Times New Roman" w:cs="Times New Roman"/>
          <w:sz w:val="16"/>
          <w:szCs w:val="20"/>
          <w:lang w:eastAsia="de-DE"/>
        </w:rPr>
        <w:t xml:space="preserve">1) Zulässig, wenn Vanadium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170 µg/l.</w:t>
      </w:r>
    </w:p>
    <w:p w14:paraId="352D2083" w14:textId="77777777" w:rsidR="00722A47" w:rsidRPr="00722A47" w:rsidRDefault="00722A47" w:rsidP="00722A47">
      <w:pPr>
        <w:spacing w:before="0" w:after="0"/>
        <w:ind w:left="170" w:hanging="170"/>
        <w:jc w:val="left"/>
        <w:rPr>
          <w:rFonts w:ascii="Times New Roman" w:eastAsia="Times New Roman" w:hAnsi="Times New Roman" w:cs="Times New Roman"/>
          <w:sz w:val="16"/>
          <w:szCs w:val="20"/>
          <w:lang w:eastAsia="de-DE"/>
        </w:rPr>
      </w:pPr>
      <w:r w:rsidRPr="00722A47">
        <w:rPr>
          <w:rFonts w:ascii="Times New Roman" w:eastAsia="Times New Roman" w:hAnsi="Times New Roman" w:cs="Times New Roman"/>
          <w:sz w:val="16"/>
          <w:szCs w:val="20"/>
          <w:lang w:eastAsia="de-DE"/>
        </w:rPr>
        <w:t xml:space="preserve">2) Zulässig, wenn Chrom, ges.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320 µg/l, Kupfer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230 µg/</w:t>
      </w:r>
      <w:proofErr w:type="gramStart"/>
      <w:r w:rsidRPr="00722A47">
        <w:rPr>
          <w:rFonts w:ascii="Times New Roman" w:eastAsia="Times New Roman" w:hAnsi="Times New Roman" w:cs="Times New Roman"/>
          <w:sz w:val="16"/>
          <w:szCs w:val="20"/>
          <w:lang w:eastAsia="de-DE"/>
        </w:rPr>
        <w:t>l  und</w:t>
      </w:r>
      <w:proofErr w:type="gramEnd"/>
      <w:r w:rsidRPr="00722A47">
        <w:rPr>
          <w:rFonts w:ascii="Times New Roman" w:eastAsia="Times New Roman" w:hAnsi="Times New Roman" w:cs="Times New Roman"/>
          <w:sz w:val="16"/>
          <w:szCs w:val="20"/>
          <w:lang w:eastAsia="de-DE"/>
        </w:rPr>
        <w:t xml:space="preserve"> Vanadium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120 µg/l.</w:t>
      </w:r>
    </w:p>
    <w:p w14:paraId="1F45045A" w14:textId="77777777" w:rsidR="00722A47" w:rsidRDefault="00722A47" w:rsidP="00722A47">
      <w:pPr>
        <w:spacing w:before="0" w:after="0"/>
        <w:ind w:left="170" w:hanging="170"/>
        <w:jc w:val="left"/>
        <w:rPr>
          <w:rFonts w:ascii="Times New Roman" w:eastAsia="Times New Roman" w:hAnsi="Times New Roman" w:cs="Times New Roman"/>
          <w:sz w:val="16"/>
          <w:szCs w:val="20"/>
          <w:lang w:eastAsia="de-DE"/>
        </w:rPr>
      </w:pPr>
      <w:r w:rsidRPr="00722A47">
        <w:rPr>
          <w:rFonts w:ascii="Times New Roman" w:eastAsia="Times New Roman" w:hAnsi="Times New Roman" w:cs="Times New Roman"/>
          <w:sz w:val="16"/>
          <w:szCs w:val="20"/>
          <w:lang w:eastAsia="de-DE"/>
        </w:rPr>
        <w:t xml:space="preserve">3) Zulässig, wenn Vanadium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340 µg/l.</w:t>
      </w:r>
    </w:p>
    <w:p w14:paraId="58B1E5EA" w14:textId="2669515F" w:rsidR="00722A47" w:rsidRPr="00722A47" w:rsidRDefault="00722A47" w:rsidP="00722A47">
      <w:pPr>
        <w:pStyle w:val="berschrift1"/>
      </w:pPr>
      <w:r>
        <w:rPr>
          <w:lang w:eastAsia="de-DE"/>
        </w:rPr>
        <w:br w:type="page"/>
      </w:r>
      <w:r w:rsidRPr="008D0377">
        <w:lastRenderedPageBreak/>
        <w:t>Tabelle 10: Recycling-Baustoff der Klasse 3 (RC-3)</w:t>
      </w:r>
    </w:p>
    <w:p w14:paraId="3BCE364C" w14:textId="77777777" w:rsidR="00722A47" w:rsidRPr="00722A47" w:rsidRDefault="00722A47" w:rsidP="00722A47">
      <w:pPr>
        <w:keepNext/>
        <w:spacing w:before="0" w:after="200"/>
        <w:jc w:val="left"/>
        <w:rPr>
          <w:rFonts w:ascii="Times New Roman" w:eastAsia="Calibri" w:hAnsi="Times New Roman" w:cs="Times New Roman"/>
          <w:b/>
          <w:sz w:val="18"/>
          <w:szCs w:val="18"/>
        </w:rPr>
      </w:pPr>
    </w:p>
    <w:tbl>
      <w:tblPr>
        <w:tblW w:w="11562" w:type="dxa"/>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8"/>
        <w:gridCol w:w="4284"/>
        <w:gridCol w:w="865"/>
        <w:gridCol w:w="675"/>
        <w:gridCol w:w="1008"/>
        <w:gridCol w:w="567"/>
        <w:gridCol w:w="850"/>
        <w:gridCol w:w="574"/>
        <w:gridCol w:w="844"/>
        <w:gridCol w:w="567"/>
        <w:gridCol w:w="850"/>
      </w:tblGrid>
      <w:tr w:rsidR="00722A47" w:rsidRPr="00722A47" w14:paraId="0836A2A9" w14:textId="77777777" w:rsidTr="004954C9">
        <w:trPr>
          <w:trHeight w:val="330"/>
        </w:trPr>
        <w:tc>
          <w:tcPr>
            <w:tcW w:w="11562" w:type="dxa"/>
            <w:gridSpan w:val="11"/>
            <w:noWrap/>
            <w:vAlign w:val="bottom"/>
          </w:tcPr>
          <w:p w14:paraId="7105D7D9" w14:textId="77777777" w:rsidR="00722A47" w:rsidRPr="00722A47" w:rsidRDefault="00722A47" w:rsidP="00722A47">
            <w:pPr>
              <w:spacing w:before="0" w:after="0"/>
              <w:jc w:val="center"/>
              <w:rPr>
                <w:rFonts w:ascii="Times New Roman" w:eastAsia="Times New Roman" w:hAnsi="Times New Roman" w:cs="Times New Roman"/>
                <w:b/>
                <w:bCs/>
                <w:sz w:val="24"/>
                <w:szCs w:val="24"/>
                <w:lang w:eastAsia="de-DE"/>
              </w:rPr>
            </w:pPr>
            <w:r w:rsidRPr="00722A47">
              <w:rPr>
                <w:rFonts w:ascii="Times New Roman" w:eastAsia="Times New Roman" w:hAnsi="Times New Roman" w:cs="Times New Roman"/>
                <w:b/>
                <w:sz w:val="24"/>
                <w:szCs w:val="20"/>
                <w:lang w:eastAsia="de-DE"/>
              </w:rPr>
              <w:br w:type="page"/>
            </w:r>
            <w:r w:rsidRPr="00722A47">
              <w:rPr>
                <w:rFonts w:ascii="Times New Roman" w:eastAsia="Times New Roman" w:hAnsi="Times New Roman" w:cs="Times New Roman"/>
                <w:b/>
                <w:sz w:val="24"/>
                <w:szCs w:val="24"/>
                <w:lang w:eastAsia="de-DE"/>
              </w:rPr>
              <w:t>Recycling-Baustoff der Klasse 3 (</w:t>
            </w:r>
            <w:r w:rsidRPr="00722A47">
              <w:rPr>
                <w:rFonts w:ascii="Times New Roman" w:eastAsia="Times New Roman" w:hAnsi="Times New Roman" w:cs="Tahoma"/>
                <w:b/>
                <w:bCs/>
                <w:sz w:val="24"/>
                <w:szCs w:val="24"/>
                <w:lang w:eastAsia="de-DE"/>
              </w:rPr>
              <w:t>RC-3)</w:t>
            </w:r>
          </w:p>
        </w:tc>
      </w:tr>
      <w:tr w:rsidR="00722A47" w:rsidRPr="00722A47" w14:paraId="4FAC2EA7" w14:textId="77777777" w:rsidTr="004954C9">
        <w:trPr>
          <w:trHeight w:val="20"/>
        </w:trPr>
        <w:tc>
          <w:tcPr>
            <w:tcW w:w="4762" w:type="dxa"/>
            <w:gridSpan w:val="2"/>
            <w:vMerge w:val="restart"/>
            <w:shd w:val="clear" w:color="auto" w:fill="auto"/>
            <w:noWrap/>
          </w:tcPr>
          <w:p w14:paraId="330AE691"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Einbauweise</w:t>
            </w:r>
          </w:p>
        </w:tc>
        <w:tc>
          <w:tcPr>
            <w:tcW w:w="6800" w:type="dxa"/>
            <w:gridSpan w:val="9"/>
            <w:shd w:val="clear" w:color="auto" w:fill="auto"/>
            <w:noWrap/>
            <w:vAlign w:val="center"/>
          </w:tcPr>
          <w:p w14:paraId="443C12DB"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Eigenschaft der Grundwasserdeckschicht</w:t>
            </w:r>
          </w:p>
        </w:tc>
      </w:tr>
      <w:tr w:rsidR="00722A47" w:rsidRPr="00722A47" w14:paraId="1FB9914F" w14:textId="77777777" w:rsidTr="004954C9">
        <w:trPr>
          <w:trHeight w:val="20"/>
        </w:trPr>
        <w:tc>
          <w:tcPr>
            <w:tcW w:w="4762" w:type="dxa"/>
            <w:gridSpan w:val="2"/>
            <w:vMerge/>
            <w:shd w:val="clear" w:color="auto" w:fill="auto"/>
            <w:noWrap/>
            <w:vAlign w:val="center"/>
          </w:tcPr>
          <w:p w14:paraId="1B86A75E" w14:textId="77777777" w:rsidR="00722A47" w:rsidRPr="00722A47" w:rsidRDefault="00722A47" w:rsidP="00722A47">
            <w:pPr>
              <w:spacing w:before="0" w:after="0"/>
              <w:jc w:val="center"/>
              <w:rPr>
                <w:rFonts w:ascii="Times New Roman" w:eastAsia="Times New Roman" w:hAnsi="Times New Roman" w:cs="Times New Roman"/>
                <w:sz w:val="20"/>
                <w:szCs w:val="24"/>
                <w:lang w:eastAsia="de-DE"/>
              </w:rPr>
            </w:pPr>
          </w:p>
        </w:tc>
        <w:tc>
          <w:tcPr>
            <w:tcW w:w="2548" w:type="dxa"/>
            <w:gridSpan w:val="3"/>
            <w:shd w:val="clear" w:color="auto" w:fill="auto"/>
            <w:noWrap/>
            <w:vAlign w:val="center"/>
          </w:tcPr>
          <w:p w14:paraId="17CF8DCE"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außerhalb von</w:t>
            </w:r>
          </w:p>
          <w:p w14:paraId="107FC459"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c>
          <w:tcPr>
            <w:tcW w:w="4252" w:type="dxa"/>
            <w:gridSpan w:val="6"/>
            <w:shd w:val="clear" w:color="auto" w:fill="auto"/>
            <w:noWrap/>
            <w:vAlign w:val="center"/>
          </w:tcPr>
          <w:p w14:paraId="109C39C4"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innerhalb von</w:t>
            </w:r>
          </w:p>
          <w:p w14:paraId="5460C6DB"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r>
      <w:tr w:rsidR="00722A47" w:rsidRPr="00722A47" w14:paraId="2705A68A" w14:textId="77777777" w:rsidTr="004954C9">
        <w:trPr>
          <w:trHeight w:val="20"/>
        </w:trPr>
        <w:tc>
          <w:tcPr>
            <w:tcW w:w="4762" w:type="dxa"/>
            <w:gridSpan w:val="2"/>
            <w:vMerge/>
            <w:shd w:val="clear" w:color="auto" w:fill="auto"/>
            <w:noWrap/>
            <w:vAlign w:val="center"/>
          </w:tcPr>
          <w:p w14:paraId="2D083DB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30339FC5"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proofErr w:type="spellStart"/>
            <w:r w:rsidRPr="00722A47">
              <w:rPr>
                <w:rFonts w:ascii="Times New Roman" w:eastAsia="Times New Roman" w:hAnsi="Times New Roman" w:cs="Times New Roman"/>
                <w:sz w:val="20"/>
                <w:szCs w:val="20"/>
                <w:lang w:eastAsia="de-DE"/>
              </w:rPr>
              <w:t>un</w:t>
            </w:r>
            <w:proofErr w:type="spellEnd"/>
            <w:r w:rsidRPr="00722A47">
              <w:rPr>
                <w:rFonts w:ascii="Times New Roman" w:eastAsia="Times New Roman" w:hAnsi="Times New Roman" w:cs="Times New Roman"/>
                <w:sz w:val="20"/>
                <w:szCs w:val="20"/>
                <w:lang w:eastAsia="de-DE"/>
              </w:rPr>
              <w:t>-günstig</w:t>
            </w:r>
          </w:p>
        </w:tc>
        <w:tc>
          <w:tcPr>
            <w:tcW w:w="1683" w:type="dxa"/>
            <w:gridSpan w:val="2"/>
            <w:shd w:val="clear" w:color="auto" w:fill="auto"/>
            <w:noWrap/>
            <w:vAlign w:val="center"/>
          </w:tcPr>
          <w:p w14:paraId="478514B2"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c>
          <w:tcPr>
            <w:tcW w:w="4252" w:type="dxa"/>
            <w:gridSpan w:val="6"/>
            <w:shd w:val="clear" w:color="auto" w:fill="auto"/>
            <w:noWrap/>
            <w:vAlign w:val="center"/>
          </w:tcPr>
          <w:p w14:paraId="5777B91E"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r>
      <w:tr w:rsidR="00722A47" w:rsidRPr="00722A47" w14:paraId="7E291287" w14:textId="77777777" w:rsidTr="004954C9">
        <w:trPr>
          <w:trHeight w:val="20"/>
        </w:trPr>
        <w:tc>
          <w:tcPr>
            <w:tcW w:w="4762" w:type="dxa"/>
            <w:gridSpan w:val="2"/>
            <w:vMerge/>
            <w:shd w:val="clear" w:color="auto" w:fill="auto"/>
            <w:noWrap/>
            <w:vAlign w:val="center"/>
          </w:tcPr>
          <w:p w14:paraId="1ED2D28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val="restart"/>
            <w:shd w:val="clear" w:color="auto" w:fill="auto"/>
            <w:noWrap/>
            <w:vAlign w:val="bottom"/>
          </w:tcPr>
          <w:p w14:paraId="18E3491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val="restart"/>
            <w:shd w:val="clear" w:color="auto" w:fill="auto"/>
            <w:noWrap/>
            <w:vAlign w:val="center"/>
          </w:tcPr>
          <w:p w14:paraId="62775B6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1008" w:type="dxa"/>
            <w:vMerge w:val="restart"/>
            <w:shd w:val="clear" w:color="auto" w:fill="auto"/>
            <w:noWrap/>
            <w:vAlign w:val="center"/>
          </w:tcPr>
          <w:p w14:paraId="17FA8824" w14:textId="4AACB8E4"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01457B03" w14:textId="5F3DDC24"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618CE2D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1417" w:type="dxa"/>
            <w:gridSpan w:val="2"/>
            <w:shd w:val="clear" w:color="auto" w:fill="auto"/>
            <w:noWrap/>
            <w:vAlign w:val="center"/>
          </w:tcPr>
          <w:p w14:paraId="74E6B67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A</w:t>
            </w:r>
          </w:p>
        </w:tc>
        <w:tc>
          <w:tcPr>
            <w:tcW w:w="1418" w:type="dxa"/>
            <w:gridSpan w:val="2"/>
            <w:shd w:val="clear" w:color="auto" w:fill="auto"/>
            <w:noWrap/>
            <w:vAlign w:val="center"/>
          </w:tcPr>
          <w:p w14:paraId="51F28AD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B</w:t>
            </w:r>
          </w:p>
        </w:tc>
        <w:tc>
          <w:tcPr>
            <w:tcW w:w="1417" w:type="dxa"/>
            <w:gridSpan w:val="2"/>
            <w:shd w:val="clear" w:color="auto" w:fill="auto"/>
            <w:noWrap/>
            <w:vAlign w:val="center"/>
          </w:tcPr>
          <w:p w14:paraId="60C4EF9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Wasservor-</w:t>
            </w:r>
          </w:p>
        </w:tc>
      </w:tr>
      <w:tr w:rsidR="00722A47" w:rsidRPr="00722A47" w14:paraId="5432B06B" w14:textId="77777777" w:rsidTr="004954C9">
        <w:trPr>
          <w:trHeight w:val="80"/>
        </w:trPr>
        <w:tc>
          <w:tcPr>
            <w:tcW w:w="4762" w:type="dxa"/>
            <w:gridSpan w:val="2"/>
            <w:vMerge/>
            <w:shd w:val="clear" w:color="auto" w:fill="auto"/>
            <w:noWrap/>
            <w:vAlign w:val="center"/>
          </w:tcPr>
          <w:p w14:paraId="08B8C39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3334967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037DB49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008" w:type="dxa"/>
            <w:vMerge/>
            <w:shd w:val="clear" w:color="auto" w:fill="auto"/>
            <w:noWrap/>
            <w:vAlign w:val="center"/>
          </w:tcPr>
          <w:p w14:paraId="0886D34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417" w:type="dxa"/>
            <w:gridSpan w:val="2"/>
            <w:shd w:val="clear" w:color="auto" w:fill="auto"/>
            <w:noWrap/>
            <w:vAlign w:val="center"/>
          </w:tcPr>
          <w:p w14:paraId="37637E3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III</w:t>
            </w:r>
          </w:p>
        </w:tc>
        <w:tc>
          <w:tcPr>
            <w:tcW w:w="1418" w:type="dxa"/>
            <w:gridSpan w:val="2"/>
            <w:shd w:val="clear" w:color="auto" w:fill="auto"/>
            <w:noWrap/>
            <w:vAlign w:val="center"/>
          </w:tcPr>
          <w:p w14:paraId="7EEDEBC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IV</w:t>
            </w:r>
          </w:p>
        </w:tc>
        <w:tc>
          <w:tcPr>
            <w:tcW w:w="1417" w:type="dxa"/>
            <w:gridSpan w:val="2"/>
            <w:shd w:val="clear" w:color="auto" w:fill="auto"/>
            <w:noWrap/>
            <w:vAlign w:val="center"/>
          </w:tcPr>
          <w:p w14:paraId="087A3AE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ranggebiete</w:t>
            </w:r>
          </w:p>
        </w:tc>
      </w:tr>
      <w:tr w:rsidR="00722A47" w:rsidRPr="00722A47" w14:paraId="57DE0E88" w14:textId="77777777" w:rsidTr="004954C9">
        <w:trPr>
          <w:trHeight w:val="80"/>
        </w:trPr>
        <w:tc>
          <w:tcPr>
            <w:tcW w:w="4762" w:type="dxa"/>
            <w:gridSpan w:val="2"/>
            <w:vMerge/>
            <w:shd w:val="clear" w:color="auto" w:fill="auto"/>
            <w:noWrap/>
            <w:vAlign w:val="center"/>
          </w:tcPr>
          <w:p w14:paraId="37A6E66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18E25FC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3F81250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008" w:type="dxa"/>
            <w:vMerge/>
            <w:shd w:val="clear" w:color="auto" w:fill="auto"/>
            <w:noWrap/>
            <w:vAlign w:val="center"/>
          </w:tcPr>
          <w:p w14:paraId="5875EE7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567" w:type="dxa"/>
            <w:shd w:val="clear" w:color="auto" w:fill="auto"/>
            <w:noWrap/>
            <w:vAlign w:val="center"/>
          </w:tcPr>
          <w:p w14:paraId="3F4AD15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850" w:type="dxa"/>
            <w:shd w:val="clear" w:color="auto" w:fill="auto"/>
            <w:vAlign w:val="center"/>
          </w:tcPr>
          <w:p w14:paraId="344D6BE4" w14:textId="63333EB2"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1930E4A5" w14:textId="3FF928E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03C0471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74" w:type="dxa"/>
            <w:shd w:val="clear" w:color="auto" w:fill="auto"/>
            <w:noWrap/>
            <w:vAlign w:val="center"/>
          </w:tcPr>
          <w:p w14:paraId="0274EDB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844" w:type="dxa"/>
            <w:shd w:val="clear" w:color="auto" w:fill="auto"/>
            <w:vAlign w:val="center"/>
          </w:tcPr>
          <w:p w14:paraId="5AD05893" w14:textId="54A2F185"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05E2EA1B" w14:textId="0A185FB9"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6D3BCB1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67" w:type="dxa"/>
            <w:shd w:val="clear" w:color="auto" w:fill="auto"/>
            <w:noWrap/>
            <w:vAlign w:val="center"/>
          </w:tcPr>
          <w:p w14:paraId="29EB6E4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850" w:type="dxa"/>
            <w:shd w:val="clear" w:color="auto" w:fill="auto"/>
            <w:vAlign w:val="center"/>
          </w:tcPr>
          <w:p w14:paraId="47F163F1" w14:textId="641CFEF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1293F476" w14:textId="476E43DD"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5116198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r>
      <w:tr w:rsidR="00722A47" w:rsidRPr="00722A47" w14:paraId="55382759" w14:textId="77777777" w:rsidTr="004954C9">
        <w:trPr>
          <w:trHeight w:val="111"/>
        </w:trPr>
        <w:tc>
          <w:tcPr>
            <w:tcW w:w="4762" w:type="dxa"/>
            <w:gridSpan w:val="2"/>
            <w:vMerge/>
            <w:shd w:val="clear" w:color="auto" w:fill="auto"/>
            <w:noWrap/>
            <w:vAlign w:val="center"/>
          </w:tcPr>
          <w:p w14:paraId="7CE063F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47684F3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1</w:t>
            </w:r>
          </w:p>
        </w:tc>
        <w:tc>
          <w:tcPr>
            <w:tcW w:w="675" w:type="dxa"/>
            <w:shd w:val="clear" w:color="auto" w:fill="auto"/>
            <w:noWrap/>
            <w:vAlign w:val="center"/>
          </w:tcPr>
          <w:p w14:paraId="07B4430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2</w:t>
            </w:r>
          </w:p>
        </w:tc>
        <w:tc>
          <w:tcPr>
            <w:tcW w:w="1008" w:type="dxa"/>
            <w:shd w:val="clear" w:color="auto" w:fill="auto"/>
            <w:noWrap/>
            <w:vAlign w:val="center"/>
          </w:tcPr>
          <w:p w14:paraId="297B5C8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3</w:t>
            </w:r>
          </w:p>
        </w:tc>
        <w:tc>
          <w:tcPr>
            <w:tcW w:w="1417" w:type="dxa"/>
            <w:gridSpan w:val="2"/>
            <w:shd w:val="clear" w:color="auto" w:fill="auto"/>
            <w:noWrap/>
            <w:vAlign w:val="center"/>
          </w:tcPr>
          <w:p w14:paraId="7C994E6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4</w:t>
            </w:r>
          </w:p>
        </w:tc>
        <w:tc>
          <w:tcPr>
            <w:tcW w:w="1418" w:type="dxa"/>
            <w:gridSpan w:val="2"/>
            <w:shd w:val="clear" w:color="auto" w:fill="auto"/>
            <w:noWrap/>
            <w:vAlign w:val="center"/>
          </w:tcPr>
          <w:p w14:paraId="2060C6F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5</w:t>
            </w:r>
          </w:p>
        </w:tc>
        <w:tc>
          <w:tcPr>
            <w:tcW w:w="1417" w:type="dxa"/>
            <w:gridSpan w:val="2"/>
            <w:shd w:val="clear" w:color="auto" w:fill="auto"/>
            <w:noWrap/>
            <w:vAlign w:val="center"/>
          </w:tcPr>
          <w:p w14:paraId="3BBCCE0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6</w:t>
            </w:r>
          </w:p>
        </w:tc>
      </w:tr>
      <w:tr w:rsidR="00722A47" w:rsidRPr="00722A47" w14:paraId="2644B8B9" w14:textId="77777777" w:rsidTr="004954C9">
        <w:trPr>
          <w:trHeight w:val="20"/>
        </w:trPr>
        <w:tc>
          <w:tcPr>
            <w:tcW w:w="478" w:type="dxa"/>
            <w:noWrap/>
          </w:tcPr>
          <w:p w14:paraId="664A6E8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w:t>
            </w:r>
          </w:p>
        </w:tc>
        <w:tc>
          <w:tcPr>
            <w:tcW w:w="4284" w:type="dxa"/>
          </w:tcPr>
          <w:p w14:paraId="507E174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Schotteroberbau der Bahnbauweise Standard Damm </w:t>
            </w:r>
          </w:p>
        </w:tc>
        <w:tc>
          <w:tcPr>
            <w:tcW w:w="865" w:type="dxa"/>
            <w:noWrap/>
            <w:vAlign w:val="center"/>
          </w:tcPr>
          <w:p w14:paraId="1050563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50837C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57507ED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461E1AA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0BF2374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663EEC1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FFFFFF"/>
            <w:vAlign w:val="center"/>
          </w:tcPr>
          <w:p w14:paraId="16F3232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shd w:val="clear" w:color="auto" w:fill="FFFFFF"/>
            <w:noWrap/>
            <w:vAlign w:val="center"/>
          </w:tcPr>
          <w:p w14:paraId="0897E33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shd w:val="clear" w:color="auto" w:fill="FFFFFF"/>
            <w:vAlign w:val="center"/>
          </w:tcPr>
          <w:p w14:paraId="45F36A6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07700A15" w14:textId="77777777" w:rsidTr="004954C9">
        <w:trPr>
          <w:trHeight w:val="20"/>
        </w:trPr>
        <w:tc>
          <w:tcPr>
            <w:tcW w:w="478" w:type="dxa"/>
            <w:noWrap/>
          </w:tcPr>
          <w:p w14:paraId="356F4E8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w:t>
            </w:r>
          </w:p>
        </w:tc>
        <w:tc>
          <w:tcPr>
            <w:tcW w:w="4284" w:type="dxa"/>
          </w:tcPr>
          <w:p w14:paraId="0A234E4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Standard Einschnitt</w:t>
            </w:r>
          </w:p>
        </w:tc>
        <w:tc>
          <w:tcPr>
            <w:tcW w:w="865" w:type="dxa"/>
            <w:noWrap/>
            <w:vAlign w:val="center"/>
          </w:tcPr>
          <w:p w14:paraId="077FDCF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F4C559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3E7BFFE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36154BC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6A08419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59C84DB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FFFFFF"/>
            <w:vAlign w:val="center"/>
          </w:tcPr>
          <w:p w14:paraId="745935F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shd w:val="clear" w:color="auto" w:fill="FFFFFF"/>
            <w:noWrap/>
            <w:vAlign w:val="center"/>
          </w:tcPr>
          <w:p w14:paraId="1D79686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shd w:val="clear" w:color="auto" w:fill="FFFFFF"/>
            <w:vAlign w:val="center"/>
          </w:tcPr>
          <w:p w14:paraId="55A71F7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3EA3EBAD" w14:textId="77777777" w:rsidTr="004954C9">
        <w:trPr>
          <w:trHeight w:val="20"/>
        </w:trPr>
        <w:tc>
          <w:tcPr>
            <w:tcW w:w="478" w:type="dxa"/>
            <w:noWrap/>
          </w:tcPr>
          <w:p w14:paraId="703F6AE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B3</w:t>
            </w:r>
          </w:p>
        </w:tc>
        <w:tc>
          <w:tcPr>
            <w:tcW w:w="4284" w:type="dxa"/>
          </w:tcPr>
          <w:p w14:paraId="4BF5A86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w:t>
            </w:r>
          </w:p>
        </w:tc>
        <w:tc>
          <w:tcPr>
            <w:tcW w:w="865" w:type="dxa"/>
            <w:noWrap/>
            <w:vAlign w:val="center"/>
          </w:tcPr>
          <w:p w14:paraId="2A4ACBD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27ACF1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0C66C8D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5E32ED9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62D28B4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42353A0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FFFFFF"/>
            <w:vAlign w:val="center"/>
          </w:tcPr>
          <w:p w14:paraId="0F00946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shd w:val="clear" w:color="auto" w:fill="FFFFFF"/>
            <w:noWrap/>
            <w:vAlign w:val="center"/>
          </w:tcPr>
          <w:p w14:paraId="24494C0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shd w:val="clear" w:color="auto" w:fill="FFFFFF"/>
            <w:vAlign w:val="center"/>
          </w:tcPr>
          <w:p w14:paraId="2AF61C2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088F2CA1" w14:textId="77777777" w:rsidTr="004954C9">
        <w:trPr>
          <w:trHeight w:val="20"/>
        </w:trPr>
        <w:tc>
          <w:tcPr>
            <w:tcW w:w="478" w:type="dxa"/>
            <w:noWrap/>
          </w:tcPr>
          <w:p w14:paraId="319512F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B4</w:t>
            </w:r>
          </w:p>
        </w:tc>
        <w:tc>
          <w:tcPr>
            <w:tcW w:w="4284" w:type="dxa"/>
          </w:tcPr>
          <w:p w14:paraId="3F0502F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 modifiziert</w:t>
            </w:r>
          </w:p>
        </w:tc>
        <w:tc>
          <w:tcPr>
            <w:tcW w:w="865" w:type="dxa"/>
            <w:noWrap/>
            <w:vAlign w:val="center"/>
          </w:tcPr>
          <w:p w14:paraId="3E4EAB6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B12255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322F912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65DFC26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5431EFB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1AC51FF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FFFFFF"/>
            <w:vAlign w:val="center"/>
          </w:tcPr>
          <w:p w14:paraId="1767DED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shd w:val="clear" w:color="auto" w:fill="FFFFFF"/>
            <w:noWrap/>
            <w:vAlign w:val="center"/>
          </w:tcPr>
          <w:p w14:paraId="06DD642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shd w:val="clear" w:color="auto" w:fill="FFFFFF"/>
            <w:vAlign w:val="center"/>
          </w:tcPr>
          <w:p w14:paraId="7657276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6480A687" w14:textId="77777777" w:rsidTr="004954C9">
        <w:trPr>
          <w:trHeight w:val="20"/>
        </w:trPr>
        <w:tc>
          <w:tcPr>
            <w:tcW w:w="478" w:type="dxa"/>
            <w:noWrap/>
          </w:tcPr>
          <w:p w14:paraId="77AFD55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B5</w:t>
            </w:r>
          </w:p>
        </w:tc>
        <w:tc>
          <w:tcPr>
            <w:tcW w:w="4284" w:type="dxa"/>
          </w:tcPr>
          <w:p w14:paraId="2F98FF1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1B7EF91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Bahnbauweise Standard Damm </w:t>
            </w:r>
          </w:p>
        </w:tc>
        <w:tc>
          <w:tcPr>
            <w:tcW w:w="865" w:type="dxa"/>
            <w:noWrap/>
            <w:vAlign w:val="center"/>
          </w:tcPr>
          <w:p w14:paraId="712691C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FB2DEB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3C16526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567" w:type="dxa"/>
            <w:noWrap/>
            <w:vAlign w:val="center"/>
          </w:tcPr>
          <w:p w14:paraId="3F64A12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1287E7B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02D0D29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auto"/>
            <w:vAlign w:val="center"/>
          </w:tcPr>
          <w:p w14:paraId="202C8BE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67" w:type="dxa"/>
            <w:shd w:val="clear" w:color="auto" w:fill="auto"/>
            <w:noWrap/>
            <w:vAlign w:val="center"/>
          </w:tcPr>
          <w:p w14:paraId="6800FA7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vAlign w:val="center"/>
          </w:tcPr>
          <w:p w14:paraId="089558E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r>
      <w:tr w:rsidR="00722A47" w:rsidRPr="00722A47" w14:paraId="6EB134C9" w14:textId="77777777" w:rsidTr="004954C9">
        <w:trPr>
          <w:trHeight w:val="20"/>
        </w:trPr>
        <w:tc>
          <w:tcPr>
            <w:tcW w:w="478" w:type="dxa"/>
            <w:noWrap/>
          </w:tcPr>
          <w:p w14:paraId="3681789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B6</w:t>
            </w:r>
          </w:p>
        </w:tc>
        <w:tc>
          <w:tcPr>
            <w:tcW w:w="4284" w:type="dxa"/>
          </w:tcPr>
          <w:p w14:paraId="1FFCE44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43CDFE9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Standard Einschnitt</w:t>
            </w:r>
          </w:p>
        </w:tc>
        <w:tc>
          <w:tcPr>
            <w:tcW w:w="865" w:type="dxa"/>
            <w:noWrap/>
            <w:vAlign w:val="center"/>
          </w:tcPr>
          <w:p w14:paraId="50AD94D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E32F03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7336431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67" w:type="dxa"/>
            <w:noWrap/>
            <w:vAlign w:val="center"/>
          </w:tcPr>
          <w:p w14:paraId="03B8FD1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6AD2EBB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38A9D5C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auto"/>
            <w:vAlign w:val="center"/>
          </w:tcPr>
          <w:p w14:paraId="667BD8E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67" w:type="dxa"/>
            <w:shd w:val="clear" w:color="auto" w:fill="auto"/>
            <w:noWrap/>
            <w:vAlign w:val="center"/>
          </w:tcPr>
          <w:p w14:paraId="383E434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vAlign w:val="center"/>
          </w:tcPr>
          <w:p w14:paraId="47A70D2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r>
      <w:tr w:rsidR="00722A47" w:rsidRPr="00722A47" w14:paraId="465D4B53" w14:textId="77777777" w:rsidTr="004954C9">
        <w:trPr>
          <w:trHeight w:val="20"/>
        </w:trPr>
        <w:tc>
          <w:tcPr>
            <w:tcW w:w="478" w:type="dxa"/>
            <w:noWrap/>
          </w:tcPr>
          <w:p w14:paraId="1F43012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B7</w:t>
            </w:r>
          </w:p>
        </w:tc>
        <w:tc>
          <w:tcPr>
            <w:tcW w:w="4284" w:type="dxa"/>
          </w:tcPr>
          <w:p w14:paraId="688EF71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4FA9748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32E977E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1AAA11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49F352C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16BAE76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1B4BDE6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489F6DD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auto"/>
            <w:vAlign w:val="center"/>
          </w:tcPr>
          <w:p w14:paraId="274647F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67" w:type="dxa"/>
            <w:shd w:val="clear" w:color="auto" w:fill="auto"/>
            <w:noWrap/>
            <w:vAlign w:val="center"/>
          </w:tcPr>
          <w:p w14:paraId="4E44C88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shd w:val="clear" w:color="auto" w:fill="auto"/>
            <w:vAlign w:val="center"/>
          </w:tcPr>
          <w:p w14:paraId="3FCD69B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F917083" w14:textId="77777777" w:rsidTr="004954C9">
        <w:trPr>
          <w:trHeight w:val="20"/>
        </w:trPr>
        <w:tc>
          <w:tcPr>
            <w:tcW w:w="478" w:type="dxa"/>
            <w:noWrap/>
          </w:tcPr>
          <w:p w14:paraId="041F91B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B8</w:t>
            </w:r>
          </w:p>
        </w:tc>
        <w:tc>
          <w:tcPr>
            <w:tcW w:w="4284" w:type="dxa"/>
          </w:tcPr>
          <w:p w14:paraId="4A24BAF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7E249D9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5DBFB01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DD2EED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1008" w:type="dxa"/>
            <w:noWrap/>
            <w:vAlign w:val="center"/>
          </w:tcPr>
          <w:p w14:paraId="4022A14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shd w:val="clear" w:color="auto" w:fill="auto"/>
            <w:noWrap/>
            <w:vAlign w:val="center"/>
          </w:tcPr>
          <w:p w14:paraId="0B92DAF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shd w:val="clear" w:color="auto" w:fill="auto"/>
            <w:vAlign w:val="center"/>
          </w:tcPr>
          <w:p w14:paraId="1BE7275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574" w:type="dxa"/>
            <w:shd w:val="clear" w:color="auto" w:fill="auto"/>
            <w:noWrap/>
            <w:vAlign w:val="center"/>
          </w:tcPr>
          <w:p w14:paraId="0DDC5CB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44" w:type="dxa"/>
            <w:shd w:val="clear" w:color="auto" w:fill="auto"/>
            <w:vAlign w:val="center"/>
          </w:tcPr>
          <w:p w14:paraId="59DDAFD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567" w:type="dxa"/>
            <w:shd w:val="clear" w:color="auto" w:fill="auto"/>
            <w:noWrap/>
            <w:vAlign w:val="center"/>
          </w:tcPr>
          <w:p w14:paraId="28AFE9B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850" w:type="dxa"/>
            <w:shd w:val="clear" w:color="auto" w:fill="auto"/>
            <w:vAlign w:val="center"/>
          </w:tcPr>
          <w:p w14:paraId="7FA672D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3B2CB4DF" w14:textId="77777777" w:rsidTr="004954C9">
        <w:trPr>
          <w:trHeight w:val="20"/>
        </w:trPr>
        <w:tc>
          <w:tcPr>
            <w:tcW w:w="478" w:type="dxa"/>
            <w:noWrap/>
          </w:tcPr>
          <w:p w14:paraId="79961E8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B9</w:t>
            </w:r>
          </w:p>
        </w:tc>
        <w:tc>
          <w:tcPr>
            <w:tcW w:w="4284" w:type="dxa"/>
          </w:tcPr>
          <w:p w14:paraId="0F1E82E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208FB73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4473E19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CA325D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09EE9E5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223D3A2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21ED067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1D1DFFB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auto"/>
            <w:vAlign w:val="center"/>
          </w:tcPr>
          <w:p w14:paraId="22E6D17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67" w:type="dxa"/>
            <w:shd w:val="clear" w:color="auto" w:fill="auto"/>
            <w:noWrap/>
            <w:vAlign w:val="center"/>
          </w:tcPr>
          <w:p w14:paraId="0BFE837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shd w:val="clear" w:color="auto" w:fill="auto"/>
            <w:vAlign w:val="center"/>
          </w:tcPr>
          <w:p w14:paraId="3E075AA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5CD46BC1" w14:textId="77777777" w:rsidTr="004954C9">
        <w:trPr>
          <w:trHeight w:val="20"/>
        </w:trPr>
        <w:tc>
          <w:tcPr>
            <w:tcW w:w="478" w:type="dxa"/>
            <w:noWrap/>
          </w:tcPr>
          <w:p w14:paraId="3D23957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B10</w:t>
            </w:r>
          </w:p>
        </w:tc>
        <w:tc>
          <w:tcPr>
            <w:tcW w:w="4284" w:type="dxa"/>
          </w:tcPr>
          <w:p w14:paraId="1929065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55E5F05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7142B35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6E6FA1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0615AE1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08C33D8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451C5A3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6BBD67E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auto"/>
            <w:vAlign w:val="center"/>
          </w:tcPr>
          <w:p w14:paraId="5C4757F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67" w:type="dxa"/>
            <w:shd w:val="clear" w:color="auto" w:fill="auto"/>
            <w:noWrap/>
            <w:vAlign w:val="center"/>
          </w:tcPr>
          <w:p w14:paraId="38076DB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shd w:val="clear" w:color="auto" w:fill="auto"/>
            <w:vAlign w:val="center"/>
          </w:tcPr>
          <w:p w14:paraId="1009A38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63DA3A10" w14:textId="77777777" w:rsidTr="004954C9">
        <w:trPr>
          <w:trHeight w:val="20"/>
        </w:trPr>
        <w:tc>
          <w:tcPr>
            <w:tcW w:w="478" w:type="dxa"/>
            <w:noWrap/>
          </w:tcPr>
          <w:p w14:paraId="5C36BDE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B11</w:t>
            </w:r>
          </w:p>
        </w:tc>
        <w:tc>
          <w:tcPr>
            <w:tcW w:w="4284" w:type="dxa"/>
          </w:tcPr>
          <w:p w14:paraId="3B202B3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Spezielle Bodenschicht der Bahnbauweise H</w:t>
            </w:r>
          </w:p>
        </w:tc>
        <w:tc>
          <w:tcPr>
            <w:tcW w:w="865" w:type="dxa"/>
            <w:noWrap/>
            <w:vAlign w:val="center"/>
          </w:tcPr>
          <w:p w14:paraId="5C27F20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37D67E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7D074BC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1BF2E2B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4FF1579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78B9D0A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FFFFFF"/>
            <w:vAlign w:val="center"/>
          </w:tcPr>
          <w:p w14:paraId="0B87B67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shd w:val="clear" w:color="auto" w:fill="FFFFFF"/>
            <w:noWrap/>
            <w:vAlign w:val="center"/>
          </w:tcPr>
          <w:p w14:paraId="706F0A6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shd w:val="clear" w:color="auto" w:fill="FFFFFF"/>
            <w:vAlign w:val="center"/>
          </w:tcPr>
          <w:p w14:paraId="6EEF0D3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611CD013" w14:textId="77777777" w:rsidTr="004954C9">
        <w:trPr>
          <w:trHeight w:val="20"/>
        </w:trPr>
        <w:tc>
          <w:tcPr>
            <w:tcW w:w="478" w:type="dxa"/>
            <w:noWrap/>
          </w:tcPr>
          <w:p w14:paraId="45F25E3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B12</w:t>
            </w:r>
          </w:p>
        </w:tc>
        <w:tc>
          <w:tcPr>
            <w:tcW w:w="4284" w:type="dxa"/>
          </w:tcPr>
          <w:p w14:paraId="7E162F9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342D71A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Standard Damm </w:t>
            </w:r>
          </w:p>
        </w:tc>
        <w:tc>
          <w:tcPr>
            <w:tcW w:w="865" w:type="dxa"/>
            <w:noWrap/>
            <w:vAlign w:val="center"/>
          </w:tcPr>
          <w:p w14:paraId="4E6CEE0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3F35EE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6A8C82C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2B821BB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396DBB8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41C1176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auto"/>
            <w:vAlign w:val="center"/>
          </w:tcPr>
          <w:p w14:paraId="27AB4B3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67" w:type="dxa"/>
            <w:shd w:val="clear" w:color="auto" w:fill="auto"/>
            <w:noWrap/>
            <w:vAlign w:val="center"/>
          </w:tcPr>
          <w:p w14:paraId="7172634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shd w:val="clear" w:color="auto" w:fill="auto"/>
            <w:vAlign w:val="center"/>
          </w:tcPr>
          <w:p w14:paraId="4C57D89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57A9EC1" w14:textId="77777777" w:rsidTr="004954C9">
        <w:trPr>
          <w:trHeight w:val="20"/>
        </w:trPr>
        <w:tc>
          <w:tcPr>
            <w:tcW w:w="478" w:type="dxa"/>
            <w:noWrap/>
          </w:tcPr>
          <w:p w14:paraId="2967641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B13</w:t>
            </w:r>
          </w:p>
        </w:tc>
        <w:tc>
          <w:tcPr>
            <w:tcW w:w="4284" w:type="dxa"/>
          </w:tcPr>
          <w:p w14:paraId="7E776B2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46564B6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Standard Einschnitt</w:t>
            </w:r>
          </w:p>
        </w:tc>
        <w:tc>
          <w:tcPr>
            <w:tcW w:w="865" w:type="dxa"/>
            <w:noWrap/>
            <w:vAlign w:val="center"/>
          </w:tcPr>
          <w:p w14:paraId="779763B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5D85CC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586B683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2B8951A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4E0F624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3F3AA82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auto"/>
            <w:vAlign w:val="center"/>
          </w:tcPr>
          <w:p w14:paraId="48525A0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67" w:type="dxa"/>
            <w:shd w:val="clear" w:color="auto" w:fill="auto"/>
            <w:noWrap/>
            <w:vAlign w:val="center"/>
          </w:tcPr>
          <w:p w14:paraId="1A559C2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shd w:val="clear" w:color="auto" w:fill="auto"/>
            <w:vAlign w:val="center"/>
          </w:tcPr>
          <w:p w14:paraId="615498E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5427BA94" w14:textId="77777777" w:rsidTr="004954C9">
        <w:trPr>
          <w:trHeight w:val="20"/>
        </w:trPr>
        <w:tc>
          <w:tcPr>
            <w:tcW w:w="478" w:type="dxa"/>
            <w:noWrap/>
          </w:tcPr>
          <w:p w14:paraId="4C28F48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B14</w:t>
            </w:r>
          </w:p>
        </w:tc>
        <w:tc>
          <w:tcPr>
            <w:tcW w:w="4284" w:type="dxa"/>
          </w:tcPr>
          <w:p w14:paraId="5A38E10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H</w:t>
            </w:r>
          </w:p>
        </w:tc>
        <w:tc>
          <w:tcPr>
            <w:tcW w:w="865" w:type="dxa"/>
            <w:noWrap/>
            <w:vAlign w:val="center"/>
          </w:tcPr>
          <w:p w14:paraId="531D1C5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ED5E15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0E31CFD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27FF6F2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0D5720C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6291395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auto"/>
            <w:vAlign w:val="center"/>
          </w:tcPr>
          <w:p w14:paraId="7851067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67" w:type="dxa"/>
            <w:shd w:val="clear" w:color="auto" w:fill="auto"/>
            <w:noWrap/>
            <w:vAlign w:val="center"/>
          </w:tcPr>
          <w:p w14:paraId="57729B0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shd w:val="clear" w:color="auto" w:fill="auto"/>
            <w:vAlign w:val="center"/>
          </w:tcPr>
          <w:p w14:paraId="62B1A58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5F83352A" w14:textId="77777777" w:rsidTr="004954C9">
        <w:trPr>
          <w:trHeight w:val="20"/>
        </w:trPr>
        <w:tc>
          <w:tcPr>
            <w:tcW w:w="478" w:type="dxa"/>
            <w:noWrap/>
          </w:tcPr>
          <w:p w14:paraId="132DA2C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B15</w:t>
            </w:r>
          </w:p>
        </w:tc>
        <w:tc>
          <w:tcPr>
            <w:tcW w:w="4284" w:type="dxa"/>
          </w:tcPr>
          <w:p w14:paraId="58C9513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3E3D0D3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H modifiziert</w:t>
            </w:r>
          </w:p>
        </w:tc>
        <w:tc>
          <w:tcPr>
            <w:tcW w:w="865" w:type="dxa"/>
            <w:noWrap/>
            <w:vAlign w:val="center"/>
          </w:tcPr>
          <w:p w14:paraId="47318C5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2E2B64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5E76E01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117F8B3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650D04B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3F7BAA3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auto"/>
            <w:vAlign w:val="center"/>
          </w:tcPr>
          <w:p w14:paraId="063ECF5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67" w:type="dxa"/>
            <w:shd w:val="clear" w:color="auto" w:fill="auto"/>
            <w:noWrap/>
            <w:vAlign w:val="center"/>
          </w:tcPr>
          <w:p w14:paraId="32A5D729" w14:textId="77777777" w:rsidR="00722A47" w:rsidRPr="00722A47" w:rsidRDefault="00722A47" w:rsidP="00722A47">
            <w:pPr>
              <w:spacing w:before="0" w:after="0"/>
              <w:jc w:val="left"/>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shd w:val="clear" w:color="auto" w:fill="auto"/>
            <w:vAlign w:val="center"/>
          </w:tcPr>
          <w:p w14:paraId="1F3C187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2D82B2B" w14:textId="77777777" w:rsidTr="004954C9">
        <w:trPr>
          <w:trHeight w:val="20"/>
        </w:trPr>
        <w:tc>
          <w:tcPr>
            <w:tcW w:w="478" w:type="dxa"/>
            <w:noWrap/>
          </w:tcPr>
          <w:p w14:paraId="479B855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B16</w:t>
            </w:r>
          </w:p>
        </w:tc>
        <w:tc>
          <w:tcPr>
            <w:tcW w:w="4284" w:type="dxa"/>
          </w:tcPr>
          <w:p w14:paraId="345748D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w:t>
            </w:r>
          </w:p>
        </w:tc>
        <w:tc>
          <w:tcPr>
            <w:tcW w:w="865" w:type="dxa"/>
            <w:noWrap/>
            <w:vAlign w:val="center"/>
          </w:tcPr>
          <w:p w14:paraId="1391A7E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5E366A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0FE588F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73C4D22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60BE511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0039F18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auto"/>
            <w:vAlign w:val="center"/>
          </w:tcPr>
          <w:p w14:paraId="49F4239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67" w:type="dxa"/>
            <w:shd w:val="clear" w:color="auto" w:fill="auto"/>
            <w:noWrap/>
            <w:vAlign w:val="center"/>
          </w:tcPr>
          <w:p w14:paraId="3605ECEA" w14:textId="77777777" w:rsidR="00722A47" w:rsidRPr="00722A47" w:rsidRDefault="00722A47" w:rsidP="00722A47">
            <w:pPr>
              <w:spacing w:before="0" w:after="0"/>
              <w:jc w:val="left"/>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shd w:val="clear" w:color="auto" w:fill="auto"/>
            <w:vAlign w:val="center"/>
          </w:tcPr>
          <w:p w14:paraId="1C5E907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38C627D4" w14:textId="77777777" w:rsidTr="004954C9">
        <w:trPr>
          <w:trHeight w:val="20"/>
        </w:trPr>
        <w:tc>
          <w:tcPr>
            <w:tcW w:w="478" w:type="dxa"/>
            <w:noWrap/>
          </w:tcPr>
          <w:p w14:paraId="69FD14F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B17</w:t>
            </w:r>
          </w:p>
        </w:tc>
        <w:tc>
          <w:tcPr>
            <w:tcW w:w="4284" w:type="dxa"/>
          </w:tcPr>
          <w:p w14:paraId="2D19595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w:t>
            </w:r>
          </w:p>
        </w:tc>
        <w:tc>
          <w:tcPr>
            <w:tcW w:w="865" w:type="dxa"/>
            <w:noWrap/>
            <w:vAlign w:val="center"/>
          </w:tcPr>
          <w:p w14:paraId="4086094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11E76A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38BAD5A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72A38AE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0715EB2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6EEB52F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auto"/>
            <w:vAlign w:val="center"/>
          </w:tcPr>
          <w:p w14:paraId="54D9D99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67" w:type="dxa"/>
            <w:shd w:val="clear" w:color="auto" w:fill="auto"/>
            <w:noWrap/>
            <w:vAlign w:val="center"/>
          </w:tcPr>
          <w:p w14:paraId="447D6161" w14:textId="77777777" w:rsidR="00722A47" w:rsidRPr="00722A47" w:rsidRDefault="00722A47" w:rsidP="00722A47">
            <w:pPr>
              <w:spacing w:before="0" w:after="0"/>
              <w:jc w:val="left"/>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shd w:val="clear" w:color="auto" w:fill="auto"/>
            <w:vAlign w:val="center"/>
          </w:tcPr>
          <w:p w14:paraId="190D92D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3554D10F" w14:textId="77777777" w:rsidTr="004954C9">
        <w:trPr>
          <w:trHeight w:val="20"/>
        </w:trPr>
        <w:tc>
          <w:tcPr>
            <w:tcW w:w="478" w:type="dxa"/>
            <w:noWrap/>
          </w:tcPr>
          <w:p w14:paraId="24F2C9E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B18</w:t>
            </w:r>
          </w:p>
        </w:tc>
        <w:tc>
          <w:tcPr>
            <w:tcW w:w="4284" w:type="dxa"/>
          </w:tcPr>
          <w:p w14:paraId="1139881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 mit Randwegabdichtung oberhalb der FSS</w:t>
            </w:r>
          </w:p>
        </w:tc>
        <w:tc>
          <w:tcPr>
            <w:tcW w:w="865" w:type="dxa"/>
            <w:noWrap/>
            <w:vAlign w:val="center"/>
          </w:tcPr>
          <w:p w14:paraId="672722B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36B951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31430ED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749DEBA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69666EC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19B4FE7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auto"/>
            <w:vAlign w:val="center"/>
          </w:tcPr>
          <w:p w14:paraId="4F9224B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67" w:type="dxa"/>
            <w:shd w:val="clear" w:color="auto" w:fill="auto"/>
            <w:noWrap/>
            <w:vAlign w:val="center"/>
          </w:tcPr>
          <w:p w14:paraId="34968CDE" w14:textId="77777777" w:rsidR="00722A47" w:rsidRPr="00722A47" w:rsidRDefault="00722A47" w:rsidP="00722A47">
            <w:pPr>
              <w:spacing w:before="0" w:after="0"/>
              <w:jc w:val="left"/>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shd w:val="clear" w:color="auto" w:fill="auto"/>
            <w:vAlign w:val="center"/>
          </w:tcPr>
          <w:p w14:paraId="0EA6F01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9F56AD9" w14:textId="77777777" w:rsidTr="004954C9">
        <w:trPr>
          <w:trHeight w:val="20"/>
        </w:trPr>
        <w:tc>
          <w:tcPr>
            <w:tcW w:w="478" w:type="dxa"/>
            <w:noWrap/>
          </w:tcPr>
          <w:p w14:paraId="11E5033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B19</w:t>
            </w:r>
          </w:p>
        </w:tc>
        <w:tc>
          <w:tcPr>
            <w:tcW w:w="4284" w:type="dxa"/>
          </w:tcPr>
          <w:p w14:paraId="19B93BD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 mit Randwegabdichtung</w:t>
            </w:r>
          </w:p>
        </w:tc>
        <w:tc>
          <w:tcPr>
            <w:tcW w:w="865" w:type="dxa"/>
            <w:noWrap/>
            <w:vAlign w:val="center"/>
          </w:tcPr>
          <w:p w14:paraId="723A297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C5552B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3053B90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16EF483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74B2690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7B7425D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auto"/>
            <w:vAlign w:val="center"/>
          </w:tcPr>
          <w:p w14:paraId="31DC329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67" w:type="dxa"/>
            <w:shd w:val="clear" w:color="auto" w:fill="auto"/>
            <w:noWrap/>
            <w:vAlign w:val="center"/>
          </w:tcPr>
          <w:p w14:paraId="678EDA4C" w14:textId="77777777" w:rsidR="00722A47" w:rsidRPr="00722A47" w:rsidRDefault="00722A47" w:rsidP="00722A47">
            <w:pPr>
              <w:spacing w:before="0" w:after="0"/>
              <w:jc w:val="left"/>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shd w:val="clear" w:color="auto" w:fill="auto"/>
            <w:vAlign w:val="center"/>
          </w:tcPr>
          <w:p w14:paraId="6E597BF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703282F" w14:textId="77777777" w:rsidTr="004954C9">
        <w:trPr>
          <w:trHeight w:val="20"/>
        </w:trPr>
        <w:tc>
          <w:tcPr>
            <w:tcW w:w="478" w:type="dxa"/>
            <w:noWrap/>
          </w:tcPr>
          <w:p w14:paraId="571108F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B20</w:t>
            </w:r>
          </w:p>
        </w:tc>
        <w:tc>
          <w:tcPr>
            <w:tcW w:w="4284" w:type="dxa"/>
          </w:tcPr>
          <w:p w14:paraId="439272A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unterhalb </w:t>
            </w: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bzw. PSS der Bahnbauweise E 1</w:t>
            </w:r>
          </w:p>
        </w:tc>
        <w:tc>
          <w:tcPr>
            <w:tcW w:w="865" w:type="dxa"/>
            <w:noWrap/>
            <w:vAlign w:val="center"/>
          </w:tcPr>
          <w:p w14:paraId="644558F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372F5F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7C51DBD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6B6BB74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1E62CF2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4FB0B83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auto"/>
            <w:vAlign w:val="center"/>
          </w:tcPr>
          <w:p w14:paraId="4999168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67" w:type="dxa"/>
            <w:shd w:val="clear" w:color="auto" w:fill="auto"/>
            <w:noWrap/>
            <w:vAlign w:val="center"/>
          </w:tcPr>
          <w:p w14:paraId="11018053" w14:textId="77777777" w:rsidR="00722A47" w:rsidRPr="00722A47" w:rsidRDefault="00722A47" w:rsidP="00722A47">
            <w:pPr>
              <w:spacing w:before="0" w:after="0"/>
              <w:jc w:val="left"/>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shd w:val="clear" w:color="auto" w:fill="auto"/>
            <w:vAlign w:val="center"/>
          </w:tcPr>
          <w:p w14:paraId="01A4B6B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CC6E062" w14:textId="77777777" w:rsidTr="004954C9">
        <w:trPr>
          <w:trHeight w:val="20"/>
        </w:trPr>
        <w:tc>
          <w:tcPr>
            <w:tcW w:w="478" w:type="dxa"/>
            <w:noWrap/>
          </w:tcPr>
          <w:p w14:paraId="3F295D6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B21</w:t>
            </w:r>
          </w:p>
        </w:tc>
        <w:tc>
          <w:tcPr>
            <w:tcW w:w="4284" w:type="dxa"/>
          </w:tcPr>
          <w:p w14:paraId="30F124F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1 mit Dichtungselement auf dem Planum</w:t>
            </w:r>
          </w:p>
        </w:tc>
        <w:tc>
          <w:tcPr>
            <w:tcW w:w="865" w:type="dxa"/>
            <w:noWrap/>
            <w:vAlign w:val="center"/>
          </w:tcPr>
          <w:p w14:paraId="2E236F6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076405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738F866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6424D33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73C8F50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7F6CB88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auto"/>
            <w:vAlign w:val="center"/>
          </w:tcPr>
          <w:p w14:paraId="08F0DD4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67" w:type="dxa"/>
            <w:shd w:val="clear" w:color="auto" w:fill="auto"/>
            <w:noWrap/>
            <w:vAlign w:val="center"/>
          </w:tcPr>
          <w:p w14:paraId="1B64CCF9" w14:textId="77777777" w:rsidR="00722A47" w:rsidRPr="00722A47" w:rsidRDefault="00722A47" w:rsidP="00722A47">
            <w:pPr>
              <w:spacing w:before="0" w:after="0"/>
              <w:jc w:val="left"/>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shd w:val="clear" w:color="auto" w:fill="auto"/>
            <w:vAlign w:val="center"/>
          </w:tcPr>
          <w:p w14:paraId="0518357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483952E" w14:textId="77777777" w:rsidTr="004954C9">
        <w:trPr>
          <w:trHeight w:val="20"/>
        </w:trPr>
        <w:tc>
          <w:tcPr>
            <w:tcW w:w="478" w:type="dxa"/>
            <w:noWrap/>
          </w:tcPr>
          <w:p w14:paraId="449AC92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B22</w:t>
            </w:r>
          </w:p>
        </w:tc>
        <w:tc>
          <w:tcPr>
            <w:tcW w:w="4284" w:type="dxa"/>
          </w:tcPr>
          <w:p w14:paraId="01237D7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Tragschicht als witterungsunempfindliches Dichtungselement der Bahnbauweise E 2</w:t>
            </w:r>
          </w:p>
        </w:tc>
        <w:tc>
          <w:tcPr>
            <w:tcW w:w="865" w:type="dxa"/>
            <w:noWrap/>
            <w:vAlign w:val="center"/>
          </w:tcPr>
          <w:p w14:paraId="4990FCB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A3C0B6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4C8ECE6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1D90362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407A6AF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3366FFD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auto"/>
            <w:vAlign w:val="center"/>
          </w:tcPr>
          <w:p w14:paraId="1171C11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67" w:type="dxa"/>
            <w:shd w:val="clear" w:color="auto" w:fill="auto"/>
            <w:noWrap/>
            <w:vAlign w:val="center"/>
          </w:tcPr>
          <w:p w14:paraId="540924A2" w14:textId="77777777" w:rsidR="00722A47" w:rsidRPr="00722A47" w:rsidRDefault="00722A47" w:rsidP="00722A47">
            <w:pPr>
              <w:spacing w:before="0" w:after="0"/>
              <w:jc w:val="left"/>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shd w:val="clear" w:color="auto" w:fill="auto"/>
            <w:vAlign w:val="center"/>
          </w:tcPr>
          <w:p w14:paraId="7DCF4B2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841731C" w14:textId="77777777" w:rsidTr="004954C9">
        <w:trPr>
          <w:trHeight w:val="20"/>
        </w:trPr>
        <w:tc>
          <w:tcPr>
            <w:tcW w:w="478" w:type="dxa"/>
            <w:noWrap/>
          </w:tcPr>
          <w:p w14:paraId="16FEB03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B23</w:t>
            </w:r>
          </w:p>
        </w:tc>
        <w:tc>
          <w:tcPr>
            <w:tcW w:w="4284" w:type="dxa"/>
          </w:tcPr>
          <w:p w14:paraId="43BA47A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2</w:t>
            </w:r>
          </w:p>
        </w:tc>
        <w:tc>
          <w:tcPr>
            <w:tcW w:w="865" w:type="dxa"/>
            <w:noWrap/>
            <w:vAlign w:val="center"/>
          </w:tcPr>
          <w:p w14:paraId="5C5AC0A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09EC13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0566DA9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55DD49A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25600B6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70A21F9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auto"/>
            <w:vAlign w:val="center"/>
          </w:tcPr>
          <w:p w14:paraId="16A203E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67" w:type="dxa"/>
            <w:shd w:val="clear" w:color="auto" w:fill="auto"/>
            <w:noWrap/>
            <w:vAlign w:val="center"/>
          </w:tcPr>
          <w:p w14:paraId="607B6823" w14:textId="77777777" w:rsidR="00722A47" w:rsidRPr="00722A47" w:rsidRDefault="00722A47" w:rsidP="00722A47">
            <w:pPr>
              <w:spacing w:before="0" w:after="0"/>
              <w:jc w:val="left"/>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shd w:val="clear" w:color="auto" w:fill="auto"/>
            <w:vAlign w:val="center"/>
          </w:tcPr>
          <w:p w14:paraId="7956F6A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FFC2447" w14:textId="77777777" w:rsidTr="004954C9">
        <w:trPr>
          <w:trHeight w:val="20"/>
        </w:trPr>
        <w:tc>
          <w:tcPr>
            <w:tcW w:w="478" w:type="dxa"/>
            <w:noWrap/>
          </w:tcPr>
          <w:p w14:paraId="21E9B83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B24</w:t>
            </w:r>
          </w:p>
        </w:tc>
        <w:tc>
          <w:tcPr>
            <w:tcW w:w="4284" w:type="dxa"/>
          </w:tcPr>
          <w:p w14:paraId="1E4BDA1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und Unterbau (Damm) der Bahnbauweise E 3a</w:t>
            </w:r>
          </w:p>
        </w:tc>
        <w:tc>
          <w:tcPr>
            <w:tcW w:w="865" w:type="dxa"/>
            <w:noWrap/>
            <w:vAlign w:val="center"/>
          </w:tcPr>
          <w:p w14:paraId="5EF95C5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F598A1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008" w:type="dxa"/>
            <w:noWrap/>
            <w:vAlign w:val="center"/>
          </w:tcPr>
          <w:p w14:paraId="49129B0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noWrap/>
            <w:vAlign w:val="center"/>
          </w:tcPr>
          <w:p w14:paraId="69D2F24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50" w:type="dxa"/>
            <w:vAlign w:val="center"/>
          </w:tcPr>
          <w:p w14:paraId="5CA55C3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4" w:type="dxa"/>
            <w:noWrap/>
            <w:vAlign w:val="center"/>
          </w:tcPr>
          <w:p w14:paraId="4ED0972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844" w:type="dxa"/>
            <w:shd w:val="clear" w:color="auto" w:fill="auto"/>
            <w:vAlign w:val="center"/>
          </w:tcPr>
          <w:p w14:paraId="3344A5B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67" w:type="dxa"/>
            <w:shd w:val="clear" w:color="auto" w:fill="auto"/>
            <w:noWrap/>
            <w:vAlign w:val="center"/>
          </w:tcPr>
          <w:p w14:paraId="6B9532F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shd w:val="clear" w:color="auto" w:fill="auto"/>
            <w:vAlign w:val="center"/>
          </w:tcPr>
          <w:p w14:paraId="55D037D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3AD8DBC8" w14:textId="77777777" w:rsidTr="004954C9">
        <w:trPr>
          <w:trHeight w:val="20"/>
        </w:trPr>
        <w:tc>
          <w:tcPr>
            <w:tcW w:w="478" w:type="dxa"/>
            <w:noWrap/>
          </w:tcPr>
          <w:p w14:paraId="77088F7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B25</w:t>
            </w:r>
          </w:p>
        </w:tc>
        <w:tc>
          <w:tcPr>
            <w:tcW w:w="4284" w:type="dxa"/>
          </w:tcPr>
          <w:p w14:paraId="1E74694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der Bahnbauweise E 3b</w:t>
            </w:r>
          </w:p>
        </w:tc>
        <w:tc>
          <w:tcPr>
            <w:tcW w:w="865" w:type="dxa"/>
            <w:noWrap/>
            <w:vAlign w:val="center"/>
          </w:tcPr>
          <w:p w14:paraId="72F7805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C026DC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1008" w:type="dxa"/>
            <w:shd w:val="clear" w:color="auto" w:fill="auto"/>
            <w:noWrap/>
            <w:vAlign w:val="center"/>
          </w:tcPr>
          <w:p w14:paraId="2439662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shd w:val="clear" w:color="auto" w:fill="auto"/>
            <w:noWrap/>
            <w:vAlign w:val="center"/>
          </w:tcPr>
          <w:p w14:paraId="49107BE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shd w:val="clear" w:color="auto" w:fill="auto"/>
            <w:vAlign w:val="center"/>
          </w:tcPr>
          <w:p w14:paraId="186DF3F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74" w:type="dxa"/>
            <w:shd w:val="clear" w:color="auto" w:fill="auto"/>
            <w:noWrap/>
            <w:vAlign w:val="center"/>
          </w:tcPr>
          <w:p w14:paraId="4D34C9D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44" w:type="dxa"/>
            <w:shd w:val="clear" w:color="auto" w:fill="auto"/>
            <w:vAlign w:val="center"/>
          </w:tcPr>
          <w:p w14:paraId="7D2FC35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67" w:type="dxa"/>
            <w:shd w:val="clear" w:color="auto" w:fill="auto"/>
            <w:noWrap/>
            <w:vAlign w:val="center"/>
          </w:tcPr>
          <w:p w14:paraId="2C6523E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850" w:type="dxa"/>
            <w:shd w:val="clear" w:color="auto" w:fill="auto"/>
            <w:vAlign w:val="center"/>
          </w:tcPr>
          <w:p w14:paraId="3F1F9D0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37701564" w14:textId="77777777" w:rsidTr="004954C9">
        <w:trPr>
          <w:trHeight w:val="208"/>
        </w:trPr>
        <w:tc>
          <w:tcPr>
            <w:tcW w:w="478" w:type="dxa"/>
            <w:noWrap/>
          </w:tcPr>
          <w:p w14:paraId="2C745C4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B26</w:t>
            </w:r>
          </w:p>
        </w:tc>
        <w:tc>
          <w:tcPr>
            <w:tcW w:w="4284" w:type="dxa"/>
          </w:tcPr>
          <w:p w14:paraId="0703DFD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3b</w:t>
            </w:r>
          </w:p>
        </w:tc>
        <w:tc>
          <w:tcPr>
            <w:tcW w:w="865" w:type="dxa"/>
            <w:noWrap/>
            <w:vAlign w:val="center"/>
          </w:tcPr>
          <w:p w14:paraId="3AAFE83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96D6CE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1008" w:type="dxa"/>
            <w:shd w:val="clear" w:color="auto" w:fill="auto"/>
            <w:noWrap/>
            <w:vAlign w:val="center"/>
          </w:tcPr>
          <w:p w14:paraId="45F71C8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67" w:type="dxa"/>
            <w:shd w:val="clear" w:color="auto" w:fill="auto"/>
            <w:noWrap/>
            <w:vAlign w:val="center"/>
          </w:tcPr>
          <w:p w14:paraId="340F302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50" w:type="dxa"/>
            <w:shd w:val="clear" w:color="auto" w:fill="auto"/>
            <w:vAlign w:val="center"/>
          </w:tcPr>
          <w:p w14:paraId="45B632D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74" w:type="dxa"/>
            <w:shd w:val="clear" w:color="auto" w:fill="auto"/>
            <w:noWrap/>
            <w:vAlign w:val="center"/>
          </w:tcPr>
          <w:p w14:paraId="79C9153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844" w:type="dxa"/>
            <w:shd w:val="clear" w:color="auto" w:fill="auto"/>
            <w:vAlign w:val="center"/>
          </w:tcPr>
          <w:p w14:paraId="323F677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67" w:type="dxa"/>
            <w:shd w:val="clear" w:color="auto" w:fill="auto"/>
            <w:noWrap/>
            <w:vAlign w:val="center"/>
          </w:tcPr>
          <w:p w14:paraId="45706E7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850" w:type="dxa"/>
            <w:shd w:val="clear" w:color="auto" w:fill="auto"/>
            <w:vAlign w:val="center"/>
          </w:tcPr>
          <w:p w14:paraId="054B5E5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bl>
    <w:p w14:paraId="61F15D9D" w14:textId="77777777" w:rsidR="00722A47" w:rsidRPr="00722A47" w:rsidRDefault="00722A47" w:rsidP="00722A47">
      <w:pPr>
        <w:spacing w:before="0" w:after="0"/>
        <w:jc w:val="left"/>
        <w:rPr>
          <w:rFonts w:ascii="Times New Roman" w:eastAsia="Times New Roman" w:hAnsi="Times New Roman" w:cs="Times New Roman"/>
          <w:sz w:val="16"/>
          <w:szCs w:val="20"/>
          <w:lang w:eastAsia="de-DE"/>
        </w:rPr>
      </w:pPr>
      <w:r w:rsidRPr="00722A47">
        <w:rPr>
          <w:rFonts w:ascii="Times New Roman" w:eastAsia="Times New Roman" w:hAnsi="Times New Roman" w:cs="Times New Roman"/>
          <w:sz w:val="16"/>
          <w:szCs w:val="20"/>
          <w:lang w:eastAsia="de-DE"/>
        </w:rPr>
        <w:t xml:space="preserve">1) Zulässig, wenn Chrom, ges.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840 µg/l und Vanadium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1.340 µg/l.</w:t>
      </w:r>
    </w:p>
    <w:p w14:paraId="03A14A66" w14:textId="77777777" w:rsidR="00722A47" w:rsidRPr="00722A47" w:rsidRDefault="00722A47" w:rsidP="00722A47">
      <w:pPr>
        <w:spacing w:before="0" w:after="0"/>
        <w:jc w:val="left"/>
        <w:rPr>
          <w:rFonts w:ascii="Times New Roman" w:eastAsia="Times New Roman" w:hAnsi="Times New Roman" w:cs="Times New Roman"/>
          <w:sz w:val="16"/>
          <w:szCs w:val="20"/>
          <w:lang w:eastAsia="de-DE"/>
        </w:rPr>
      </w:pPr>
      <w:r w:rsidRPr="00722A47">
        <w:rPr>
          <w:rFonts w:ascii="Times New Roman" w:eastAsia="Times New Roman" w:hAnsi="Times New Roman" w:cs="Times New Roman"/>
          <w:sz w:val="16"/>
          <w:szCs w:val="20"/>
          <w:lang w:eastAsia="de-DE"/>
        </w:rPr>
        <w:t xml:space="preserve">2) Zulässig, wenn Chrom, ges.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650 µg/l, Kupfer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390 µg/l und Vanadium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1.030 µg/l.</w:t>
      </w:r>
    </w:p>
    <w:p w14:paraId="5DAFCFEB" w14:textId="77777777" w:rsidR="00722A47" w:rsidRDefault="00722A47" w:rsidP="00722A47">
      <w:pPr>
        <w:spacing w:before="0" w:after="0"/>
        <w:jc w:val="left"/>
        <w:rPr>
          <w:rFonts w:ascii="Times New Roman" w:eastAsia="Times New Roman" w:hAnsi="Times New Roman" w:cs="Times New Roman"/>
          <w:sz w:val="16"/>
          <w:szCs w:val="20"/>
          <w:lang w:eastAsia="de-DE"/>
        </w:rPr>
      </w:pPr>
      <w:r w:rsidRPr="00722A47">
        <w:rPr>
          <w:rFonts w:ascii="Times New Roman" w:eastAsia="Times New Roman" w:hAnsi="Times New Roman" w:cs="Times New Roman"/>
          <w:sz w:val="16"/>
          <w:szCs w:val="20"/>
          <w:lang w:eastAsia="de-DE"/>
        </w:rPr>
        <w:t xml:space="preserve">3) Zulässig, wenn Vanadium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1.250 µg/l.</w:t>
      </w:r>
    </w:p>
    <w:p w14:paraId="6C0A04F9" w14:textId="31636C46" w:rsidR="00722A47" w:rsidRPr="00722A47" w:rsidRDefault="00722A47" w:rsidP="00722A47">
      <w:pPr>
        <w:pStyle w:val="berschrift1"/>
      </w:pPr>
      <w:r>
        <w:rPr>
          <w:rFonts w:ascii="Times New Roman" w:eastAsia="Times New Roman" w:hAnsi="Times New Roman" w:cs="Times New Roman"/>
          <w:sz w:val="16"/>
          <w:szCs w:val="20"/>
          <w:lang w:eastAsia="de-DE"/>
        </w:rPr>
        <w:br w:type="page"/>
      </w:r>
      <w:r w:rsidRPr="008D0377">
        <w:lastRenderedPageBreak/>
        <w:t>Tabelle 11: Stahlwerksschlacke der Klasse 1 (SWS-1)</w:t>
      </w:r>
    </w:p>
    <w:p w14:paraId="576DBCB7" w14:textId="77777777" w:rsidR="00722A47" w:rsidRPr="00722A47" w:rsidRDefault="00722A47" w:rsidP="00722A47">
      <w:pPr>
        <w:keepNext/>
        <w:spacing w:before="0" w:after="200"/>
        <w:jc w:val="left"/>
        <w:rPr>
          <w:rFonts w:ascii="Times New Roman" w:eastAsia="Calibri" w:hAnsi="Times New Roman" w:cs="Times New Roman"/>
          <w:b/>
          <w:sz w:val="18"/>
          <w:szCs w:val="18"/>
        </w:rPr>
      </w:pPr>
      <w:r w:rsidRPr="00722A47">
        <w:rPr>
          <w:rFonts w:ascii="Times New Roman" w:eastAsia="Calibri" w:hAnsi="Times New Roman" w:cs="Times New Roman"/>
          <w:b/>
          <w:sz w:val="18"/>
          <w:szCs w:val="18"/>
        </w:rPr>
        <w:t xml:space="preserve"> </w:t>
      </w:r>
    </w:p>
    <w:tbl>
      <w:tblPr>
        <w:tblW w:w="11214" w:type="dxa"/>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
        <w:gridCol w:w="4284"/>
        <w:gridCol w:w="865"/>
        <w:gridCol w:w="675"/>
        <w:gridCol w:w="1205"/>
        <w:gridCol w:w="607"/>
        <w:gridCol w:w="715"/>
        <w:gridCol w:w="508"/>
        <w:gridCol w:w="715"/>
        <w:gridCol w:w="551"/>
        <w:gridCol w:w="715"/>
      </w:tblGrid>
      <w:tr w:rsidR="00722A47" w:rsidRPr="00722A47" w14:paraId="6326C206" w14:textId="77777777" w:rsidTr="004954C9">
        <w:trPr>
          <w:trHeight w:val="330"/>
        </w:trPr>
        <w:tc>
          <w:tcPr>
            <w:tcW w:w="11214" w:type="dxa"/>
            <w:gridSpan w:val="11"/>
            <w:noWrap/>
            <w:vAlign w:val="bottom"/>
          </w:tcPr>
          <w:p w14:paraId="27EDA6DA" w14:textId="77777777" w:rsidR="00722A47" w:rsidRPr="00722A47" w:rsidRDefault="00722A47" w:rsidP="00722A47">
            <w:pPr>
              <w:spacing w:before="0" w:after="0"/>
              <w:jc w:val="center"/>
              <w:rPr>
                <w:rFonts w:ascii="Times New Roman" w:eastAsia="Times New Roman" w:hAnsi="Times New Roman" w:cs="Times New Roman"/>
                <w:b/>
                <w:bCs/>
                <w:sz w:val="24"/>
                <w:szCs w:val="24"/>
                <w:lang w:eastAsia="de-DE"/>
              </w:rPr>
            </w:pPr>
            <w:r w:rsidRPr="00722A47">
              <w:rPr>
                <w:rFonts w:ascii="Times New Roman" w:eastAsia="Times New Roman" w:hAnsi="Times New Roman" w:cs="Times New Roman"/>
                <w:b/>
                <w:sz w:val="24"/>
                <w:szCs w:val="20"/>
                <w:lang w:eastAsia="de-DE"/>
              </w:rPr>
              <w:br w:type="page"/>
            </w:r>
            <w:r w:rsidRPr="00722A47">
              <w:rPr>
                <w:rFonts w:ascii="Times New Roman" w:eastAsia="Times New Roman" w:hAnsi="Times New Roman" w:cs="Times New Roman"/>
                <w:b/>
                <w:sz w:val="24"/>
                <w:szCs w:val="24"/>
                <w:lang w:eastAsia="de-DE"/>
              </w:rPr>
              <w:t>Stahlwerksschlacke der Klasse 1 (</w:t>
            </w:r>
            <w:r w:rsidRPr="00722A47">
              <w:rPr>
                <w:rFonts w:ascii="Times New Roman" w:eastAsia="Times New Roman" w:hAnsi="Times New Roman" w:cs="Tahoma"/>
                <w:b/>
                <w:bCs/>
                <w:sz w:val="24"/>
                <w:szCs w:val="24"/>
                <w:lang w:eastAsia="de-DE"/>
              </w:rPr>
              <w:t>SWS-1)</w:t>
            </w:r>
          </w:p>
        </w:tc>
      </w:tr>
      <w:tr w:rsidR="00722A47" w:rsidRPr="00722A47" w14:paraId="0A8E44C0" w14:textId="77777777" w:rsidTr="004954C9">
        <w:trPr>
          <w:trHeight w:val="20"/>
        </w:trPr>
        <w:tc>
          <w:tcPr>
            <w:tcW w:w="4762" w:type="dxa"/>
            <w:gridSpan w:val="2"/>
            <w:vMerge w:val="restart"/>
            <w:shd w:val="clear" w:color="auto" w:fill="auto"/>
            <w:noWrap/>
          </w:tcPr>
          <w:p w14:paraId="60EE4F4C"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Einbauweise</w:t>
            </w:r>
          </w:p>
        </w:tc>
        <w:tc>
          <w:tcPr>
            <w:tcW w:w="6452" w:type="dxa"/>
            <w:gridSpan w:val="9"/>
            <w:shd w:val="clear" w:color="auto" w:fill="auto"/>
            <w:noWrap/>
            <w:vAlign w:val="center"/>
          </w:tcPr>
          <w:p w14:paraId="3164FEC3"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Eigenschaft der Grundwasserdeckschicht</w:t>
            </w:r>
          </w:p>
        </w:tc>
      </w:tr>
      <w:tr w:rsidR="00722A47" w:rsidRPr="00722A47" w14:paraId="329D6827" w14:textId="77777777" w:rsidTr="004954C9">
        <w:trPr>
          <w:trHeight w:val="20"/>
        </w:trPr>
        <w:tc>
          <w:tcPr>
            <w:tcW w:w="4762" w:type="dxa"/>
            <w:gridSpan w:val="2"/>
            <w:vMerge/>
            <w:shd w:val="clear" w:color="auto" w:fill="auto"/>
            <w:noWrap/>
            <w:vAlign w:val="center"/>
          </w:tcPr>
          <w:p w14:paraId="0EF03F49" w14:textId="77777777" w:rsidR="00722A47" w:rsidRPr="00722A47" w:rsidRDefault="00722A47" w:rsidP="00722A47">
            <w:pPr>
              <w:spacing w:before="0" w:after="0"/>
              <w:jc w:val="center"/>
              <w:rPr>
                <w:rFonts w:ascii="Times New Roman" w:eastAsia="Times New Roman" w:hAnsi="Times New Roman" w:cs="Times New Roman"/>
                <w:sz w:val="20"/>
                <w:szCs w:val="24"/>
                <w:lang w:eastAsia="de-DE"/>
              </w:rPr>
            </w:pPr>
          </w:p>
        </w:tc>
        <w:tc>
          <w:tcPr>
            <w:tcW w:w="2745" w:type="dxa"/>
            <w:gridSpan w:val="3"/>
            <w:shd w:val="clear" w:color="auto" w:fill="auto"/>
            <w:noWrap/>
            <w:vAlign w:val="center"/>
          </w:tcPr>
          <w:p w14:paraId="31B89C93"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außerhalb von</w:t>
            </w:r>
          </w:p>
          <w:p w14:paraId="125B9111"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c>
          <w:tcPr>
            <w:tcW w:w="3707" w:type="dxa"/>
            <w:gridSpan w:val="6"/>
            <w:shd w:val="clear" w:color="auto" w:fill="auto"/>
            <w:noWrap/>
            <w:vAlign w:val="center"/>
          </w:tcPr>
          <w:p w14:paraId="5DD8EE99"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innerhalb von</w:t>
            </w:r>
          </w:p>
          <w:p w14:paraId="664650FA"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r>
      <w:tr w:rsidR="00722A47" w:rsidRPr="00722A47" w14:paraId="2FDAB01B" w14:textId="77777777" w:rsidTr="004954C9">
        <w:trPr>
          <w:trHeight w:val="20"/>
        </w:trPr>
        <w:tc>
          <w:tcPr>
            <w:tcW w:w="4762" w:type="dxa"/>
            <w:gridSpan w:val="2"/>
            <w:vMerge/>
            <w:shd w:val="clear" w:color="auto" w:fill="auto"/>
            <w:noWrap/>
            <w:vAlign w:val="center"/>
          </w:tcPr>
          <w:p w14:paraId="5BB1782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425A93A2"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proofErr w:type="spellStart"/>
            <w:r w:rsidRPr="00722A47">
              <w:rPr>
                <w:rFonts w:ascii="Times New Roman" w:eastAsia="Times New Roman" w:hAnsi="Times New Roman" w:cs="Times New Roman"/>
                <w:sz w:val="20"/>
                <w:szCs w:val="20"/>
                <w:lang w:eastAsia="de-DE"/>
              </w:rPr>
              <w:t>un</w:t>
            </w:r>
            <w:proofErr w:type="spellEnd"/>
            <w:r w:rsidRPr="00722A47">
              <w:rPr>
                <w:rFonts w:ascii="Times New Roman" w:eastAsia="Times New Roman" w:hAnsi="Times New Roman" w:cs="Times New Roman"/>
                <w:sz w:val="20"/>
                <w:szCs w:val="20"/>
                <w:lang w:eastAsia="de-DE"/>
              </w:rPr>
              <w:t>-günstig</w:t>
            </w:r>
          </w:p>
        </w:tc>
        <w:tc>
          <w:tcPr>
            <w:tcW w:w="1880" w:type="dxa"/>
            <w:gridSpan w:val="2"/>
            <w:shd w:val="clear" w:color="auto" w:fill="auto"/>
            <w:noWrap/>
            <w:vAlign w:val="center"/>
          </w:tcPr>
          <w:p w14:paraId="27DE7B2E"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c>
          <w:tcPr>
            <w:tcW w:w="3707" w:type="dxa"/>
            <w:gridSpan w:val="6"/>
            <w:shd w:val="clear" w:color="auto" w:fill="auto"/>
            <w:noWrap/>
            <w:vAlign w:val="center"/>
          </w:tcPr>
          <w:p w14:paraId="1D285893"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r>
      <w:tr w:rsidR="00722A47" w:rsidRPr="00722A47" w14:paraId="6594C8EF" w14:textId="77777777" w:rsidTr="004954C9">
        <w:trPr>
          <w:trHeight w:val="20"/>
        </w:trPr>
        <w:tc>
          <w:tcPr>
            <w:tcW w:w="4762" w:type="dxa"/>
            <w:gridSpan w:val="2"/>
            <w:vMerge/>
            <w:shd w:val="clear" w:color="auto" w:fill="auto"/>
            <w:noWrap/>
            <w:vAlign w:val="center"/>
          </w:tcPr>
          <w:p w14:paraId="73A2D83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val="restart"/>
            <w:shd w:val="clear" w:color="auto" w:fill="auto"/>
            <w:noWrap/>
            <w:vAlign w:val="bottom"/>
          </w:tcPr>
          <w:p w14:paraId="494CCE9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val="restart"/>
            <w:shd w:val="clear" w:color="auto" w:fill="auto"/>
            <w:noWrap/>
            <w:vAlign w:val="center"/>
          </w:tcPr>
          <w:p w14:paraId="229DEA7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1205" w:type="dxa"/>
            <w:vMerge w:val="restart"/>
            <w:shd w:val="clear" w:color="auto" w:fill="auto"/>
            <w:noWrap/>
            <w:vAlign w:val="center"/>
          </w:tcPr>
          <w:p w14:paraId="1F39BEBD" w14:textId="6C2E51F8"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05571FC5" w14:textId="480B8B62"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7A6A8A8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1286" w:type="dxa"/>
            <w:gridSpan w:val="2"/>
            <w:shd w:val="clear" w:color="auto" w:fill="auto"/>
            <w:noWrap/>
            <w:vAlign w:val="center"/>
          </w:tcPr>
          <w:p w14:paraId="64504AB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A</w:t>
            </w:r>
          </w:p>
        </w:tc>
        <w:tc>
          <w:tcPr>
            <w:tcW w:w="1189" w:type="dxa"/>
            <w:gridSpan w:val="2"/>
            <w:shd w:val="clear" w:color="auto" w:fill="auto"/>
            <w:noWrap/>
            <w:vAlign w:val="center"/>
          </w:tcPr>
          <w:p w14:paraId="774EE57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B</w:t>
            </w:r>
          </w:p>
        </w:tc>
        <w:tc>
          <w:tcPr>
            <w:tcW w:w="1232" w:type="dxa"/>
            <w:gridSpan w:val="2"/>
            <w:shd w:val="clear" w:color="auto" w:fill="auto"/>
            <w:noWrap/>
            <w:vAlign w:val="center"/>
          </w:tcPr>
          <w:p w14:paraId="28C696D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Wasservor-</w:t>
            </w:r>
          </w:p>
        </w:tc>
      </w:tr>
      <w:tr w:rsidR="00722A47" w:rsidRPr="00722A47" w14:paraId="1B2CA4CB" w14:textId="77777777" w:rsidTr="004954C9">
        <w:trPr>
          <w:trHeight w:val="80"/>
        </w:trPr>
        <w:tc>
          <w:tcPr>
            <w:tcW w:w="4762" w:type="dxa"/>
            <w:gridSpan w:val="2"/>
            <w:vMerge/>
            <w:shd w:val="clear" w:color="auto" w:fill="auto"/>
            <w:noWrap/>
            <w:vAlign w:val="center"/>
          </w:tcPr>
          <w:p w14:paraId="17ED601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088B9E4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6F4400C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1EDEBD3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86" w:type="dxa"/>
            <w:gridSpan w:val="2"/>
            <w:shd w:val="clear" w:color="auto" w:fill="auto"/>
            <w:noWrap/>
            <w:vAlign w:val="center"/>
          </w:tcPr>
          <w:p w14:paraId="620DC89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III</w:t>
            </w:r>
          </w:p>
        </w:tc>
        <w:tc>
          <w:tcPr>
            <w:tcW w:w="1189" w:type="dxa"/>
            <w:gridSpan w:val="2"/>
            <w:shd w:val="clear" w:color="auto" w:fill="auto"/>
            <w:noWrap/>
            <w:vAlign w:val="center"/>
          </w:tcPr>
          <w:p w14:paraId="45D5FC8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IV</w:t>
            </w:r>
          </w:p>
        </w:tc>
        <w:tc>
          <w:tcPr>
            <w:tcW w:w="1232" w:type="dxa"/>
            <w:gridSpan w:val="2"/>
            <w:shd w:val="clear" w:color="auto" w:fill="auto"/>
            <w:noWrap/>
            <w:vAlign w:val="center"/>
          </w:tcPr>
          <w:p w14:paraId="3D45006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ranggebiete</w:t>
            </w:r>
          </w:p>
        </w:tc>
      </w:tr>
      <w:tr w:rsidR="00722A47" w:rsidRPr="00722A47" w14:paraId="1E57BA01" w14:textId="77777777" w:rsidTr="004954C9">
        <w:trPr>
          <w:trHeight w:val="80"/>
        </w:trPr>
        <w:tc>
          <w:tcPr>
            <w:tcW w:w="4762" w:type="dxa"/>
            <w:gridSpan w:val="2"/>
            <w:vMerge/>
            <w:shd w:val="clear" w:color="auto" w:fill="auto"/>
            <w:noWrap/>
            <w:vAlign w:val="center"/>
          </w:tcPr>
          <w:p w14:paraId="1ABAB68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07F8DDB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715D8CD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2CF00CA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07" w:type="dxa"/>
            <w:shd w:val="clear" w:color="auto" w:fill="auto"/>
            <w:noWrap/>
            <w:vAlign w:val="center"/>
          </w:tcPr>
          <w:p w14:paraId="1021937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79" w:type="dxa"/>
            <w:shd w:val="clear" w:color="auto" w:fill="auto"/>
            <w:vAlign w:val="center"/>
          </w:tcPr>
          <w:p w14:paraId="73233CA8" w14:textId="7DEF04D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29DADF9C" w14:textId="5599AEEE"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4CC130C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08" w:type="dxa"/>
            <w:shd w:val="clear" w:color="auto" w:fill="auto"/>
            <w:noWrap/>
            <w:vAlign w:val="center"/>
          </w:tcPr>
          <w:p w14:paraId="2A78F24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7CF23E50" w14:textId="03D8C000"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744D84B0" w14:textId="2D4A63D1"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5CE8371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51" w:type="dxa"/>
            <w:shd w:val="clear" w:color="auto" w:fill="auto"/>
            <w:noWrap/>
            <w:vAlign w:val="center"/>
          </w:tcPr>
          <w:p w14:paraId="53956D0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2683936F" w14:textId="19E41C06"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20BBDB86" w14:textId="5F13D683"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61E1611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r>
      <w:tr w:rsidR="00722A47" w:rsidRPr="00722A47" w14:paraId="475E9217" w14:textId="77777777" w:rsidTr="004954C9">
        <w:trPr>
          <w:trHeight w:val="111"/>
        </w:trPr>
        <w:tc>
          <w:tcPr>
            <w:tcW w:w="4762" w:type="dxa"/>
            <w:gridSpan w:val="2"/>
            <w:vMerge/>
            <w:shd w:val="clear" w:color="auto" w:fill="auto"/>
            <w:noWrap/>
            <w:vAlign w:val="center"/>
          </w:tcPr>
          <w:p w14:paraId="268786B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3848DA5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1</w:t>
            </w:r>
          </w:p>
        </w:tc>
        <w:tc>
          <w:tcPr>
            <w:tcW w:w="675" w:type="dxa"/>
            <w:shd w:val="clear" w:color="auto" w:fill="auto"/>
            <w:noWrap/>
            <w:vAlign w:val="center"/>
          </w:tcPr>
          <w:p w14:paraId="5DED726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2</w:t>
            </w:r>
          </w:p>
        </w:tc>
        <w:tc>
          <w:tcPr>
            <w:tcW w:w="1205" w:type="dxa"/>
            <w:shd w:val="clear" w:color="auto" w:fill="auto"/>
            <w:noWrap/>
            <w:vAlign w:val="center"/>
          </w:tcPr>
          <w:p w14:paraId="794BC79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3</w:t>
            </w:r>
          </w:p>
        </w:tc>
        <w:tc>
          <w:tcPr>
            <w:tcW w:w="1286" w:type="dxa"/>
            <w:gridSpan w:val="2"/>
            <w:shd w:val="clear" w:color="auto" w:fill="auto"/>
            <w:noWrap/>
            <w:vAlign w:val="center"/>
          </w:tcPr>
          <w:p w14:paraId="6B34DFB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4</w:t>
            </w:r>
          </w:p>
        </w:tc>
        <w:tc>
          <w:tcPr>
            <w:tcW w:w="1189" w:type="dxa"/>
            <w:gridSpan w:val="2"/>
            <w:shd w:val="clear" w:color="auto" w:fill="auto"/>
            <w:noWrap/>
            <w:vAlign w:val="center"/>
          </w:tcPr>
          <w:p w14:paraId="6676829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5</w:t>
            </w:r>
          </w:p>
        </w:tc>
        <w:tc>
          <w:tcPr>
            <w:tcW w:w="1232" w:type="dxa"/>
            <w:gridSpan w:val="2"/>
            <w:shd w:val="clear" w:color="auto" w:fill="auto"/>
            <w:noWrap/>
            <w:vAlign w:val="center"/>
          </w:tcPr>
          <w:p w14:paraId="6B7D778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6</w:t>
            </w:r>
          </w:p>
        </w:tc>
      </w:tr>
      <w:tr w:rsidR="00722A47" w:rsidRPr="00722A47" w14:paraId="269C5116" w14:textId="77777777" w:rsidTr="004954C9">
        <w:trPr>
          <w:trHeight w:val="20"/>
        </w:trPr>
        <w:tc>
          <w:tcPr>
            <w:tcW w:w="478" w:type="dxa"/>
            <w:noWrap/>
          </w:tcPr>
          <w:p w14:paraId="12174A8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w:t>
            </w:r>
          </w:p>
        </w:tc>
        <w:tc>
          <w:tcPr>
            <w:tcW w:w="4284" w:type="dxa"/>
          </w:tcPr>
          <w:p w14:paraId="2292220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Schotteroberbau der Bahnbauweise Standard Damm </w:t>
            </w:r>
          </w:p>
        </w:tc>
        <w:tc>
          <w:tcPr>
            <w:tcW w:w="865" w:type="dxa"/>
            <w:noWrap/>
            <w:vAlign w:val="center"/>
          </w:tcPr>
          <w:p w14:paraId="5B2F9D3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CAE1AF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E4C8DF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69EEB3E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0577FB0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6E64D8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C38216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006680E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76CDE6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5A194F5B" w14:textId="77777777" w:rsidTr="004954C9">
        <w:trPr>
          <w:trHeight w:val="20"/>
        </w:trPr>
        <w:tc>
          <w:tcPr>
            <w:tcW w:w="478" w:type="dxa"/>
            <w:noWrap/>
          </w:tcPr>
          <w:p w14:paraId="55DF880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w:t>
            </w:r>
          </w:p>
        </w:tc>
        <w:tc>
          <w:tcPr>
            <w:tcW w:w="4284" w:type="dxa"/>
          </w:tcPr>
          <w:p w14:paraId="7B72D9A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Standard Einschnitt</w:t>
            </w:r>
          </w:p>
        </w:tc>
        <w:tc>
          <w:tcPr>
            <w:tcW w:w="865" w:type="dxa"/>
            <w:noWrap/>
            <w:vAlign w:val="center"/>
          </w:tcPr>
          <w:p w14:paraId="001586D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4E364A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2989C5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23B2253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0449D17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EF5CE6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56FCD94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3D29578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60FE03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146FCBD0" w14:textId="77777777" w:rsidTr="004954C9">
        <w:trPr>
          <w:trHeight w:val="20"/>
        </w:trPr>
        <w:tc>
          <w:tcPr>
            <w:tcW w:w="478" w:type="dxa"/>
            <w:noWrap/>
          </w:tcPr>
          <w:p w14:paraId="18064AE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B3</w:t>
            </w:r>
          </w:p>
        </w:tc>
        <w:tc>
          <w:tcPr>
            <w:tcW w:w="4284" w:type="dxa"/>
          </w:tcPr>
          <w:p w14:paraId="44732DA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w:t>
            </w:r>
          </w:p>
        </w:tc>
        <w:tc>
          <w:tcPr>
            <w:tcW w:w="865" w:type="dxa"/>
            <w:noWrap/>
            <w:vAlign w:val="center"/>
          </w:tcPr>
          <w:p w14:paraId="11ABDF1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99AA41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C95D05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6A654B4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B04CD5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245419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05F21B4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340DD32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11696C6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347AE446" w14:textId="77777777" w:rsidTr="004954C9">
        <w:trPr>
          <w:trHeight w:val="20"/>
        </w:trPr>
        <w:tc>
          <w:tcPr>
            <w:tcW w:w="478" w:type="dxa"/>
            <w:noWrap/>
          </w:tcPr>
          <w:p w14:paraId="1FEAA6B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B4</w:t>
            </w:r>
          </w:p>
        </w:tc>
        <w:tc>
          <w:tcPr>
            <w:tcW w:w="4284" w:type="dxa"/>
          </w:tcPr>
          <w:p w14:paraId="080B284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 modifiziert</w:t>
            </w:r>
          </w:p>
        </w:tc>
        <w:tc>
          <w:tcPr>
            <w:tcW w:w="865" w:type="dxa"/>
            <w:noWrap/>
            <w:vAlign w:val="center"/>
          </w:tcPr>
          <w:p w14:paraId="2F16000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A0C795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B96F1A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78C1ED7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2C0890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F54FF5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AD4C93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4037C20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61A92B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0D5029E0" w14:textId="77777777" w:rsidTr="004954C9">
        <w:trPr>
          <w:trHeight w:val="20"/>
        </w:trPr>
        <w:tc>
          <w:tcPr>
            <w:tcW w:w="478" w:type="dxa"/>
            <w:noWrap/>
          </w:tcPr>
          <w:p w14:paraId="699425F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B5</w:t>
            </w:r>
          </w:p>
        </w:tc>
        <w:tc>
          <w:tcPr>
            <w:tcW w:w="4284" w:type="dxa"/>
          </w:tcPr>
          <w:p w14:paraId="7380B0E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2B1018D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Bahnbauweise Standard Damm </w:t>
            </w:r>
          </w:p>
        </w:tc>
        <w:tc>
          <w:tcPr>
            <w:tcW w:w="865" w:type="dxa"/>
            <w:noWrap/>
            <w:vAlign w:val="center"/>
          </w:tcPr>
          <w:p w14:paraId="2394BDB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1C3E699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1205" w:type="dxa"/>
            <w:noWrap/>
            <w:vAlign w:val="center"/>
          </w:tcPr>
          <w:p w14:paraId="2164F54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3923A76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7DABE4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 xml:space="preserve"> 2)</w:t>
            </w:r>
          </w:p>
        </w:tc>
        <w:tc>
          <w:tcPr>
            <w:tcW w:w="508" w:type="dxa"/>
            <w:noWrap/>
            <w:vAlign w:val="center"/>
          </w:tcPr>
          <w:p w14:paraId="0DC1FCF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661337E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 xml:space="preserve"> 2)</w:t>
            </w:r>
          </w:p>
        </w:tc>
        <w:tc>
          <w:tcPr>
            <w:tcW w:w="551" w:type="dxa"/>
            <w:shd w:val="clear" w:color="auto" w:fill="FFFFFF"/>
            <w:noWrap/>
            <w:vAlign w:val="center"/>
          </w:tcPr>
          <w:p w14:paraId="0A55338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imes New Roman"/>
                <w:sz w:val="24"/>
                <w:szCs w:val="24"/>
                <w:lang w:eastAsia="de-DE"/>
              </w:rPr>
              <w:t>+</w:t>
            </w:r>
            <w:r w:rsidRPr="00722A47">
              <w:rPr>
                <w:rFonts w:ascii="Times New Roman" w:eastAsia="Times New Roman" w:hAnsi="Times New Roman" w:cs="Times New Roman"/>
                <w:sz w:val="24"/>
                <w:szCs w:val="24"/>
                <w:vertAlign w:val="superscript"/>
                <w:lang w:eastAsia="de-DE"/>
              </w:rPr>
              <w:t>2)</w:t>
            </w:r>
          </w:p>
        </w:tc>
        <w:tc>
          <w:tcPr>
            <w:tcW w:w="681" w:type="dxa"/>
            <w:shd w:val="clear" w:color="auto" w:fill="auto"/>
            <w:vAlign w:val="center"/>
          </w:tcPr>
          <w:p w14:paraId="01A7616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A358177" w14:textId="77777777" w:rsidTr="004954C9">
        <w:trPr>
          <w:trHeight w:val="20"/>
        </w:trPr>
        <w:tc>
          <w:tcPr>
            <w:tcW w:w="478" w:type="dxa"/>
            <w:noWrap/>
          </w:tcPr>
          <w:p w14:paraId="5763231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B6</w:t>
            </w:r>
          </w:p>
        </w:tc>
        <w:tc>
          <w:tcPr>
            <w:tcW w:w="4284" w:type="dxa"/>
          </w:tcPr>
          <w:p w14:paraId="1146B90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61345CF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Standard Einschnitt</w:t>
            </w:r>
          </w:p>
        </w:tc>
        <w:tc>
          <w:tcPr>
            <w:tcW w:w="865" w:type="dxa"/>
            <w:noWrap/>
            <w:vAlign w:val="center"/>
          </w:tcPr>
          <w:p w14:paraId="30E038E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75" w:type="dxa"/>
            <w:noWrap/>
            <w:vAlign w:val="center"/>
          </w:tcPr>
          <w:p w14:paraId="24F35AA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1205" w:type="dxa"/>
            <w:noWrap/>
            <w:vAlign w:val="center"/>
          </w:tcPr>
          <w:p w14:paraId="26E9414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5D7A631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B382D7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 xml:space="preserve"> 2)</w:t>
            </w:r>
          </w:p>
        </w:tc>
        <w:tc>
          <w:tcPr>
            <w:tcW w:w="508" w:type="dxa"/>
            <w:noWrap/>
            <w:vAlign w:val="center"/>
          </w:tcPr>
          <w:p w14:paraId="75350C5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0F2744D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 xml:space="preserve"> 2)</w:t>
            </w:r>
          </w:p>
        </w:tc>
        <w:tc>
          <w:tcPr>
            <w:tcW w:w="551" w:type="dxa"/>
            <w:shd w:val="clear" w:color="auto" w:fill="FFFFFF"/>
            <w:noWrap/>
            <w:vAlign w:val="center"/>
          </w:tcPr>
          <w:p w14:paraId="7088C0D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imes New Roman"/>
                <w:sz w:val="24"/>
                <w:szCs w:val="24"/>
                <w:lang w:eastAsia="de-DE"/>
              </w:rPr>
              <w:t>+</w:t>
            </w:r>
            <w:r w:rsidRPr="00722A47">
              <w:rPr>
                <w:rFonts w:ascii="Times New Roman" w:eastAsia="Times New Roman" w:hAnsi="Times New Roman" w:cs="Times New Roman"/>
                <w:sz w:val="24"/>
                <w:szCs w:val="24"/>
                <w:vertAlign w:val="superscript"/>
                <w:lang w:eastAsia="de-DE"/>
              </w:rPr>
              <w:t>2)</w:t>
            </w:r>
          </w:p>
        </w:tc>
        <w:tc>
          <w:tcPr>
            <w:tcW w:w="681" w:type="dxa"/>
            <w:shd w:val="clear" w:color="auto" w:fill="auto"/>
            <w:vAlign w:val="center"/>
          </w:tcPr>
          <w:p w14:paraId="495B2F6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74D1037" w14:textId="77777777" w:rsidTr="004954C9">
        <w:trPr>
          <w:trHeight w:val="20"/>
        </w:trPr>
        <w:tc>
          <w:tcPr>
            <w:tcW w:w="478" w:type="dxa"/>
            <w:noWrap/>
          </w:tcPr>
          <w:p w14:paraId="01B49B4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B7</w:t>
            </w:r>
          </w:p>
        </w:tc>
        <w:tc>
          <w:tcPr>
            <w:tcW w:w="4284" w:type="dxa"/>
          </w:tcPr>
          <w:p w14:paraId="08B5E5F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4543C8D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547BB81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952CB9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85902E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39D1F1E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638E58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FCB67D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095C0C4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2B500A3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8A399B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7B7976A" w14:textId="77777777" w:rsidTr="004954C9">
        <w:trPr>
          <w:trHeight w:val="20"/>
        </w:trPr>
        <w:tc>
          <w:tcPr>
            <w:tcW w:w="478" w:type="dxa"/>
            <w:noWrap/>
          </w:tcPr>
          <w:p w14:paraId="62740F2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B8</w:t>
            </w:r>
          </w:p>
        </w:tc>
        <w:tc>
          <w:tcPr>
            <w:tcW w:w="4284" w:type="dxa"/>
          </w:tcPr>
          <w:p w14:paraId="1976511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6B10C35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7D234D2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E53BBF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D5DE03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1570A69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1DB45A5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AFB2AE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00AAA61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2DB2414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A7E3B5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28A840D2" w14:textId="77777777" w:rsidTr="004954C9">
        <w:trPr>
          <w:trHeight w:val="20"/>
        </w:trPr>
        <w:tc>
          <w:tcPr>
            <w:tcW w:w="478" w:type="dxa"/>
            <w:noWrap/>
          </w:tcPr>
          <w:p w14:paraId="6938AA0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B9</w:t>
            </w:r>
          </w:p>
        </w:tc>
        <w:tc>
          <w:tcPr>
            <w:tcW w:w="4284" w:type="dxa"/>
          </w:tcPr>
          <w:p w14:paraId="3DE032C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5D08BA6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32E417E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374BC0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05E0F3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137B881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052036D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3FE4AC3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42AEEF0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4C15AD5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6A8112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2A48D92" w14:textId="77777777" w:rsidTr="004954C9">
        <w:trPr>
          <w:trHeight w:val="20"/>
        </w:trPr>
        <w:tc>
          <w:tcPr>
            <w:tcW w:w="478" w:type="dxa"/>
            <w:noWrap/>
          </w:tcPr>
          <w:p w14:paraId="59CB7EC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B10</w:t>
            </w:r>
          </w:p>
        </w:tc>
        <w:tc>
          <w:tcPr>
            <w:tcW w:w="4284" w:type="dxa"/>
          </w:tcPr>
          <w:p w14:paraId="6ECC2F0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2A34EDF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4B9B0A0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5DBB55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8C7759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06F6C5D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40FEA5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319D2E3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603F44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10BF86B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1E9FC71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2DC20E29" w14:textId="77777777" w:rsidTr="004954C9">
        <w:trPr>
          <w:trHeight w:val="20"/>
        </w:trPr>
        <w:tc>
          <w:tcPr>
            <w:tcW w:w="478" w:type="dxa"/>
            <w:noWrap/>
          </w:tcPr>
          <w:p w14:paraId="2DD8154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B11</w:t>
            </w:r>
          </w:p>
        </w:tc>
        <w:tc>
          <w:tcPr>
            <w:tcW w:w="4284" w:type="dxa"/>
          </w:tcPr>
          <w:p w14:paraId="55B5D6C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Spezielle Bodenschicht der Bahnbauweise H</w:t>
            </w:r>
          </w:p>
        </w:tc>
        <w:tc>
          <w:tcPr>
            <w:tcW w:w="865" w:type="dxa"/>
            <w:noWrap/>
            <w:vAlign w:val="center"/>
          </w:tcPr>
          <w:p w14:paraId="3BFE80A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D99EB5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4E5772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72195FF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5282B10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ACDA1B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DC203A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5714238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AA3821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3A25900A" w14:textId="77777777" w:rsidTr="004954C9">
        <w:trPr>
          <w:trHeight w:val="20"/>
        </w:trPr>
        <w:tc>
          <w:tcPr>
            <w:tcW w:w="478" w:type="dxa"/>
            <w:noWrap/>
          </w:tcPr>
          <w:p w14:paraId="08A60D0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B12</w:t>
            </w:r>
          </w:p>
        </w:tc>
        <w:tc>
          <w:tcPr>
            <w:tcW w:w="4284" w:type="dxa"/>
          </w:tcPr>
          <w:p w14:paraId="654E2F4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037905C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Standard Damm </w:t>
            </w:r>
          </w:p>
        </w:tc>
        <w:tc>
          <w:tcPr>
            <w:tcW w:w="865" w:type="dxa"/>
            <w:noWrap/>
            <w:vAlign w:val="center"/>
          </w:tcPr>
          <w:p w14:paraId="54DE3E6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D0C392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8FA4BB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05367EC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16AA319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A3E636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66771FB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030847B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6FB2D1B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6ADD7F6B" w14:textId="77777777" w:rsidTr="004954C9">
        <w:trPr>
          <w:trHeight w:val="20"/>
        </w:trPr>
        <w:tc>
          <w:tcPr>
            <w:tcW w:w="478" w:type="dxa"/>
            <w:noWrap/>
          </w:tcPr>
          <w:p w14:paraId="4E139F9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B13</w:t>
            </w:r>
          </w:p>
        </w:tc>
        <w:tc>
          <w:tcPr>
            <w:tcW w:w="4284" w:type="dxa"/>
          </w:tcPr>
          <w:p w14:paraId="61DDE9B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195B585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Standard Einschnitt</w:t>
            </w:r>
          </w:p>
        </w:tc>
        <w:tc>
          <w:tcPr>
            <w:tcW w:w="865" w:type="dxa"/>
            <w:noWrap/>
            <w:vAlign w:val="center"/>
          </w:tcPr>
          <w:p w14:paraId="6057B83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0424CC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A88366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469AD0A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C44417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190F43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50F57E0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74EFC3A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D31CEF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0ADADC04" w14:textId="77777777" w:rsidTr="004954C9">
        <w:trPr>
          <w:trHeight w:val="20"/>
        </w:trPr>
        <w:tc>
          <w:tcPr>
            <w:tcW w:w="478" w:type="dxa"/>
            <w:noWrap/>
          </w:tcPr>
          <w:p w14:paraId="4E6E13B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B14</w:t>
            </w:r>
          </w:p>
        </w:tc>
        <w:tc>
          <w:tcPr>
            <w:tcW w:w="4284" w:type="dxa"/>
          </w:tcPr>
          <w:p w14:paraId="6FF770C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H</w:t>
            </w:r>
          </w:p>
        </w:tc>
        <w:tc>
          <w:tcPr>
            <w:tcW w:w="865" w:type="dxa"/>
            <w:noWrap/>
            <w:vAlign w:val="center"/>
          </w:tcPr>
          <w:p w14:paraId="02AD801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516F20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C4EE46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299E5F8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BC3726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4094B6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039FD5F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25E11DA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483A97B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5901674C" w14:textId="77777777" w:rsidTr="004954C9">
        <w:trPr>
          <w:trHeight w:val="20"/>
        </w:trPr>
        <w:tc>
          <w:tcPr>
            <w:tcW w:w="478" w:type="dxa"/>
            <w:noWrap/>
          </w:tcPr>
          <w:p w14:paraId="0937301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B15</w:t>
            </w:r>
          </w:p>
        </w:tc>
        <w:tc>
          <w:tcPr>
            <w:tcW w:w="4284" w:type="dxa"/>
          </w:tcPr>
          <w:p w14:paraId="253CA36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225526A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H modifiziert</w:t>
            </w:r>
          </w:p>
        </w:tc>
        <w:tc>
          <w:tcPr>
            <w:tcW w:w="865" w:type="dxa"/>
            <w:noWrap/>
            <w:vAlign w:val="center"/>
          </w:tcPr>
          <w:p w14:paraId="37B8505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4EE457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3EB9A6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708E654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1CF960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33BA761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1351F08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49855B8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1C147CB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2F3DB944" w14:textId="77777777" w:rsidTr="004954C9">
        <w:trPr>
          <w:trHeight w:val="20"/>
        </w:trPr>
        <w:tc>
          <w:tcPr>
            <w:tcW w:w="478" w:type="dxa"/>
            <w:noWrap/>
          </w:tcPr>
          <w:p w14:paraId="25E4C14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B16</w:t>
            </w:r>
          </w:p>
        </w:tc>
        <w:tc>
          <w:tcPr>
            <w:tcW w:w="4284" w:type="dxa"/>
          </w:tcPr>
          <w:p w14:paraId="53D68AA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w:t>
            </w:r>
          </w:p>
        </w:tc>
        <w:tc>
          <w:tcPr>
            <w:tcW w:w="865" w:type="dxa"/>
            <w:noWrap/>
            <w:vAlign w:val="center"/>
          </w:tcPr>
          <w:p w14:paraId="68919FF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5B310F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19E90B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2B22DD8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73985E9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3772116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2E11DBE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E2E1E0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A4409E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59D0712A" w14:textId="77777777" w:rsidTr="004954C9">
        <w:trPr>
          <w:trHeight w:val="20"/>
        </w:trPr>
        <w:tc>
          <w:tcPr>
            <w:tcW w:w="478" w:type="dxa"/>
            <w:noWrap/>
          </w:tcPr>
          <w:p w14:paraId="6DF93C5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B17</w:t>
            </w:r>
          </w:p>
        </w:tc>
        <w:tc>
          <w:tcPr>
            <w:tcW w:w="4284" w:type="dxa"/>
          </w:tcPr>
          <w:p w14:paraId="0D8BEEB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w:t>
            </w:r>
          </w:p>
        </w:tc>
        <w:tc>
          <w:tcPr>
            <w:tcW w:w="865" w:type="dxa"/>
            <w:noWrap/>
            <w:vAlign w:val="center"/>
          </w:tcPr>
          <w:p w14:paraId="4C5246C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B72787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184593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0D5EEFE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0E26BD8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F42800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53629B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9EA3819" w14:textId="77777777" w:rsidR="00722A47" w:rsidRPr="00722A47" w:rsidRDefault="00722A47" w:rsidP="00722A47">
            <w:pPr>
              <w:spacing w:before="0" w:after="0"/>
              <w:jc w:val="left"/>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9771E4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5E1D0D8D" w14:textId="77777777" w:rsidTr="004954C9">
        <w:trPr>
          <w:trHeight w:val="20"/>
        </w:trPr>
        <w:tc>
          <w:tcPr>
            <w:tcW w:w="478" w:type="dxa"/>
            <w:noWrap/>
          </w:tcPr>
          <w:p w14:paraId="2C92320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B18</w:t>
            </w:r>
          </w:p>
        </w:tc>
        <w:tc>
          <w:tcPr>
            <w:tcW w:w="4284" w:type="dxa"/>
          </w:tcPr>
          <w:p w14:paraId="7F95DAE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 mit Randwegabdichtung oberhalb der FSS</w:t>
            </w:r>
          </w:p>
        </w:tc>
        <w:tc>
          <w:tcPr>
            <w:tcW w:w="865" w:type="dxa"/>
            <w:noWrap/>
            <w:vAlign w:val="center"/>
          </w:tcPr>
          <w:p w14:paraId="32FAED9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F7A6DE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6D66CB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1B166F3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6B67C9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1D7336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17DBE23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983269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76D107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414DF62" w14:textId="77777777" w:rsidTr="004954C9">
        <w:trPr>
          <w:trHeight w:val="20"/>
        </w:trPr>
        <w:tc>
          <w:tcPr>
            <w:tcW w:w="478" w:type="dxa"/>
            <w:noWrap/>
          </w:tcPr>
          <w:p w14:paraId="1B9DCB2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B19</w:t>
            </w:r>
          </w:p>
        </w:tc>
        <w:tc>
          <w:tcPr>
            <w:tcW w:w="4284" w:type="dxa"/>
          </w:tcPr>
          <w:p w14:paraId="0F86F3A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 mit Randwegabdichtung</w:t>
            </w:r>
          </w:p>
        </w:tc>
        <w:tc>
          <w:tcPr>
            <w:tcW w:w="865" w:type="dxa"/>
            <w:noWrap/>
            <w:vAlign w:val="center"/>
          </w:tcPr>
          <w:p w14:paraId="473E23C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5EEBE5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309DD6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4C7FE70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61CDCD6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F4CEF0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57AFC3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A2AC2E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5846B4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B0A8FBE" w14:textId="77777777" w:rsidTr="004954C9">
        <w:trPr>
          <w:trHeight w:val="20"/>
        </w:trPr>
        <w:tc>
          <w:tcPr>
            <w:tcW w:w="478" w:type="dxa"/>
            <w:noWrap/>
          </w:tcPr>
          <w:p w14:paraId="4FCA82D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B20</w:t>
            </w:r>
          </w:p>
        </w:tc>
        <w:tc>
          <w:tcPr>
            <w:tcW w:w="4284" w:type="dxa"/>
          </w:tcPr>
          <w:p w14:paraId="270AAD4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unterhalb </w:t>
            </w: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bzw. PSS der Bahnbauweise E 1</w:t>
            </w:r>
          </w:p>
        </w:tc>
        <w:tc>
          <w:tcPr>
            <w:tcW w:w="865" w:type="dxa"/>
            <w:noWrap/>
            <w:vAlign w:val="center"/>
          </w:tcPr>
          <w:p w14:paraId="5FA64C9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9D527D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166BEB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6DAF819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010B7B8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308E1B9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6C5693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E633864" w14:textId="77777777" w:rsidR="00722A47" w:rsidRPr="00722A47" w:rsidRDefault="00722A47" w:rsidP="00722A47">
            <w:pPr>
              <w:spacing w:before="0" w:after="0"/>
              <w:jc w:val="left"/>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F7733C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5C57BB5" w14:textId="77777777" w:rsidTr="004954C9">
        <w:trPr>
          <w:trHeight w:val="20"/>
        </w:trPr>
        <w:tc>
          <w:tcPr>
            <w:tcW w:w="478" w:type="dxa"/>
            <w:noWrap/>
          </w:tcPr>
          <w:p w14:paraId="6F39514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B21</w:t>
            </w:r>
          </w:p>
        </w:tc>
        <w:tc>
          <w:tcPr>
            <w:tcW w:w="4284" w:type="dxa"/>
          </w:tcPr>
          <w:p w14:paraId="04EEED4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1 mit Dichtungselement auf dem Planum</w:t>
            </w:r>
          </w:p>
        </w:tc>
        <w:tc>
          <w:tcPr>
            <w:tcW w:w="865" w:type="dxa"/>
            <w:noWrap/>
            <w:vAlign w:val="center"/>
          </w:tcPr>
          <w:p w14:paraId="5D126FE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75C9F7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75EF6F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013648C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1A93310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BCD4DA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2E29297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C29A7D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518DC3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46BC9BE" w14:textId="77777777" w:rsidTr="004954C9">
        <w:trPr>
          <w:trHeight w:val="20"/>
        </w:trPr>
        <w:tc>
          <w:tcPr>
            <w:tcW w:w="478" w:type="dxa"/>
            <w:noWrap/>
          </w:tcPr>
          <w:p w14:paraId="0427920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B22</w:t>
            </w:r>
          </w:p>
        </w:tc>
        <w:tc>
          <w:tcPr>
            <w:tcW w:w="4284" w:type="dxa"/>
          </w:tcPr>
          <w:p w14:paraId="7D1A67D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Tragschicht als witterungsunempfindliches Dichtungselement der Bahnbauweise E 2</w:t>
            </w:r>
          </w:p>
        </w:tc>
        <w:tc>
          <w:tcPr>
            <w:tcW w:w="865" w:type="dxa"/>
            <w:noWrap/>
            <w:vAlign w:val="center"/>
          </w:tcPr>
          <w:p w14:paraId="790DA32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B37F98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D6CE0C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64F8DEC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A867A7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415E83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77AB23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6914BEB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BE4D27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68E110D8" w14:textId="77777777" w:rsidTr="004954C9">
        <w:trPr>
          <w:trHeight w:val="20"/>
        </w:trPr>
        <w:tc>
          <w:tcPr>
            <w:tcW w:w="478" w:type="dxa"/>
            <w:noWrap/>
          </w:tcPr>
          <w:p w14:paraId="6627710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B23</w:t>
            </w:r>
          </w:p>
        </w:tc>
        <w:tc>
          <w:tcPr>
            <w:tcW w:w="4284" w:type="dxa"/>
          </w:tcPr>
          <w:p w14:paraId="12285F9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2</w:t>
            </w:r>
          </w:p>
        </w:tc>
        <w:tc>
          <w:tcPr>
            <w:tcW w:w="865" w:type="dxa"/>
            <w:noWrap/>
            <w:vAlign w:val="center"/>
          </w:tcPr>
          <w:p w14:paraId="31E78D8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B2D48F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353F14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365D408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281A3A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326F4BD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72BDC76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597B91E" w14:textId="77777777" w:rsidR="00722A47" w:rsidRPr="00722A47" w:rsidRDefault="00722A47" w:rsidP="00722A47">
            <w:pPr>
              <w:spacing w:before="0" w:after="0"/>
              <w:jc w:val="left"/>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8A5BA1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38CBAB45" w14:textId="77777777" w:rsidTr="004954C9">
        <w:trPr>
          <w:trHeight w:val="20"/>
        </w:trPr>
        <w:tc>
          <w:tcPr>
            <w:tcW w:w="478" w:type="dxa"/>
            <w:noWrap/>
          </w:tcPr>
          <w:p w14:paraId="1D501E6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B24</w:t>
            </w:r>
          </w:p>
        </w:tc>
        <w:tc>
          <w:tcPr>
            <w:tcW w:w="4284" w:type="dxa"/>
          </w:tcPr>
          <w:p w14:paraId="25AB8A3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und Unterbau (Damm) der Bahnbauweise E 3a</w:t>
            </w:r>
          </w:p>
        </w:tc>
        <w:tc>
          <w:tcPr>
            <w:tcW w:w="865" w:type="dxa"/>
            <w:noWrap/>
            <w:vAlign w:val="center"/>
          </w:tcPr>
          <w:p w14:paraId="40E26BA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94888F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EBB0E0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6916C38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958759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41A4611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A2CDE5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065B3BB4" w14:textId="77777777" w:rsidR="00722A47" w:rsidRPr="00722A47" w:rsidRDefault="00722A47" w:rsidP="00722A47">
            <w:pPr>
              <w:spacing w:before="0" w:after="0"/>
              <w:jc w:val="left"/>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50E186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BC02736" w14:textId="77777777" w:rsidTr="004954C9">
        <w:trPr>
          <w:trHeight w:val="20"/>
        </w:trPr>
        <w:tc>
          <w:tcPr>
            <w:tcW w:w="478" w:type="dxa"/>
            <w:noWrap/>
          </w:tcPr>
          <w:p w14:paraId="78764D3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B25</w:t>
            </w:r>
          </w:p>
        </w:tc>
        <w:tc>
          <w:tcPr>
            <w:tcW w:w="4284" w:type="dxa"/>
          </w:tcPr>
          <w:p w14:paraId="6D7CCD9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der Bahnbauweise E 3b</w:t>
            </w:r>
          </w:p>
        </w:tc>
        <w:tc>
          <w:tcPr>
            <w:tcW w:w="865" w:type="dxa"/>
            <w:noWrap/>
            <w:vAlign w:val="center"/>
          </w:tcPr>
          <w:p w14:paraId="67E8AE1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46C83A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2034D7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43BFF07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5784F4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3865F6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50637D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A9871D8" w14:textId="77777777" w:rsidR="00722A47" w:rsidRPr="00722A47" w:rsidRDefault="00722A47" w:rsidP="00722A47">
            <w:pPr>
              <w:spacing w:before="0" w:after="0"/>
              <w:jc w:val="left"/>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5543D4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5808EFB" w14:textId="77777777" w:rsidTr="004954C9">
        <w:trPr>
          <w:trHeight w:val="208"/>
        </w:trPr>
        <w:tc>
          <w:tcPr>
            <w:tcW w:w="478" w:type="dxa"/>
            <w:noWrap/>
          </w:tcPr>
          <w:p w14:paraId="35AD089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B26</w:t>
            </w:r>
          </w:p>
        </w:tc>
        <w:tc>
          <w:tcPr>
            <w:tcW w:w="4284" w:type="dxa"/>
          </w:tcPr>
          <w:p w14:paraId="4A2FC87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3b</w:t>
            </w:r>
          </w:p>
        </w:tc>
        <w:tc>
          <w:tcPr>
            <w:tcW w:w="865" w:type="dxa"/>
            <w:noWrap/>
            <w:vAlign w:val="center"/>
          </w:tcPr>
          <w:p w14:paraId="2629A8B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73A2C2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DBCAC6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4A2FF71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D27F6D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1347D4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05B5EB7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2F17581A" w14:textId="77777777" w:rsidR="00722A47" w:rsidRPr="00722A47" w:rsidRDefault="00722A47" w:rsidP="00722A47">
            <w:pPr>
              <w:spacing w:before="0" w:after="0"/>
              <w:jc w:val="left"/>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D9B9A7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bl>
    <w:p w14:paraId="6FFA1A48" w14:textId="77777777" w:rsidR="00722A47" w:rsidRPr="00722A47" w:rsidRDefault="00722A47" w:rsidP="00722A47">
      <w:pPr>
        <w:spacing w:before="0" w:after="0"/>
        <w:jc w:val="left"/>
        <w:rPr>
          <w:rFonts w:ascii="Times New Roman" w:eastAsia="Times New Roman" w:hAnsi="Times New Roman" w:cs="Times New Roman"/>
          <w:sz w:val="16"/>
          <w:szCs w:val="20"/>
          <w:lang w:eastAsia="de-DE"/>
        </w:rPr>
      </w:pPr>
      <w:r w:rsidRPr="00722A47">
        <w:rPr>
          <w:rFonts w:ascii="Times New Roman" w:eastAsia="Times New Roman" w:hAnsi="Times New Roman" w:cs="Times New Roman"/>
          <w:sz w:val="16"/>
          <w:szCs w:val="20"/>
          <w:lang w:eastAsia="de-DE"/>
        </w:rPr>
        <w:t xml:space="preserve">1) Zulässig, wenn Chrom, ges.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25 µg/l und Vanadium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50 µg/l.</w:t>
      </w:r>
    </w:p>
    <w:p w14:paraId="68CF39F5" w14:textId="77777777" w:rsidR="00722A47" w:rsidRPr="00722A47" w:rsidRDefault="00722A47" w:rsidP="00722A47">
      <w:pPr>
        <w:spacing w:before="0" w:after="0"/>
        <w:jc w:val="left"/>
        <w:rPr>
          <w:rFonts w:ascii="Times New Roman" w:eastAsia="Times New Roman" w:hAnsi="Times New Roman" w:cs="Times New Roman"/>
          <w:sz w:val="16"/>
          <w:szCs w:val="20"/>
          <w:lang w:eastAsia="de-DE"/>
        </w:rPr>
      </w:pPr>
      <w:r w:rsidRPr="00722A47">
        <w:rPr>
          <w:rFonts w:ascii="Times New Roman" w:eastAsia="Times New Roman" w:hAnsi="Times New Roman" w:cs="Times New Roman"/>
          <w:sz w:val="16"/>
          <w:szCs w:val="20"/>
          <w:lang w:eastAsia="de-DE"/>
        </w:rPr>
        <w:t xml:space="preserve">2) Zulässig, wenn Vanadium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130 µg/l. </w:t>
      </w:r>
    </w:p>
    <w:p w14:paraId="2BF4807B" w14:textId="4E3D8D33" w:rsidR="00722A47" w:rsidRPr="008D0377" w:rsidRDefault="00722A47" w:rsidP="00722A47">
      <w:pPr>
        <w:pStyle w:val="berschrift1"/>
      </w:pPr>
      <w:r>
        <w:rPr>
          <w:rFonts w:ascii="Times New Roman" w:eastAsia="Times New Roman" w:hAnsi="Times New Roman" w:cs="Times New Roman"/>
          <w:sz w:val="16"/>
          <w:szCs w:val="16"/>
          <w:lang w:eastAsia="de-DE"/>
        </w:rPr>
        <w:br w:type="page"/>
      </w:r>
      <w:r w:rsidRPr="008D0377">
        <w:lastRenderedPageBreak/>
        <w:t>Tabelle 12: Stahlwerksschlacke der Klasse 1 (SWS-1)</w:t>
      </w:r>
    </w:p>
    <w:p w14:paraId="5DF1ACF3" w14:textId="77777777" w:rsidR="00722A47" w:rsidRPr="00722A47" w:rsidRDefault="00722A47" w:rsidP="00722A47">
      <w:pPr>
        <w:pStyle w:val="Text"/>
      </w:pPr>
    </w:p>
    <w:tbl>
      <w:tblPr>
        <w:tblW w:w="11214" w:type="dxa"/>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
        <w:gridCol w:w="4284"/>
        <w:gridCol w:w="865"/>
        <w:gridCol w:w="675"/>
        <w:gridCol w:w="1205"/>
        <w:gridCol w:w="607"/>
        <w:gridCol w:w="715"/>
        <w:gridCol w:w="508"/>
        <w:gridCol w:w="715"/>
        <w:gridCol w:w="551"/>
        <w:gridCol w:w="715"/>
      </w:tblGrid>
      <w:tr w:rsidR="00722A47" w:rsidRPr="00722A47" w14:paraId="4E77B452" w14:textId="77777777" w:rsidTr="004954C9">
        <w:trPr>
          <w:trHeight w:val="330"/>
        </w:trPr>
        <w:tc>
          <w:tcPr>
            <w:tcW w:w="11214" w:type="dxa"/>
            <w:gridSpan w:val="11"/>
            <w:noWrap/>
            <w:vAlign w:val="bottom"/>
          </w:tcPr>
          <w:p w14:paraId="1B84BDF2" w14:textId="77777777" w:rsidR="00722A47" w:rsidRPr="00722A47" w:rsidRDefault="00722A47" w:rsidP="00722A47">
            <w:pPr>
              <w:spacing w:before="0" w:after="0"/>
              <w:jc w:val="center"/>
              <w:rPr>
                <w:rFonts w:ascii="Times New Roman" w:eastAsia="Times New Roman" w:hAnsi="Times New Roman" w:cs="Times New Roman"/>
                <w:b/>
                <w:bCs/>
                <w:sz w:val="24"/>
                <w:szCs w:val="24"/>
                <w:lang w:eastAsia="de-DE"/>
              </w:rPr>
            </w:pPr>
            <w:r w:rsidRPr="00722A47">
              <w:rPr>
                <w:rFonts w:ascii="Times New Roman" w:eastAsia="Times New Roman" w:hAnsi="Times New Roman" w:cs="Times New Roman"/>
                <w:b/>
                <w:sz w:val="24"/>
                <w:szCs w:val="20"/>
                <w:lang w:eastAsia="de-DE"/>
              </w:rPr>
              <w:br w:type="page"/>
            </w:r>
            <w:r w:rsidRPr="00722A47">
              <w:rPr>
                <w:rFonts w:ascii="Times New Roman" w:eastAsia="Times New Roman" w:hAnsi="Times New Roman" w:cs="Times New Roman"/>
                <w:b/>
                <w:sz w:val="24"/>
                <w:szCs w:val="24"/>
                <w:lang w:eastAsia="de-DE"/>
              </w:rPr>
              <w:t>Stahlwerksschlacke der Klasse 2 (</w:t>
            </w:r>
            <w:r w:rsidRPr="00722A47">
              <w:rPr>
                <w:rFonts w:ascii="Times New Roman" w:eastAsia="Times New Roman" w:hAnsi="Times New Roman" w:cs="Tahoma"/>
                <w:b/>
                <w:bCs/>
                <w:sz w:val="24"/>
                <w:szCs w:val="24"/>
                <w:lang w:eastAsia="de-DE"/>
              </w:rPr>
              <w:t>SWS-2)</w:t>
            </w:r>
          </w:p>
        </w:tc>
      </w:tr>
      <w:tr w:rsidR="00722A47" w:rsidRPr="00722A47" w14:paraId="2388D37E" w14:textId="77777777" w:rsidTr="004954C9">
        <w:trPr>
          <w:trHeight w:val="20"/>
        </w:trPr>
        <w:tc>
          <w:tcPr>
            <w:tcW w:w="4762" w:type="dxa"/>
            <w:gridSpan w:val="2"/>
            <w:vMerge w:val="restart"/>
            <w:shd w:val="clear" w:color="auto" w:fill="auto"/>
            <w:noWrap/>
          </w:tcPr>
          <w:p w14:paraId="614D8B99"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Einbauweise</w:t>
            </w:r>
          </w:p>
        </w:tc>
        <w:tc>
          <w:tcPr>
            <w:tcW w:w="6452" w:type="dxa"/>
            <w:gridSpan w:val="9"/>
            <w:shd w:val="clear" w:color="auto" w:fill="auto"/>
            <w:noWrap/>
            <w:vAlign w:val="center"/>
          </w:tcPr>
          <w:p w14:paraId="76F1564E"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Eigenschaft der Grundwasserdeckschicht</w:t>
            </w:r>
          </w:p>
        </w:tc>
      </w:tr>
      <w:tr w:rsidR="00722A47" w:rsidRPr="00722A47" w14:paraId="3A846BAB" w14:textId="77777777" w:rsidTr="004954C9">
        <w:trPr>
          <w:trHeight w:val="20"/>
        </w:trPr>
        <w:tc>
          <w:tcPr>
            <w:tcW w:w="4762" w:type="dxa"/>
            <w:gridSpan w:val="2"/>
            <w:vMerge/>
            <w:shd w:val="clear" w:color="auto" w:fill="auto"/>
            <w:noWrap/>
            <w:vAlign w:val="center"/>
          </w:tcPr>
          <w:p w14:paraId="532644A4" w14:textId="77777777" w:rsidR="00722A47" w:rsidRPr="00722A47" w:rsidRDefault="00722A47" w:rsidP="00722A47">
            <w:pPr>
              <w:spacing w:before="0" w:after="0"/>
              <w:jc w:val="center"/>
              <w:rPr>
                <w:rFonts w:ascii="Times New Roman" w:eastAsia="Times New Roman" w:hAnsi="Times New Roman" w:cs="Times New Roman"/>
                <w:sz w:val="20"/>
                <w:szCs w:val="24"/>
                <w:lang w:eastAsia="de-DE"/>
              </w:rPr>
            </w:pPr>
          </w:p>
        </w:tc>
        <w:tc>
          <w:tcPr>
            <w:tcW w:w="2745" w:type="dxa"/>
            <w:gridSpan w:val="3"/>
            <w:shd w:val="clear" w:color="auto" w:fill="auto"/>
            <w:noWrap/>
            <w:vAlign w:val="center"/>
          </w:tcPr>
          <w:p w14:paraId="7E24266F"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außerhalb von</w:t>
            </w:r>
          </w:p>
          <w:p w14:paraId="4BE36EE1"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c>
          <w:tcPr>
            <w:tcW w:w="3707" w:type="dxa"/>
            <w:gridSpan w:val="6"/>
            <w:shd w:val="clear" w:color="auto" w:fill="auto"/>
            <w:noWrap/>
            <w:vAlign w:val="center"/>
          </w:tcPr>
          <w:p w14:paraId="6F217FA2"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innerhalb von</w:t>
            </w:r>
          </w:p>
          <w:p w14:paraId="732A5825"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r>
      <w:tr w:rsidR="00722A47" w:rsidRPr="00722A47" w14:paraId="40AA3611" w14:textId="77777777" w:rsidTr="004954C9">
        <w:trPr>
          <w:trHeight w:val="20"/>
        </w:trPr>
        <w:tc>
          <w:tcPr>
            <w:tcW w:w="4762" w:type="dxa"/>
            <w:gridSpan w:val="2"/>
            <w:vMerge/>
            <w:shd w:val="clear" w:color="auto" w:fill="auto"/>
            <w:noWrap/>
            <w:vAlign w:val="center"/>
          </w:tcPr>
          <w:p w14:paraId="05234C1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362A3D49"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proofErr w:type="spellStart"/>
            <w:r w:rsidRPr="00722A47">
              <w:rPr>
                <w:rFonts w:ascii="Times New Roman" w:eastAsia="Times New Roman" w:hAnsi="Times New Roman" w:cs="Times New Roman"/>
                <w:sz w:val="20"/>
                <w:szCs w:val="20"/>
                <w:lang w:eastAsia="de-DE"/>
              </w:rPr>
              <w:t>un</w:t>
            </w:r>
            <w:proofErr w:type="spellEnd"/>
            <w:r w:rsidRPr="00722A47">
              <w:rPr>
                <w:rFonts w:ascii="Times New Roman" w:eastAsia="Times New Roman" w:hAnsi="Times New Roman" w:cs="Times New Roman"/>
                <w:sz w:val="20"/>
                <w:szCs w:val="20"/>
                <w:lang w:eastAsia="de-DE"/>
              </w:rPr>
              <w:t>-günstig</w:t>
            </w:r>
          </w:p>
        </w:tc>
        <w:tc>
          <w:tcPr>
            <w:tcW w:w="1880" w:type="dxa"/>
            <w:gridSpan w:val="2"/>
            <w:shd w:val="clear" w:color="auto" w:fill="auto"/>
            <w:noWrap/>
            <w:vAlign w:val="center"/>
          </w:tcPr>
          <w:p w14:paraId="0D7DDED5"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c>
          <w:tcPr>
            <w:tcW w:w="3707" w:type="dxa"/>
            <w:gridSpan w:val="6"/>
            <w:shd w:val="clear" w:color="auto" w:fill="auto"/>
            <w:noWrap/>
            <w:vAlign w:val="center"/>
          </w:tcPr>
          <w:p w14:paraId="30DA4588"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r>
      <w:tr w:rsidR="00722A47" w:rsidRPr="00722A47" w14:paraId="03E573DD" w14:textId="77777777" w:rsidTr="004954C9">
        <w:trPr>
          <w:trHeight w:val="20"/>
        </w:trPr>
        <w:tc>
          <w:tcPr>
            <w:tcW w:w="4762" w:type="dxa"/>
            <w:gridSpan w:val="2"/>
            <w:vMerge/>
            <w:shd w:val="clear" w:color="auto" w:fill="auto"/>
            <w:noWrap/>
            <w:vAlign w:val="center"/>
          </w:tcPr>
          <w:p w14:paraId="5CE904D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val="restart"/>
            <w:shd w:val="clear" w:color="auto" w:fill="auto"/>
            <w:noWrap/>
            <w:vAlign w:val="bottom"/>
          </w:tcPr>
          <w:p w14:paraId="726B7DB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val="restart"/>
            <w:shd w:val="clear" w:color="auto" w:fill="auto"/>
            <w:noWrap/>
            <w:vAlign w:val="center"/>
          </w:tcPr>
          <w:p w14:paraId="20C234D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1205" w:type="dxa"/>
            <w:vMerge w:val="restart"/>
            <w:shd w:val="clear" w:color="auto" w:fill="auto"/>
            <w:noWrap/>
            <w:vAlign w:val="center"/>
          </w:tcPr>
          <w:p w14:paraId="5570E1E8" w14:textId="1719529C"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66977305" w14:textId="4182D72E"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5B247CA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1286" w:type="dxa"/>
            <w:gridSpan w:val="2"/>
            <w:shd w:val="clear" w:color="auto" w:fill="auto"/>
            <w:noWrap/>
            <w:vAlign w:val="center"/>
          </w:tcPr>
          <w:p w14:paraId="21CFEE5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A</w:t>
            </w:r>
          </w:p>
        </w:tc>
        <w:tc>
          <w:tcPr>
            <w:tcW w:w="1189" w:type="dxa"/>
            <w:gridSpan w:val="2"/>
            <w:shd w:val="clear" w:color="auto" w:fill="auto"/>
            <w:noWrap/>
            <w:vAlign w:val="center"/>
          </w:tcPr>
          <w:p w14:paraId="40F72BE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B</w:t>
            </w:r>
          </w:p>
        </w:tc>
        <w:tc>
          <w:tcPr>
            <w:tcW w:w="1232" w:type="dxa"/>
            <w:gridSpan w:val="2"/>
            <w:shd w:val="clear" w:color="auto" w:fill="auto"/>
            <w:noWrap/>
            <w:vAlign w:val="center"/>
          </w:tcPr>
          <w:p w14:paraId="655B8AB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Wasservor-</w:t>
            </w:r>
          </w:p>
        </w:tc>
      </w:tr>
      <w:tr w:rsidR="00722A47" w:rsidRPr="00722A47" w14:paraId="3D4D86F4" w14:textId="77777777" w:rsidTr="004954C9">
        <w:trPr>
          <w:trHeight w:val="80"/>
        </w:trPr>
        <w:tc>
          <w:tcPr>
            <w:tcW w:w="4762" w:type="dxa"/>
            <w:gridSpan w:val="2"/>
            <w:vMerge/>
            <w:shd w:val="clear" w:color="auto" w:fill="auto"/>
            <w:noWrap/>
            <w:vAlign w:val="center"/>
          </w:tcPr>
          <w:p w14:paraId="149A8F8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0881B26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72A6946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7B99067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86" w:type="dxa"/>
            <w:gridSpan w:val="2"/>
            <w:shd w:val="clear" w:color="auto" w:fill="auto"/>
            <w:noWrap/>
            <w:vAlign w:val="center"/>
          </w:tcPr>
          <w:p w14:paraId="389A009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III</w:t>
            </w:r>
          </w:p>
        </w:tc>
        <w:tc>
          <w:tcPr>
            <w:tcW w:w="1189" w:type="dxa"/>
            <w:gridSpan w:val="2"/>
            <w:shd w:val="clear" w:color="auto" w:fill="auto"/>
            <w:noWrap/>
            <w:vAlign w:val="center"/>
          </w:tcPr>
          <w:p w14:paraId="07154FF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IV</w:t>
            </w:r>
          </w:p>
        </w:tc>
        <w:tc>
          <w:tcPr>
            <w:tcW w:w="1232" w:type="dxa"/>
            <w:gridSpan w:val="2"/>
            <w:shd w:val="clear" w:color="auto" w:fill="auto"/>
            <w:noWrap/>
            <w:vAlign w:val="center"/>
          </w:tcPr>
          <w:p w14:paraId="57AA5A0D"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ranggebiete</w:t>
            </w:r>
          </w:p>
        </w:tc>
      </w:tr>
      <w:tr w:rsidR="00722A47" w:rsidRPr="00722A47" w14:paraId="112F8878" w14:textId="77777777" w:rsidTr="004954C9">
        <w:trPr>
          <w:trHeight w:val="80"/>
        </w:trPr>
        <w:tc>
          <w:tcPr>
            <w:tcW w:w="4762" w:type="dxa"/>
            <w:gridSpan w:val="2"/>
            <w:vMerge/>
            <w:shd w:val="clear" w:color="auto" w:fill="auto"/>
            <w:noWrap/>
            <w:vAlign w:val="center"/>
          </w:tcPr>
          <w:p w14:paraId="623F1D8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2A5B8FB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15A44B2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5AE2CB9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07" w:type="dxa"/>
            <w:shd w:val="clear" w:color="auto" w:fill="auto"/>
            <w:noWrap/>
            <w:vAlign w:val="center"/>
          </w:tcPr>
          <w:p w14:paraId="49A925D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79" w:type="dxa"/>
            <w:shd w:val="clear" w:color="auto" w:fill="auto"/>
            <w:vAlign w:val="center"/>
          </w:tcPr>
          <w:p w14:paraId="791D759B" w14:textId="5385D581"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7A35A69A" w14:textId="505C8EE1"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7745665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08" w:type="dxa"/>
            <w:shd w:val="clear" w:color="auto" w:fill="auto"/>
            <w:noWrap/>
            <w:vAlign w:val="center"/>
          </w:tcPr>
          <w:p w14:paraId="3C74164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4C88B488" w14:textId="09E21F7D"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3382AB76" w14:textId="42DEB868"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36F8907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51" w:type="dxa"/>
            <w:shd w:val="clear" w:color="auto" w:fill="auto"/>
            <w:noWrap/>
            <w:vAlign w:val="center"/>
          </w:tcPr>
          <w:p w14:paraId="78CB848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32A7A0E2" w14:textId="755537E2"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63D3CB5A" w14:textId="614DCB9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4F2D1FF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r>
      <w:tr w:rsidR="00722A47" w:rsidRPr="00722A47" w14:paraId="2A9E02DE" w14:textId="77777777" w:rsidTr="004954C9">
        <w:trPr>
          <w:trHeight w:val="111"/>
        </w:trPr>
        <w:tc>
          <w:tcPr>
            <w:tcW w:w="4762" w:type="dxa"/>
            <w:gridSpan w:val="2"/>
            <w:vMerge/>
            <w:shd w:val="clear" w:color="auto" w:fill="auto"/>
            <w:noWrap/>
            <w:vAlign w:val="center"/>
          </w:tcPr>
          <w:p w14:paraId="6793193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113C3B7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1</w:t>
            </w:r>
          </w:p>
        </w:tc>
        <w:tc>
          <w:tcPr>
            <w:tcW w:w="675" w:type="dxa"/>
            <w:shd w:val="clear" w:color="auto" w:fill="auto"/>
            <w:noWrap/>
            <w:vAlign w:val="center"/>
          </w:tcPr>
          <w:p w14:paraId="4EC1F2D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2</w:t>
            </w:r>
          </w:p>
        </w:tc>
        <w:tc>
          <w:tcPr>
            <w:tcW w:w="1205" w:type="dxa"/>
            <w:shd w:val="clear" w:color="auto" w:fill="auto"/>
            <w:noWrap/>
            <w:vAlign w:val="center"/>
          </w:tcPr>
          <w:p w14:paraId="018DD4D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3</w:t>
            </w:r>
          </w:p>
        </w:tc>
        <w:tc>
          <w:tcPr>
            <w:tcW w:w="1286" w:type="dxa"/>
            <w:gridSpan w:val="2"/>
            <w:shd w:val="clear" w:color="auto" w:fill="auto"/>
            <w:noWrap/>
            <w:vAlign w:val="center"/>
          </w:tcPr>
          <w:p w14:paraId="392AC81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4</w:t>
            </w:r>
          </w:p>
        </w:tc>
        <w:tc>
          <w:tcPr>
            <w:tcW w:w="1189" w:type="dxa"/>
            <w:gridSpan w:val="2"/>
            <w:shd w:val="clear" w:color="auto" w:fill="auto"/>
            <w:noWrap/>
            <w:vAlign w:val="center"/>
          </w:tcPr>
          <w:p w14:paraId="394B1CF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5</w:t>
            </w:r>
          </w:p>
        </w:tc>
        <w:tc>
          <w:tcPr>
            <w:tcW w:w="1232" w:type="dxa"/>
            <w:gridSpan w:val="2"/>
            <w:shd w:val="clear" w:color="auto" w:fill="auto"/>
            <w:noWrap/>
            <w:vAlign w:val="center"/>
          </w:tcPr>
          <w:p w14:paraId="11A2B8F3"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6</w:t>
            </w:r>
          </w:p>
        </w:tc>
      </w:tr>
      <w:tr w:rsidR="00722A47" w:rsidRPr="00722A47" w14:paraId="5BA1C024" w14:textId="77777777" w:rsidTr="004954C9">
        <w:trPr>
          <w:trHeight w:val="20"/>
        </w:trPr>
        <w:tc>
          <w:tcPr>
            <w:tcW w:w="478" w:type="dxa"/>
            <w:noWrap/>
          </w:tcPr>
          <w:p w14:paraId="0AE0C82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w:t>
            </w:r>
          </w:p>
        </w:tc>
        <w:tc>
          <w:tcPr>
            <w:tcW w:w="4284" w:type="dxa"/>
          </w:tcPr>
          <w:p w14:paraId="6C6B614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Schotteroberbau der Bahnbauweise Standard Damm </w:t>
            </w:r>
          </w:p>
        </w:tc>
        <w:tc>
          <w:tcPr>
            <w:tcW w:w="865" w:type="dxa"/>
            <w:noWrap/>
            <w:vAlign w:val="center"/>
          </w:tcPr>
          <w:p w14:paraId="6E7FA3D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1BDD1E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A2AD14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37AA7CE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2285D4E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344690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727CCD6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38E0252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09FD75E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A0105E3" w14:textId="77777777" w:rsidTr="004954C9">
        <w:trPr>
          <w:trHeight w:val="20"/>
        </w:trPr>
        <w:tc>
          <w:tcPr>
            <w:tcW w:w="478" w:type="dxa"/>
            <w:noWrap/>
          </w:tcPr>
          <w:p w14:paraId="6755040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w:t>
            </w:r>
          </w:p>
        </w:tc>
        <w:tc>
          <w:tcPr>
            <w:tcW w:w="4284" w:type="dxa"/>
          </w:tcPr>
          <w:p w14:paraId="4387C64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Standard Einschnitt</w:t>
            </w:r>
          </w:p>
        </w:tc>
        <w:tc>
          <w:tcPr>
            <w:tcW w:w="865" w:type="dxa"/>
            <w:noWrap/>
            <w:vAlign w:val="center"/>
          </w:tcPr>
          <w:p w14:paraId="4ACD52F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1F41BF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CE22EA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1C244E3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7D8E7B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73D8A7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2EF5687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17B5A5C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2EA48EA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0E67CBBE" w14:textId="77777777" w:rsidTr="004954C9">
        <w:trPr>
          <w:trHeight w:val="20"/>
        </w:trPr>
        <w:tc>
          <w:tcPr>
            <w:tcW w:w="478" w:type="dxa"/>
            <w:noWrap/>
          </w:tcPr>
          <w:p w14:paraId="144BCD4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B3</w:t>
            </w:r>
          </w:p>
        </w:tc>
        <w:tc>
          <w:tcPr>
            <w:tcW w:w="4284" w:type="dxa"/>
          </w:tcPr>
          <w:p w14:paraId="3B0EE15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w:t>
            </w:r>
          </w:p>
        </w:tc>
        <w:tc>
          <w:tcPr>
            <w:tcW w:w="865" w:type="dxa"/>
            <w:noWrap/>
            <w:vAlign w:val="center"/>
          </w:tcPr>
          <w:p w14:paraId="44E81B4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76A532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503A32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5797EA2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79FF078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47D1923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4DE2909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07D2819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31C284A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21CC7881" w14:textId="77777777" w:rsidTr="004954C9">
        <w:trPr>
          <w:trHeight w:val="20"/>
        </w:trPr>
        <w:tc>
          <w:tcPr>
            <w:tcW w:w="478" w:type="dxa"/>
            <w:noWrap/>
          </w:tcPr>
          <w:p w14:paraId="3F00000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B4</w:t>
            </w:r>
          </w:p>
        </w:tc>
        <w:tc>
          <w:tcPr>
            <w:tcW w:w="4284" w:type="dxa"/>
          </w:tcPr>
          <w:p w14:paraId="7E0DFBB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 modifiziert</w:t>
            </w:r>
          </w:p>
        </w:tc>
        <w:tc>
          <w:tcPr>
            <w:tcW w:w="865" w:type="dxa"/>
            <w:noWrap/>
            <w:vAlign w:val="center"/>
          </w:tcPr>
          <w:p w14:paraId="797F4A6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356ACB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F2D753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1DF7E0A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9716C2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F4F3B6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3DA6EEC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48242F8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2F3F131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5D2EF398" w14:textId="77777777" w:rsidTr="004954C9">
        <w:trPr>
          <w:trHeight w:val="20"/>
        </w:trPr>
        <w:tc>
          <w:tcPr>
            <w:tcW w:w="478" w:type="dxa"/>
            <w:noWrap/>
          </w:tcPr>
          <w:p w14:paraId="3C37BF3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B5</w:t>
            </w:r>
          </w:p>
        </w:tc>
        <w:tc>
          <w:tcPr>
            <w:tcW w:w="4284" w:type="dxa"/>
          </w:tcPr>
          <w:p w14:paraId="41AF45F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7C1D172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Bahnbauweise Standard Damm </w:t>
            </w:r>
          </w:p>
        </w:tc>
        <w:tc>
          <w:tcPr>
            <w:tcW w:w="865" w:type="dxa"/>
            <w:noWrap/>
            <w:vAlign w:val="center"/>
          </w:tcPr>
          <w:p w14:paraId="030D68D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47BD2C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1205" w:type="dxa"/>
            <w:noWrap/>
            <w:vAlign w:val="center"/>
          </w:tcPr>
          <w:p w14:paraId="0D50F70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7620B76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6027F22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508" w:type="dxa"/>
            <w:shd w:val="clear" w:color="auto" w:fill="auto"/>
            <w:noWrap/>
            <w:vAlign w:val="center"/>
          </w:tcPr>
          <w:p w14:paraId="7781D45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ABC692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551" w:type="dxa"/>
            <w:shd w:val="clear" w:color="auto" w:fill="auto"/>
            <w:noWrap/>
            <w:vAlign w:val="center"/>
          </w:tcPr>
          <w:p w14:paraId="391A926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auto"/>
          </w:tcPr>
          <w:p w14:paraId="4B6E2FDC" w14:textId="77777777" w:rsidR="00722A47" w:rsidRPr="00722A47" w:rsidRDefault="00722A47" w:rsidP="00722A47">
            <w:pPr>
              <w:spacing w:before="0" w:after="160"/>
              <w:jc w:val="left"/>
              <w:rPr>
                <w:rFonts w:ascii="Calibri" w:eastAsia="Calibri" w:hAnsi="Calibri" w:cs="Times New Roman"/>
                <w:sz w:val="24"/>
                <w:szCs w:val="20"/>
                <w:lang w:eastAsia="de-DE"/>
              </w:rPr>
            </w:pPr>
            <w:r w:rsidRPr="00722A47">
              <w:rPr>
                <w:rFonts w:ascii="Times New Roman" w:eastAsia="Times New Roman" w:hAnsi="Times New Roman" w:cs="Tahoma"/>
                <w:sz w:val="24"/>
                <w:szCs w:val="24"/>
                <w:lang w:eastAsia="de-DE"/>
              </w:rPr>
              <w:t>+</w:t>
            </w:r>
          </w:p>
        </w:tc>
      </w:tr>
      <w:tr w:rsidR="00722A47" w:rsidRPr="00722A47" w14:paraId="48339E45" w14:textId="77777777" w:rsidTr="004954C9">
        <w:trPr>
          <w:trHeight w:val="20"/>
        </w:trPr>
        <w:tc>
          <w:tcPr>
            <w:tcW w:w="478" w:type="dxa"/>
            <w:noWrap/>
          </w:tcPr>
          <w:p w14:paraId="6D4404E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B6</w:t>
            </w:r>
          </w:p>
        </w:tc>
        <w:tc>
          <w:tcPr>
            <w:tcW w:w="4284" w:type="dxa"/>
          </w:tcPr>
          <w:p w14:paraId="657D075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088F13A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Standard Einschnitt</w:t>
            </w:r>
          </w:p>
        </w:tc>
        <w:tc>
          <w:tcPr>
            <w:tcW w:w="865" w:type="dxa"/>
            <w:noWrap/>
            <w:vAlign w:val="center"/>
          </w:tcPr>
          <w:p w14:paraId="73F0F9D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EAD1AE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1205" w:type="dxa"/>
            <w:noWrap/>
            <w:vAlign w:val="center"/>
          </w:tcPr>
          <w:p w14:paraId="51EDBE2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28A4947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4CE173B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508" w:type="dxa"/>
            <w:shd w:val="clear" w:color="auto" w:fill="auto"/>
            <w:noWrap/>
            <w:vAlign w:val="center"/>
          </w:tcPr>
          <w:p w14:paraId="0020704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77FE38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551" w:type="dxa"/>
            <w:shd w:val="clear" w:color="auto" w:fill="auto"/>
            <w:noWrap/>
            <w:vAlign w:val="center"/>
          </w:tcPr>
          <w:p w14:paraId="0048916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1)</w:t>
            </w:r>
          </w:p>
        </w:tc>
        <w:tc>
          <w:tcPr>
            <w:tcW w:w="681" w:type="dxa"/>
            <w:shd w:val="clear" w:color="auto" w:fill="auto"/>
          </w:tcPr>
          <w:p w14:paraId="7AFFF3A9" w14:textId="77777777" w:rsidR="00722A47" w:rsidRPr="00722A47" w:rsidRDefault="00722A47" w:rsidP="00722A47">
            <w:pPr>
              <w:spacing w:before="0" w:after="160"/>
              <w:jc w:val="left"/>
              <w:rPr>
                <w:rFonts w:ascii="Calibri" w:eastAsia="Calibri" w:hAnsi="Calibri" w:cs="Times New Roman"/>
                <w:sz w:val="24"/>
                <w:szCs w:val="20"/>
                <w:lang w:eastAsia="de-DE"/>
              </w:rPr>
            </w:pPr>
            <w:r w:rsidRPr="00722A47">
              <w:rPr>
                <w:rFonts w:ascii="Times New Roman" w:eastAsia="Times New Roman" w:hAnsi="Times New Roman" w:cs="Tahoma"/>
                <w:sz w:val="24"/>
                <w:szCs w:val="24"/>
                <w:lang w:eastAsia="de-DE"/>
              </w:rPr>
              <w:t>+</w:t>
            </w:r>
          </w:p>
        </w:tc>
      </w:tr>
      <w:tr w:rsidR="00722A47" w:rsidRPr="00722A47" w14:paraId="2FD2FB6D" w14:textId="77777777" w:rsidTr="004954C9">
        <w:trPr>
          <w:trHeight w:val="20"/>
        </w:trPr>
        <w:tc>
          <w:tcPr>
            <w:tcW w:w="478" w:type="dxa"/>
            <w:noWrap/>
          </w:tcPr>
          <w:p w14:paraId="7F4B994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B7</w:t>
            </w:r>
          </w:p>
        </w:tc>
        <w:tc>
          <w:tcPr>
            <w:tcW w:w="4284" w:type="dxa"/>
          </w:tcPr>
          <w:p w14:paraId="12450FD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7E7C8DA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0B54345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86999D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63FC6F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17BFCC5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40FEA3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19854E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2BFE32D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51F0D41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F0577D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06537737" w14:textId="77777777" w:rsidTr="004954C9">
        <w:trPr>
          <w:trHeight w:val="20"/>
        </w:trPr>
        <w:tc>
          <w:tcPr>
            <w:tcW w:w="478" w:type="dxa"/>
            <w:noWrap/>
          </w:tcPr>
          <w:p w14:paraId="4C043E4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B8</w:t>
            </w:r>
          </w:p>
        </w:tc>
        <w:tc>
          <w:tcPr>
            <w:tcW w:w="4284" w:type="dxa"/>
          </w:tcPr>
          <w:p w14:paraId="59D697D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188BEFB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4B782CC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C5B8ED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F8383D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33653EE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E2BB49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DBB919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FCD496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21862F3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33CE244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2E3BA2C1" w14:textId="77777777" w:rsidTr="004954C9">
        <w:trPr>
          <w:trHeight w:val="20"/>
        </w:trPr>
        <w:tc>
          <w:tcPr>
            <w:tcW w:w="478" w:type="dxa"/>
            <w:noWrap/>
          </w:tcPr>
          <w:p w14:paraId="4B11394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B9</w:t>
            </w:r>
          </w:p>
        </w:tc>
        <w:tc>
          <w:tcPr>
            <w:tcW w:w="4284" w:type="dxa"/>
          </w:tcPr>
          <w:p w14:paraId="6ECEE00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1176910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0CA7149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0CC895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1BCBA5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0044CA1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6A097B5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8CCBDA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31946EC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2669E01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46C5D2F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6621CB8E" w14:textId="77777777" w:rsidTr="004954C9">
        <w:trPr>
          <w:trHeight w:val="20"/>
        </w:trPr>
        <w:tc>
          <w:tcPr>
            <w:tcW w:w="478" w:type="dxa"/>
            <w:noWrap/>
          </w:tcPr>
          <w:p w14:paraId="40DF891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B10</w:t>
            </w:r>
          </w:p>
        </w:tc>
        <w:tc>
          <w:tcPr>
            <w:tcW w:w="4284" w:type="dxa"/>
          </w:tcPr>
          <w:p w14:paraId="5A9B6CC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17A81EC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27B26D8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320795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FDC836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19AAF7F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4EF7A9E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E3CECD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5256AE4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6267A54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3D3CF22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6418124C" w14:textId="77777777" w:rsidTr="004954C9">
        <w:trPr>
          <w:trHeight w:val="20"/>
        </w:trPr>
        <w:tc>
          <w:tcPr>
            <w:tcW w:w="478" w:type="dxa"/>
            <w:noWrap/>
          </w:tcPr>
          <w:p w14:paraId="398AF22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B11</w:t>
            </w:r>
          </w:p>
        </w:tc>
        <w:tc>
          <w:tcPr>
            <w:tcW w:w="4284" w:type="dxa"/>
          </w:tcPr>
          <w:p w14:paraId="2279C89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Spezielle Bodenschicht der Bahnbauweise H</w:t>
            </w:r>
          </w:p>
        </w:tc>
        <w:tc>
          <w:tcPr>
            <w:tcW w:w="865" w:type="dxa"/>
            <w:noWrap/>
            <w:vAlign w:val="center"/>
          </w:tcPr>
          <w:p w14:paraId="3512438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8B605C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A08C52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5D7FB6B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0792678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699502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2A39F1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2A19EE9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3FE2350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438DE63" w14:textId="77777777" w:rsidTr="004954C9">
        <w:trPr>
          <w:trHeight w:val="20"/>
        </w:trPr>
        <w:tc>
          <w:tcPr>
            <w:tcW w:w="478" w:type="dxa"/>
            <w:noWrap/>
          </w:tcPr>
          <w:p w14:paraId="0A82CA8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B12</w:t>
            </w:r>
          </w:p>
        </w:tc>
        <w:tc>
          <w:tcPr>
            <w:tcW w:w="4284" w:type="dxa"/>
          </w:tcPr>
          <w:p w14:paraId="56A0332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5AD702A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Standard Damm </w:t>
            </w:r>
          </w:p>
        </w:tc>
        <w:tc>
          <w:tcPr>
            <w:tcW w:w="865" w:type="dxa"/>
            <w:noWrap/>
            <w:vAlign w:val="center"/>
          </w:tcPr>
          <w:p w14:paraId="058ED12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2FAE6B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E71C5A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6DB7B8C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C39B8D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D74C94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545A72F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2CF98D8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7CB844E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0B5F3EA6" w14:textId="77777777" w:rsidTr="004954C9">
        <w:trPr>
          <w:trHeight w:val="20"/>
        </w:trPr>
        <w:tc>
          <w:tcPr>
            <w:tcW w:w="478" w:type="dxa"/>
            <w:noWrap/>
          </w:tcPr>
          <w:p w14:paraId="54B84EE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B13</w:t>
            </w:r>
          </w:p>
        </w:tc>
        <w:tc>
          <w:tcPr>
            <w:tcW w:w="4284" w:type="dxa"/>
          </w:tcPr>
          <w:p w14:paraId="3DB81D6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5B4CF3A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Standard Einschnitt</w:t>
            </w:r>
          </w:p>
        </w:tc>
        <w:tc>
          <w:tcPr>
            <w:tcW w:w="865" w:type="dxa"/>
            <w:noWrap/>
            <w:vAlign w:val="center"/>
          </w:tcPr>
          <w:p w14:paraId="322D05F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44AD7E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64AA15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381BBB2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1AE7A46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4399F59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046F0E8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338D09C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44BC6AE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10C09621" w14:textId="77777777" w:rsidTr="004954C9">
        <w:trPr>
          <w:trHeight w:val="20"/>
        </w:trPr>
        <w:tc>
          <w:tcPr>
            <w:tcW w:w="478" w:type="dxa"/>
            <w:noWrap/>
          </w:tcPr>
          <w:p w14:paraId="5FF3286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B14</w:t>
            </w:r>
          </w:p>
        </w:tc>
        <w:tc>
          <w:tcPr>
            <w:tcW w:w="4284" w:type="dxa"/>
          </w:tcPr>
          <w:p w14:paraId="0E61661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H</w:t>
            </w:r>
          </w:p>
        </w:tc>
        <w:tc>
          <w:tcPr>
            <w:tcW w:w="865" w:type="dxa"/>
            <w:noWrap/>
            <w:vAlign w:val="center"/>
          </w:tcPr>
          <w:p w14:paraId="49971B9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50A140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EAFDFE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2C2EA9E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15396AE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6C6BAD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20F9C5C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29256C0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BAE821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9E4BBC8" w14:textId="77777777" w:rsidTr="004954C9">
        <w:trPr>
          <w:trHeight w:val="20"/>
        </w:trPr>
        <w:tc>
          <w:tcPr>
            <w:tcW w:w="478" w:type="dxa"/>
            <w:noWrap/>
          </w:tcPr>
          <w:p w14:paraId="474C1C3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B15</w:t>
            </w:r>
          </w:p>
        </w:tc>
        <w:tc>
          <w:tcPr>
            <w:tcW w:w="4284" w:type="dxa"/>
          </w:tcPr>
          <w:p w14:paraId="4DE28A7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06E620E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H modifiziert</w:t>
            </w:r>
          </w:p>
        </w:tc>
        <w:tc>
          <w:tcPr>
            <w:tcW w:w="865" w:type="dxa"/>
            <w:noWrap/>
            <w:vAlign w:val="center"/>
          </w:tcPr>
          <w:p w14:paraId="4589814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730890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C06D44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1D095FE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0BB049A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50567E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3B6ED3A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shd w:val="clear" w:color="auto" w:fill="FFFFFF"/>
            <w:noWrap/>
            <w:vAlign w:val="center"/>
          </w:tcPr>
          <w:p w14:paraId="25BB120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FFFFFF"/>
            <w:vAlign w:val="center"/>
          </w:tcPr>
          <w:p w14:paraId="14B048C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60AFC1BB" w14:textId="77777777" w:rsidTr="004954C9">
        <w:trPr>
          <w:trHeight w:val="20"/>
        </w:trPr>
        <w:tc>
          <w:tcPr>
            <w:tcW w:w="478" w:type="dxa"/>
            <w:noWrap/>
          </w:tcPr>
          <w:p w14:paraId="6704B80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B16</w:t>
            </w:r>
          </w:p>
        </w:tc>
        <w:tc>
          <w:tcPr>
            <w:tcW w:w="4284" w:type="dxa"/>
          </w:tcPr>
          <w:p w14:paraId="3B15C71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w:t>
            </w:r>
          </w:p>
        </w:tc>
        <w:tc>
          <w:tcPr>
            <w:tcW w:w="865" w:type="dxa"/>
            <w:noWrap/>
            <w:vAlign w:val="center"/>
          </w:tcPr>
          <w:p w14:paraId="4D841E5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08DC18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9465FE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noWrap/>
            <w:vAlign w:val="center"/>
          </w:tcPr>
          <w:p w14:paraId="5BD96D5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vAlign w:val="center"/>
          </w:tcPr>
          <w:p w14:paraId="3F458A3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9D3218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3B982C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EDA93C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264662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65643324" w14:textId="77777777" w:rsidTr="004954C9">
        <w:trPr>
          <w:trHeight w:val="20"/>
        </w:trPr>
        <w:tc>
          <w:tcPr>
            <w:tcW w:w="478" w:type="dxa"/>
            <w:noWrap/>
          </w:tcPr>
          <w:p w14:paraId="51A7FB6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B17</w:t>
            </w:r>
          </w:p>
        </w:tc>
        <w:tc>
          <w:tcPr>
            <w:tcW w:w="4284" w:type="dxa"/>
          </w:tcPr>
          <w:p w14:paraId="346562E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w:t>
            </w:r>
          </w:p>
        </w:tc>
        <w:tc>
          <w:tcPr>
            <w:tcW w:w="865" w:type="dxa"/>
            <w:noWrap/>
            <w:vAlign w:val="center"/>
          </w:tcPr>
          <w:p w14:paraId="3091389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E35344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1205" w:type="dxa"/>
            <w:noWrap/>
            <w:vAlign w:val="center"/>
          </w:tcPr>
          <w:p w14:paraId="6A225FF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43C7F24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68A6511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08" w:type="dxa"/>
            <w:shd w:val="clear" w:color="auto" w:fill="auto"/>
            <w:noWrap/>
            <w:vAlign w:val="center"/>
          </w:tcPr>
          <w:p w14:paraId="4F814A7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E1203F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51" w:type="dxa"/>
            <w:shd w:val="clear" w:color="auto" w:fill="auto"/>
            <w:noWrap/>
            <w:vAlign w:val="center"/>
          </w:tcPr>
          <w:p w14:paraId="042F84B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81" w:type="dxa"/>
            <w:shd w:val="clear" w:color="auto" w:fill="auto"/>
            <w:vAlign w:val="center"/>
          </w:tcPr>
          <w:p w14:paraId="2E03DDE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134AA198" w14:textId="77777777" w:rsidTr="004954C9">
        <w:trPr>
          <w:trHeight w:val="20"/>
        </w:trPr>
        <w:tc>
          <w:tcPr>
            <w:tcW w:w="478" w:type="dxa"/>
            <w:noWrap/>
          </w:tcPr>
          <w:p w14:paraId="500AD89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B18</w:t>
            </w:r>
          </w:p>
        </w:tc>
        <w:tc>
          <w:tcPr>
            <w:tcW w:w="4284" w:type="dxa"/>
          </w:tcPr>
          <w:p w14:paraId="4B2359D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 mit Randwegabdichtung oberhalb der FSS</w:t>
            </w:r>
          </w:p>
        </w:tc>
        <w:tc>
          <w:tcPr>
            <w:tcW w:w="865" w:type="dxa"/>
            <w:noWrap/>
            <w:vAlign w:val="center"/>
          </w:tcPr>
          <w:p w14:paraId="263A702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AEDB3A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C12EB6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7CDED74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0BF532B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58A8007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402752A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3F9A1CE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1653435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5363D861" w14:textId="77777777" w:rsidTr="004954C9">
        <w:trPr>
          <w:trHeight w:val="20"/>
        </w:trPr>
        <w:tc>
          <w:tcPr>
            <w:tcW w:w="478" w:type="dxa"/>
            <w:noWrap/>
          </w:tcPr>
          <w:p w14:paraId="312600E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B19</w:t>
            </w:r>
          </w:p>
        </w:tc>
        <w:tc>
          <w:tcPr>
            <w:tcW w:w="4284" w:type="dxa"/>
          </w:tcPr>
          <w:p w14:paraId="19FDC96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 mit Randwegabdichtung</w:t>
            </w:r>
          </w:p>
        </w:tc>
        <w:tc>
          <w:tcPr>
            <w:tcW w:w="865" w:type="dxa"/>
            <w:noWrap/>
            <w:vAlign w:val="center"/>
          </w:tcPr>
          <w:p w14:paraId="3825522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ACEAB0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5839F6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1587224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7C3B2BA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0505828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F6E249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F7E14E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2F6067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683FDD27" w14:textId="77777777" w:rsidTr="004954C9">
        <w:trPr>
          <w:trHeight w:val="20"/>
        </w:trPr>
        <w:tc>
          <w:tcPr>
            <w:tcW w:w="478" w:type="dxa"/>
            <w:noWrap/>
          </w:tcPr>
          <w:p w14:paraId="3870DB7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B20</w:t>
            </w:r>
          </w:p>
        </w:tc>
        <w:tc>
          <w:tcPr>
            <w:tcW w:w="4284" w:type="dxa"/>
          </w:tcPr>
          <w:p w14:paraId="5C9FBF4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unterhalb </w:t>
            </w: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bzw. PSS der Bahnbauweise E 1</w:t>
            </w:r>
          </w:p>
        </w:tc>
        <w:tc>
          <w:tcPr>
            <w:tcW w:w="865" w:type="dxa"/>
            <w:noWrap/>
            <w:vAlign w:val="center"/>
          </w:tcPr>
          <w:p w14:paraId="777A650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D82B40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1205" w:type="dxa"/>
            <w:noWrap/>
            <w:vAlign w:val="center"/>
          </w:tcPr>
          <w:p w14:paraId="0A406AF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6453A4EC"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77EAD7D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08" w:type="dxa"/>
            <w:shd w:val="clear" w:color="auto" w:fill="auto"/>
            <w:noWrap/>
            <w:vAlign w:val="center"/>
          </w:tcPr>
          <w:p w14:paraId="076802D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C42C08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51" w:type="dxa"/>
            <w:shd w:val="clear" w:color="auto" w:fill="auto"/>
            <w:noWrap/>
            <w:vAlign w:val="center"/>
          </w:tcPr>
          <w:p w14:paraId="67E02E7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81" w:type="dxa"/>
            <w:shd w:val="clear" w:color="auto" w:fill="auto"/>
            <w:vAlign w:val="center"/>
          </w:tcPr>
          <w:p w14:paraId="1E63730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AF688B0" w14:textId="77777777" w:rsidTr="004954C9">
        <w:trPr>
          <w:trHeight w:val="20"/>
        </w:trPr>
        <w:tc>
          <w:tcPr>
            <w:tcW w:w="478" w:type="dxa"/>
            <w:noWrap/>
          </w:tcPr>
          <w:p w14:paraId="751421A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B21</w:t>
            </w:r>
          </w:p>
        </w:tc>
        <w:tc>
          <w:tcPr>
            <w:tcW w:w="4284" w:type="dxa"/>
          </w:tcPr>
          <w:p w14:paraId="205C8AA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1 mit Dichtungselement auf dem Planum</w:t>
            </w:r>
          </w:p>
        </w:tc>
        <w:tc>
          <w:tcPr>
            <w:tcW w:w="865" w:type="dxa"/>
            <w:noWrap/>
            <w:vAlign w:val="center"/>
          </w:tcPr>
          <w:p w14:paraId="19408B2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C281B0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9A0F78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7F4449F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79D729E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4E6E74C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7E82E09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DEFDD9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61411A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598EA3D9" w14:textId="77777777" w:rsidTr="004954C9">
        <w:trPr>
          <w:trHeight w:val="20"/>
        </w:trPr>
        <w:tc>
          <w:tcPr>
            <w:tcW w:w="478" w:type="dxa"/>
            <w:noWrap/>
          </w:tcPr>
          <w:p w14:paraId="5EE6B15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B22</w:t>
            </w:r>
          </w:p>
        </w:tc>
        <w:tc>
          <w:tcPr>
            <w:tcW w:w="4284" w:type="dxa"/>
          </w:tcPr>
          <w:p w14:paraId="532F062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Tragschicht als witterungsunempfindliches Dichtungselement der Bahnbauweise E 2</w:t>
            </w:r>
          </w:p>
        </w:tc>
        <w:tc>
          <w:tcPr>
            <w:tcW w:w="865" w:type="dxa"/>
            <w:noWrap/>
            <w:vAlign w:val="center"/>
          </w:tcPr>
          <w:p w14:paraId="4E0B663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65E708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010C01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6DA7122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9" w:type="dxa"/>
            <w:shd w:val="clear" w:color="auto" w:fill="auto"/>
            <w:vAlign w:val="center"/>
          </w:tcPr>
          <w:p w14:paraId="3D6FE7B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shd w:val="clear" w:color="auto" w:fill="auto"/>
            <w:noWrap/>
            <w:vAlign w:val="center"/>
          </w:tcPr>
          <w:p w14:paraId="09191C0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23558D3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2416574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820489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8075021" w14:textId="77777777" w:rsidTr="004954C9">
        <w:trPr>
          <w:trHeight w:val="20"/>
        </w:trPr>
        <w:tc>
          <w:tcPr>
            <w:tcW w:w="478" w:type="dxa"/>
            <w:noWrap/>
          </w:tcPr>
          <w:p w14:paraId="50309C7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B23</w:t>
            </w:r>
          </w:p>
        </w:tc>
        <w:tc>
          <w:tcPr>
            <w:tcW w:w="4284" w:type="dxa"/>
          </w:tcPr>
          <w:p w14:paraId="73F04D6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2</w:t>
            </w:r>
          </w:p>
        </w:tc>
        <w:tc>
          <w:tcPr>
            <w:tcW w:w="865" w:type="dxa"/>
            <w:noWrap/>
            <w:vAlign w:val="center"/>
          </w:tcPr>
          <w:p w14:paraId="64D5B0F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4F30A6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1205" w:type="dxa"/>
            <w:noWrap/>
            <w:vAlign w:val="center"/>
          </w:tcPr>
          <w:p w14:paraId="2AE342B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6B829DD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0CEF73D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08" w:type="dxa"/>
            <w:shd w:val="clear" w:color="auto" w:fill="auto"/>
            <w:noWrap/>
            <w:vAlign w:val="center"/>
          </w:tcPr>
          <w:p w14:paraId="593BD47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752155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551" w:type="dxa"/>
            <w:shd w:val="clear" w:color="auto" w:fill="auto"/>
            <w:noWrap/>
            <w:vAlign w:val="center"/>
          </w:tcPr>
          <w:p w14:paraId="5309BB7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2)</w:t>
            </w:r>
          </w:p>
        </w:tc>
        <w:tc>
          <w:tcPr>
            <w:tcW w:w="681" w:type="dxa"/>
            <w:shd w:val="clear" w:color="auto" w:fill="auto"/>
            <w:vAlign w:val="center"/>
          </w:tcPr>
          <w:p w14:paraId="3768BC2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3087BDE2" w14:textId="77777777" w:rsidTr="004954C9">
        <w:trPr>
          <w:trHeight w:val="20"/>
        </w:trPr>
        <w:tc>
          <w:tcPr>
            <w:tcW w:w="478" w:type="dxa"/>
            <w:noWrap/>
          </w:tcPr>
          <w:p w14:paraId="5B99D6A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B24</w:t>
            </w:r>
          </w:p>
        </w:tc>
        <w:tc>
          <w:tcPr>
            <w:tcW w:w="4284" w:type="dxa"/>
          </w:tcPr>
          <w:p w14:paraId="37CCCE9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und Unterbau (Damm) der Bahnbauweise E 3a</w:t>
            </w:r>
          </w:p>
        </w:tc>
        <w:tc>
          <w:tcPr>
            <w:tcW w:w="865" w:type="dxa"/>
            <w:noWrap/>
            <w:vAlign w:val="center"/>
          </w:tcPr>
          <w:p w14:paraId="471F1FD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01688C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1205" w:type="dxa"/>
            <w:noWrap/>
            <w:vAlign w:val="center"/>
          </w:tcPr>
          <w:p w14:paraId="4B89065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62C41FB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1901F54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508" w:type="dxa"/>
            <w:shd w:val="clear" w:color="auto" w:fill="auto"/>
            <w:noWrap/>
            <w:vAlign w:val="center"/>
          </w:tcPr>
          <w:p w14:paraId="7B2C061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62F2F4B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551" w:type="dxa"/>
            <w:shd w:val="clear" w:color="auto" w:fill="auto"/>
            <w:noWrap/>
            <w:vAlign w:val="center"/>
          </w:tcPr>
          <w:p w14:paraId="1DA26E8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3)</w:t>
            </w:r>
          </w:p>
        </w:tc>
        <w:tc>
          <w:tcPr>
            <w:tcW w:w="681" w:type="dxa"/>
            <w:shd w:val="clear" w:color="auto" w:fill="auto"/>
            <w:vAlign w:val="center"/>
          </w:tcPr>
          <w:p w14:paraId="7B77731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EF67C1E" w14:textId="77777777" w:rsidTr="004954C9">
        <w:trPr>
          <w:trHeight w:val="20"/>
        </w:trPr>
        <w:tc>
          <w:tcPr>
            <w:tcW w:w="478" w:type="dxa"/>
            <w:noWrap/>
          </w:tcPr>
          <w:p w14:paraId="628C504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B25</w:t>
            </w:r>
          </w:p>
        </w:tc>
        <w:tc>
          <w:tcPr>
            <w:tcW w:w="4284" w:type="dxa"/>
          </w:tcPr>
          <w:p w14:paraId="3BF1ABE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der Bahnbauweise E 3b</w:t>
            </w:r>
          </w:p>
        </w:tc>
        <w:tc>
          <w:tcPr>
            <w:tcW w:w="865" w:type="dxa"/>
            <w:noWrap/>
            <w:vAlign w:val="center"/>
          </w:tcPr>
          <w:p w14:paraId="415DC35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51CDB4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4)</w:t>
            </w:r>
          </w:p>
        </w:tc>
        <w:tc>
          <w:tcPr>
            <w:tcW w:w="1205" w:type="dxa"/>
            <w:noWrap/>
            <w:vAlign w:val="center"/>
          </w:tcPr>
          <w:p w14:paraId="7F15A68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7CA2AAE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0782AD7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4)</w:t>
            </w:r>
          </w:p>
        </w:tc>
        <w:tc>
          <w:tcPr>
            <w:tcW w:w="508" w:type="dxa"/>
            <w:shd w:val="clear" w:color="auto" w:fill="auto"/>
            <w:noWrap/>
            <w:vAlign w:val="center"/>
          </w:tcPr>
          <w:p w14:paraId="3B468B5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1C5BACB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4)</w:t>
            </w:r>
          </w:p>
        </w:tc>
        <w:tc>
          <w:tcPr>
            <w:tcW w:w="551" w:type="dxa"/>
            <w:shd w:val="clear" w:color="auto" w:fill="auto"/>
            <w:noWrap/>
            <w:vAlign w:val="center"/>
          </w:tcPr>
          <w:p w14:paraId="03FEDAB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4)</w:t>
            </w:r>
          </w:p>
        </w:tc>
        <w:tc>
          <w:tcPr>
            <w:tcW w:w="681" w:type="dxa"/>
            <w:shd w:val="clear" w:color="auto" w:fill="auto"/>
            <w:vAlign w:val="center"/>
          </w:tcPr>
          <w:p w14:paraId="6318F18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0DF6CB16" w14:textId="77777777" w:rsidTr="004954C9">
        <w:trPr>
          <w:trHeight w:val="208"/>
        </w:trPr>
        <w:tc>
          <w:tcPr>
            <w:tcW w:w="478" w:type="dxa"/>
            <w:noWrap/>
          </w:tcPr>
          <w:p w14:paraId="61046DF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B26</w:t>
            </w:r>
          </w:p>
        </w:tc>
        <w:tc>
          <w:tcPr>
            <w:tcW w:w="4284" w:type="dxa"/>
          </w:tcPr>
          <w:p w14:paraId="01FB086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3b</w:t>
            </w:r>
          </w:p>
        </w:tc>
        <w:tc>
          <w:tcPr>
            <w:tcW w:w="865" w:type="dxa"/>
            <w:noWrap/>
            <w:vAlign w:val="center"/>
          </w:tcPr>
          <w:p w14:paraId="167F0ED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368643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4)</w:t>
            </w:r>
          </w:p>
        </w:tc>
        <w:tc>
          <w:tcPr>
            <w:tcW w:w="1205" w:type="dxa"/>
            <w:noWrap/>
            <w:vAlign w:val="center"/>
          </w:tcPr>
          <w:p w14:paraId="76DA296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07" w:type="dxa"/>
            <w:shd w:val="clear" w:color="auto" w:fill="auto"/>
            <w:noWrap/>
            <w:vAlign w:val="center"/>
          </w:tcPr>
          <w:p w14:paraId="2A72A1C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79" w:type="dxa"/>
            <w:shd w:val="clear" w:color="auto" w:fill="auto"/>
            <w:vAlign w:val="center"/>
          </w:tcPr>
          <w:p w14:paraId="0AB4BE2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4)</w:t>
            </w:r>
          </w:p>
        </w:tc>
        <w:tc>
          <w:tcPr>
            <w:tcW w:w="508" w:type="dxa"/>
            <w:shd w:val="clear" w:color="auto" w:fill="auto"/>
            <w:noWrap/>
            <w:vAlign w:val="center"/>
          </w:tcPr>
          <w:p w14:paraId="52EF07B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70746B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4)</w:t>
            </w:r>
          </w:p>
        </w:tc>
        <w:tc>
          <w:tcPr>
            <w:tcW w:w="551" w:type="dxa"/>
            <w:shd w:val="clear" w:color="auto" w:fill="auto"/>
            <w:noWrap/>
            <w:vAlign w:val="center"/>
          </w:tcPr>
          <w:p w14:paraId="2D3037B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r w:rsidRPr="00722A47">
              <w:rPr>
                <w:rFonts w:ascii="Times New Roman" w:eastAsia="Times New Roman" w:hAnsi="Times New Roman" w:cs="Tahoma"/>
                <w:b/>
                <w:sz w:val="24"/>
                <w:szCs w:val="24"/>
                <w:vertAlign w:val="superscript"/>
                <w:lang w:eastAsia="de-DE"/>
              </w:rPr>
              <w:t>4)</w:t>
            </w:r>
          </w:p>
        </w:tc>
        <w:tc>
          <w:tcPr>
            <w:tcW w:w="681" w:type="dxa"/>
            <w:shd w:val="clear" w:color="auto" w:fill="auto"/>
            <w:vAlign w:val="center"/>
          </w:tcPr>
          <w:p w14:paraId="2DD6368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bl>
    <w:p w14:paraId="4FD9D000" w14:textId="77777777" w:rsidR="00722A47" w:rsidRPr="00722A47" w:rsidRDefault="00722A47" w:rsidP="00722A47">
      <w:pPr>
        <w:spacing w:before="0" w:after="0"/>
        <w:jc w:val="left"/>
        <w:rPr>
          <w:rFonts w:ascii="Times New Roman" w:eastAsia="Times New Roman" w:hAnsi="Times New Roman" w:cs="Times New Roman"/>
          <w:sz w:val="16"/>
          <w:szCs w:val="20"/>
          <w:lang w:eastAsia="de-DE"/>
        </w:rPr>
      </w:pPr>
      <w:r w:rsidRPr="00722A47">
        <w:rPr>
          <w:rFonts w:ascii="Times New Roman" w:eastAsia="Times New Roman" w:hAnsi="Times New Roman" w:cs="Times New Roman"/>
          <w:sz w:val="16"/>
          <w:szCs w:val="20"/>
          <w:lang w:eastAsia="de-DE"/>
        </w:rPr>
        <w:t xml:space="preserve">1) Zulässig, wenn Molybdän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90 µg/</w:t>
      </w:r>
      <w:proofErr w:type="spellStart"/>
      <w:proofErr w:type="gramStart"/>
      <w:r w:rsidRPr="00722A47">
        <w:rPr>
          <w:rFonts w:ascii="Times New Roman" w:eastAsia="Times New Roman" w:hAnsi="Times New Roman" w:cs="Times New Roman"/>
          <w:sz w:val="16"/>
          <w:szCs w:val="20"/>
          <w:lang w:eastAsia="de-DE"/>
        </w:rPr>
        <w:t>l,Vanadium</w:t>
      </w:r>
      <w:proofErr w:type="spellEnd"/>
      <w:proofErr w:type="gramEnd"/>
      <w:r w:rsidRPr="00722A47">
        <w:rPr>
          <w:rFonts w:ascii="Times New Roman" w:eastAsia="Times New Roman" w:hAnsi="Times New Roman" w:cs="Times New Roman"/>
          <w:sz w:val="16"/>
          <w:szCs w:val="20"/>
          <w:lang w:eastAsia="de-DE"/>
        </w:rPr>
        <w:t xml:space="preserv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130 µg/l und Fluorid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1,9 mg/l.</w:t>
      </w:r>
    </w:p>
    <w:p w14:paraId="720D7500" w14:textId="77777777" w:rsidR="00722A47" w:rsidRPr="00722A47" w:rsidRDefault="00722A47" w:rsidP="00722A47">
      <w:pPr>
        <w:spacing w:before="0" w:after="0"/>
        <w:jc w:val="left"/>
        <w:rPr>
          <w:rFonts w:ascii="Times New Roman" w:eastAsia="Times New Roman" w:hAnsi="Times New Roman" w:cs="Times New Roman"/>
          <w:sz w:val="16"/>
          <w:szCs w:val="20"/>
          <w:lang w:eastAsia="de-DE"/>
        </w:rPr>
      </w:pPr>
      <w:r w:rsidRPr="00722A47">
        <w:rPr>
          <w:rFonts w:ascii="Times New Roman" w:eastAsia="Times New Roman" w:hAnsi="Times New Roman" w:cs="Times New Roman"/>
          <w:sz w:val="16"/>
          <w:szCs w:val="20"/>
          <w:lang w:eastAsia="de-DE"/>
        </w:rPr>
        <w:t xml:space="preserve">2) Zulässig, wenn Molybdän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240 µg/</w:t>
      </w:r>
      <w:proofErr w:type="spellStart"/>
      <w:proofErr w:type="gramStart"/>
      <w:r w:rsidRPr="00722A47">
        <w:rPr>
          <w:rFonts w:ascii="Times New Roman" w:eastAsia="Times New Roman" w:hAnsi="Times New Roman" w:cs="Times New Roman"/>
          <w:sz w:val="16"/>
          <w:szCs w:val="20"/>
          <w:lang w:eastAsia="de-DE"/>
        </w:rPr>
        <w:t>l,Vanadium</w:t>
      </w:r>
      <w:proofErr w:type="spellEnd"/>
      <w:proofErr w:type="gramEnd"/>
      <w:r w:rsidRPr="00722A47">
        <w:rPr>
          <w:rFonts w:ascii="Times New Roman" w:eastAsia="Times New Roman" w:hAnsi="Times New Roman" w:cs="Times New Roman"/>
          <w:sz w:val="16"/>
          <w:szCs w:val="20"/>
          <w:lang w:eastAsia="de-DE"/>
        </w:rPr>
        <w:t xml:space="preserv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150 µg/l und Fluorid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4,4 mg/l.</w:t>
      </w:r>
    </w:p>
    <w:p w14:paraId="094E7B83" w14:textId="77777777" w:rsidR="00722A47" w:rsidRDefault="00722A47" w:rsidP="00722A47">
      <w:pPr>
        <w:spacing w:before="0" w:after="0"/>
        <w:jc w:val="left"/>
        <w:rPr>
          <w:rFonts w:ascii="Times New Roman" w:eastAsia="Times New Roman" w:hAnsi="Times New Roman" w:cs="Tahoma"/>
          <w:sz w:val="16"/>
          <w:szCs w:val="16"/>
          <w:lang w:eastAsia="de-DE"/>
        </w:rPr>
      </w:pPr>
      <w:r w:rsidRPr="00722A47">
        <w:rPr>
          <w:rFonts w:ascii="Times New Roman" w:eastAsia="Times New Roman" w:hAnsi="Times New Roman" w:cs="Times New Roman"/>
          <w:sz w:val="16"/>
          <w:szCs w:val="20"/>
          <w:lang w:eastAsia="de-DE"/>
        </w:rPr>
        <w:t xml:space="preserve">3) Zulässig, wenn Molybdän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120 µg/</w:t>
      </w:r>
      <w:proofErr w:type="spellStart"/>
      <w:proofErr w:type="gramStart"/>
      <w:r w:rsidRPr="00722A47">
        <w:rPr>
          <w:rFonts w:ascii="Times New Roman" w:eastAsia="Times New Roman" w:hAnsi="Times New Roman" w:cs="Times New Roman"/>
          <w:sz w:val="16"/>
          <w:szCs w:val="20"/>
          <w:lang w:eastAsia="de-DE"/>
        </w:rPr>
        <w:t>l,Vanadium</w:t>
      </w:r>
      <w:proofErr w:type="spellEnd"/>
      <w:proofErr w:type="gramEnd"/>
      <w:r w:rsidRPr="00722A47">
        <w:rPr>
          <w:rFonts w:ascii="Times New Roman" w:eastAsia="Times New Roman" w:hAnsi="Times New Roman" w:cs="Times New Roman"/>
          <w:sz w:val="16"/>
          <w:szCs w:val="20"/>
          <w:lang w:eastAsia="de-DE"/>
        </w:rPr>
        <w:t xml:space="preserve">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340 µg/l und Fluorid </w:t>
      </w:r>
      <w:r w:rsidRPr="00722A47">
        <w:rPr>
          <w:rFonts w:ascii="Times New Roman" w:eastAsia="Times New Roman" w:hAnsi="Times New Roman" w:cs="Times New Roman"/>
          <w:sz w:val="16"/>
          <w:szCs w:val="20"/>
          <w:lang w:eastAsia="de-DE"/>
        </w:rPr>
        <w:sym w:font="Symbol" w:char="F0A3"/>
      </w:r>
      <w:r w:rsidRPr="00722A47">
        <w:rPr>
          <w:rFonts w:ascii="Times New Roman" w:eastAsia="Times New Roman" w:hAnsi="Times New Roman" w:cs="Times New Roman"/>
          <w:sz w:val="16"/>
          <w:szCs w:val="20"/>
          <w:lang w:eastAsia="de-DE"/>
        </w:rPr>
        <w:t xml:space="preserve"> 2,6 mg/l.</w:t>
      </w:r>
      <w:r w:rsidRPr="00722A47">
        <w:rPr>
          <w:rFonts w:ascii="Times New Roman" w:eastAsia="Times New Roman" w:hAnsi="Times New Roman" w:cs="Tahoma"/>
          <w:sz w:val="16"/>
          <w:szCs w:val="16"/>
          <w:lang w:eastAsia="de-DE"/>
        </w:rPr>
        <w:br/>
        <w:t xml:space="preserve">4) Zulässig, wenn Molybdän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180 µg/l und Fluorid </w:t>
      </w:r>
      <w:r w:rsidRPr="00722A47">
        <w:rPr>
          <w:rFonts w:ascii="Times New Roman" w:eastAsia="Times New Roman" w:hAnsi="Times New Roman" w:cs="Tahoma"/>
          <w:sz w:val="16"/>
          <w:szCs w:val="16"/>
          <w:lang w:eastAsia="de-DE"/>
        </w:rPr>
        <w:sym w:font="Symbol" w:char="F0A3"/>
      </w:r>
      <w:r w:rsidRPr="00722A47">
        <w:rPr>
          <w:rFonts w:ascii="Times New Roman" w:eastAsia="Times New Roman" w:hAnsi="Times New Roman" w:cs="Tahoma"/>
          <w:sz w:val="16"/>
          <w:szCs w:val="16"/>
          <w:lang w:eastAsia="de-DE"/>
        </w:rPr>
        <w:t xml:space="preserve"> 3,9 mg/l.</w:t>
      </w:r>
    </w:p>
    <w:p w14:paraId="46C2D2E2" w14:textId="2A5EBA37" w:rsidR="00722A47" w:rsidRPr="00722A47" w:rsidRDefault="00722A47" w:rsidP="00722A47">
      <w:pPr>
        <w:pStyle w:val="berschrift1"/>
      </w:pPr>
      <w:r>
        <w:rPr>
          <w:lang w:eastAsia="de-DE"/>
        </w:rPr>
        <w:br w:type="page"/>
      </w:r>
      <w:r w:rsidRPr="008D0377">
        <w:lastRenderedPageBreak/>
        <w:t>Tabelle 13: Hochofenstückschlacke der Klasse 1 (HOS-1)</w:t>
      </w:r>
    </w:p>
    <w:p w14:paraId="3B20FC19" w14:textId="77777777" w:rsidR="00722A47" w:rsidRPr="00722A47" w:rsidRDefault="00722A47" w:rsidP="00722A47">
      <w:pPr>
        <w:keepNext/>
        <w:spacing w:before="0" w:after="200"/>
        <w:jc w:val="left"/>
        <w:rPr>
          <w:rFonts w:ascii="Times New Roman" w:eastAsia="Calibri" w:hAnsi="Times New Roman" w:cs="Times New Roman"/>
          <w:b/>
          <w:sz w:val="18"/>
          <w:szCs w:val="18"/>
        </w:rPr>
      </w:pPr>
    </w:p>
    <w:tbl>
      <w:tblPr>
        <w:tblW w:w="11185"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
        <w:gridCol w:w="4284"/>
        <w:gridCol w:w="865"/>
        <w:gridCol w:w="675"/>
        <w:gridCol w:w="1205"/>
        <w:gridCol w:w="576"/>
        <w:gridCol w:w="715"/>
        <w:gridCol w:w="508"/>
        <w:gridCol w:w="715"/>
        <w:gridCol w:w="551"/>
        <w:gridCol w:w="715"/>
      </w:tblGrid>
      <w:tr w:rsidR="00722A47" w:rsidRPr="00722A47" w14:paraId="2F88BCA0" w14:textId="77777777" w:rsidTr="004954C9">
        <w:trPr>
          <w:trHeight w:val="330"/>
        </w:trPr>
        <w:tc>
          <w:tcPr>
            <w:tcW w:w="11185" w:type="dxa"/>
            <w:gridSpan w:val="11"/>
            <w:noWrap/>
            <w:vAlign w:val="bottom"/>
          </w:tcPr>
          <w:p w14:paraId="7B74164F" w14:textId="77777777" w:rsidR="00722A47" w:rsidRPr="00722A47" w:rsidRDefault="00722A47" w:rsidP="00722A47">
            <w:pPr>
              <w:spacing w:before="0" w:after="0"/>
              <w:jc w:val="center"/>
              <w:rPr>
                <w:rFonts w:ascii="Times New Roman" w:eastAsia="Times New Roman" w:hAnsi="Times New Roman" w:cs="Times New Roman"/>
                <w:b/>
                <w:bCs/>
                <w:sz w:val="24"/>
                <w:szCs w:val="24"/>
                <w:lang w:eastAsia="de-DE"/>
              </w:rPr>
            </w:pPr>
            <w:r w:rsidRPr="00722A47">
              <w:rPr>
                <w:rFonts w:ascii="Times New Roman" w:eastAsia="Times New Roman" w:hAnsi="Times New Roman" w:cs="Times New Roman"/>
                <w:b/>
                <w:sz w:val="24"/>
                <w:szCs w:val="20"/>
                <w:lang w:eastAsia="de-DE"/>
              </w:rPr>
              <w:br w:type="page"/>
            </w:r>
            <w:r w:rsidRPr="00722A47">
              <w:rPr>
                <w:rFonts w:ascii="Times New Roman" w:eastAsia="Times New Roman" w:hAnsi="Times New Roman" w:cs="Times New Roman"/>
                <w:b/>
                <w:sz w:val="24"/>
                <w:szCs w:val="24"/>
                <w:lang w:eastAsia="de-DE"/>
              </w:rPr>
              <w:t>Hochofenstückschlacke der Klasse 1 (</w:t>
            </w:r>
            <w:r w:rsidRPr="00722A47">
              <w:rPr>
                <w:rFonts w:ascii="Times New Roman" w:eastAsia="Times New Roman" w:hAnsi="Times New Roman" w:cs="Tahoma"/>
                <w:b/>
                <w:bCs/>
                <w:sz w:val="24"/>
                <w:szCs w:val="24"/>
                <w:lang w:eastAsia="de-DE"/>
              </w:rPr>
              <w:t>HOS-1)</w:t>
            </w:r>
          </w:p>
        </w:tc>
      </w:tr>
      <w:tr w:rsidR="00722A47" w:rsidRPr="00722A47" w14:paraId="3A43C44F" w14:textId="77777777" w:rsidTr="004954C9">
        <w:trPr>
          <w:trHeight w:val="20"/>
        </w:trPr>
        <w:tc>
          <w:tcPr>
            <w:tcW w:w="4762" w:type="dxa"/>
            <w:gridSpan w:val="2"/>
            <w:vMerge w:val="restart"/>
            <w:shd w:val="clear" w:color="auto" w:fill="auto"/>
            <w:noWrap/>
          </w:tcPr>
          <w:p w14:paraId="2BB91D91"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Einbauweise</w:t>
            </w:r>
          </w:p>
        </w:tc>
        <w:tc>
          <w:tcPr>
            <w:tcW w:w="6423" w:type="dxa"/>
            <w:gridSpan w:val="9"/>
            <w:shd w:val="clear" w:color="auto" w:fill="auto"/>
            <w:noWrap/>
            <w:vAlign w:val="center"/>
          </w:tcPr>
          <w:p w14:paraId="77B01C8A" w14:textId="77777777" w:rsidR="00722A47" w:rsidRPr="00722A47" w:rsidRDefault="00722A47" w:rsidP="00722A47">
            <w:pPr>
              <w:spacing w:before="0" w:after="0"/>
              <w:jc w:val="center"/>
              <w:rPr>
                <w:rFonts w:ascii="Times New Roman" w:eastAsia="Times New Roman" w:hAnsi="Times New Roman" w:cs="Times New Roman"/>
                <w:b/>
                <w:sz w:val="24"/>
                <w:szCs w:val="24"/>
                <w:lang w:eastAsia="de-DE"/>
              </w:rPr>
            </w:pPr>
            <w:r w:rsidRPr="00722A47">
              <w:rPr>
                <w:rFonts w:ascii="Times New Roman" w:eastAsia="Times New Roman" w:hAnsi="Times New Roman" w:cs="Times New Roman"/>
                <w:b/>
                <w:sz w:val="24"/>
                <w:szCs w:val="24"/>
                <w:lang w:eastAsia="de-DE"/>
              </w:rPr>
              <w:t>Eigenschaft der Grundwasserdeckschicht</w:t>
            </w:r>
          </w:p>
        </w:tc>
      </w:tr>
      <w:tr w:rsidR="00722A47" w:rsidRPr="00722A47" w14:paraId="6318D037" w14:textId="77777777" w:rsidTr="004954C9">
        <w:trPr>
          <w:trHeight w:val="20"/>
        </w:trPr>
        <w:tc>
          <w:tcPr>
            <w:tcW w:w="4762" w:type="dxa"/>
            <w:gridSpan w:val="2"/>
            <w:vMerge/>
            <w:shd w:val="clear" w:color="auto" w:fill="auto"/>
            <w:noWrap/>
            <w:vAlign w:val="center"/>
          </w:tcPr>
          <w:p w14:paraId="54CECD03" w14:textId="77777777" w:rsidR="00722A47" w:rsidRPr="00722A47" w:rsidRDefault="00722A47" w:rsidP="00722A47">
            <w:pPr>
              <w:spacing w:before="0" w:after="0"/>
              <w:jc w:val="center"/>
              <w:rPr>
                <w:rFonts w:ascii="Times New Roman" w:eastAsia="Times New Roman" w:hAnsi="Times New Roman" w:cs="Times New Roman"/>
                <w:sz w:val="20"/>
                <w:szCs w:val="24"/>
                <w:lang w:eastAsia="de-DE"/>
              </w:rPr>
            </w:pPr>
          </w:p>
        </w:tc>
        <w:tc>
          <w:tcPr>
            <w:tcW w:w="2745" w:type="dxa"/>
            <w:gridSpan w:val="3"/>
            <w:shd w:val="clear" w:color="auto" w:fill="auto"/>
            <w:noWrap/>
            <w:vAlign w:val="center"/>
          </w:tcPr>
          <w:p w14:paraId="1C9BBC6A"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außerhalb von</w:t>
            </w:r>
          </w:p>
          <w:p w14:paraId="1D97FD8F"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c>
          <w:tcPr>
            <w:tcW w:w="3678" w:type="dxa"/>
            <w:gridSpan w:val="6"/>
            <w:shd w:val="clear" w:color="auto" w:fill="auto"/>
            <w:noWrap/>
            <w:vAlign w:val="center"/>
          </w:tcPr>
          <w:p w14:paraId="6AE722A0"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innerhalb von</w:t>
            </w:r>
          </w:p>
          <w:p w14:paraId="40283F7F"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Wasserschutzbereichen</w:t>
            </w:r>
          </w:p>
        </w:tc>
      </w:tr>
      <w:tr w:rsidR="00722A47" w:rsidRPr="00722A47" w14:paraId="13C91C6B" w14:textId="77777777" w:rsidTr="004954C9">
        <w:trPr>
          <w:trHeight w:val="20"/>
        </w:trPr>
        <w:tc>
          <w:tcPr>
            <w:tcW w:w="4762" w:type="dxa"/>
            <w:gridSpan w:val="2"/>
            <w:vMerge/>
            <w:shd w:val="clear" w:color="auto" w:fill="auto"/>
            <w:noWrap/>
            <w:vAlign w:val="center"/>
          </w:tcPr>
          <w:p w14:paraId="49F8A91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637BD2C3"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proofErr w:type="spellStart"/>
            <w:r w:rsidRPr="00722A47">
              <w:rPr>
                <w:rFonts w:ascii="Times New Roman" w:eastAsia="Times New Roman" w:hAnsi="Times New Roman" w:cs="Times New Roman"/>
                <w:sz w:val="20"/>
                <w:szCs w:val="20"/>
                <w:lang w:eastAsia="de-DE"/>
              </w:rPr>
              <w:t>un</w:t>
            </w:r>
            <w:proofErr w:type="spellEnd"/>
            <w:r w:rsidRPr="00722A47">
              <w:rPr>
                <w:rFonts w:ascii="Times New Roman" w:eastAsia="Times New Roman" w:hAnsi="Times New Roman" w:cs="Times New Roman"/>
                <w:sz w:val="20"/>
                <w:szCs w:val="20"/>
                <w:lang w:eastAsia="de-DE"/>
              </w:rPr>
              <w:t>-günstig</w:t>
            </w:r>
          </w:p>
        </w:tc>
        <w:tc>
          <w:tcPr>
            <w:tcW w:w="1880" w:type="dxa"/>
            <w:gridSpan w:val="2"/>
            <w:shd w:val="clear" w:color="auto" w:fill="auto"/>
            <w:noWrap/>
            <w:vAlign w:val="center"/>
          </w:tcPr>
          <w:p w14:paraId="205162E6"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c>
          <w:tcPr>
            <w:tcW w:w="3678" w:type="dxa"/>
            <w:gridSpan w:val="6"/>
            <w:shd w:val="clear" w:color="auto" w:fill="auto"/>
            <w:noWrap/>
            <w:vAlign w:val="center"/>
          </w:tcPr>
          <w:p w14:paraId="6D4BE625" w14:textId="77777777" w:rsidR="00722A47" w:rsidRPr="00722A47" w:rsidRDefault="00722A47" w:rsidP="00722A47">
            <w:pPr>
              <w:spacing w:before="0" w:after="0"/>
              <w:jc w:val="center"/>
              <w:rPr>
                <w:rFonts w:ascii="Times New Roman" w:eastAsia="Times New Roman" w:hAnsi="Times New Roman" w:cs="Times New Roman"/>
                <w:sz w:val="20"/>
                <w:szCs w:val="20"/>
                <w:lang w:eastAsia="de-DE"/>
              </w:rPr>
            </w:pPr>
            <w:r w:rsidRPr="00722A47">
              <w:rPr>
                <w:rFonts w:ascii="Times New Roman" w:eastAsia="Times New Roman" w:hAnsi="Times New Roman" w:cs="Times New Roman"/>
                <w:sz w:val="20"/>
                <w:szCs w:val="20"/>
                <w:lang w:eastAsia="de-DE"/>
              </w:rPr>
              <w:t>günstig</w:t>
            </w:r>
          </w:p>
        </w:tc>
      </w:tr>
      <w:tr w:rsidR="00722A47" w:rsidRPr="00722A47" w14:paraId="34DA4BD1" w14:textId="77777777" w:rsidTr="004954C9">
        <w:trPr>
          <w:trHeight w:val="20"/>
        </w:trPr>
        <w:tc>
          <w:tcPr>
            <w:tcW w:w="4762" w:type="dxa"/>
            <w:gridSpan w:val="2"/>
            <w:vMerge/>
            <w:shd w:val="clear" w:color="auto" w:fill="auto"/>
            <w:noWrap/>
            <w:vAlign w:val="center"/>
          </w:tcPr>
          <w:p w14:paraId="2553FBD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val="restart"/>
            <w:shd w:val="clear" w:color="auto" w:fill="auto"/>
            <w:noWrap/>
            <w:vAlign w:val="bottom"/>
          </w:tcPr>
          <w:p w14:paraId="21F0CE6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val="restart"/>
            <w:shd w:val="clear" w:color="auto" w:fill="auto"/>
            <w:noWrap/>
            <w:vAlign w:val="center"/>
          </w:tcPr>
          <w:p w14:paraId="2E2A3B5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1205" w:type="dxa"/>
            <w:vMerge w:val="restart"/>
            <w:shd w:val="clear" w:color="auto" w:fill="auto"/>
            <w:noWrap/>
            <w:vAlign w:val="center"/>
          </w:tcPr>
          <w:p w14:paraId="2532C20F" w14:textId="00884EAE"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274B8A4C" w14:textId="083F0F21"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18055F1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1257" w:type="dxa"/>
            <w:gridSpan w:val="2"/>
            <w:shd w:val="clear" w:color="auto" w:fill="auto"/>
            <w:noWrap/>
            <w:vAlign w:val="center"/>
          </w:tcPr>
          <w:p w14:paraId="211D311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A</w:t>
            </w:r>
          </w:p>
        </w:tc>
        <w:tc>
          <w:tcPr>
            <w:tcW w:w="1189" w:type="dxa"/>
            <w:gridSpan w:val="2"/>
            <w:shd w:val="clear" w:color="auto" w:fill="auto"/>
            <w:noWrap/>
            <w:vAlign w:val="center"/>
          </w:tcPr>
          <w:p w14:paraId="77F153B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WSG III B</w:t>
            </w:r>
          </w:p>
        </w:tc>
        <w:tc>
          <w:tcPr>
            <w:tcW w:w="1232" w:type="dxa"/>
            <w:gridSpan w:val="2"/>
            <w:shd w:val="clear" w:color="auto" w:fill="auto"/>
            <w:noWrap/>
            <w:vAlign w:val="center"/>
          </w:tcPr>
          <w:p w14:paraId="00255FD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Wasservor-</w:t>
            </w:r>
          </w:p>
        </w:tc>
      </w:tr>
      <w:tr w:rsidR="00722A47" w:rsidRPr="00722A47" w14:paraId="7944573E" w14:textId="77777777" w:rsidTr="004954C9">
        <w:trPr>
          <w:trHeight w:val="80"/>
        </w:trPr>
        <w:tc>
          <w:tcPr>
            <w:tcW w:w="4762" w:type="dxa"/>
            <w:gridSpan w:val="2"/>
            <w:vMerge/>
            <w:shd w:val="clear" w:color="auto" w:fill="auto"/>
            <w:noWrap/>
            <w:vAlign w:val="center"/>
          </w:tcPr>
          <w:p w14:paraId="359B57C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238481FC"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2D7B559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6F8F992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57" w:type="dxa"/>
            <w:gridSpan w:val="2"/>
            <w:shd w:val="clear" w:color="auto" w:fill="auto"/>
            <w:noWrap/>
            <w:vAlign w:val="center"/>
          </w:tcPr>
          <w:p w14:paraId="72F2A34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III</w:t>
            </w:r>
          </w:p>
        </w:tc>
        <w:tc>
          <w:tcPr>
            <w:tcW w:w="1189" w:type="dxa"/>
            <w:gridSpan w:val="2"/>
            <w:shd w:val="clear" w:color="auto" w:fill="auto"/>
            <w:noWrap/>
            <w:vAlign w:val="center"/>
          </w:tcPr>
          <w:p w14:paraId="616F2420"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HSG IV</w:t>
            </w:r>
          </w:p>
        </w:tc>
        <w:tc>
          <w:tcPr>
            <w:tcW w:w="1232" w:type="dxa"/>
            <w:gridSpan w:val="2"/>
            <w:shd w:val="clear" w:color="auto" w:fill="auto"/>
            <w:noWrap/>
            <w:vAlign w:val="center"/>
          </w:tcPr>
          <w:p w14:paraId="7FC9BC2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ranggebiete</w:t>
            </w:r>
          </w:p>
        </w:tc>
      </w:tr>
      <w:tr w:rsidR="00722A47" w:rsidRPr="00722A47" w14:paraId="26B0B58C" w14:textId="77777777" w:rsidTr="004954C9">
        <w:trPr>
          <w:trHeight w:val="80"/>
        </w:trPr>
        <w:tc>
          <w:tcPr>
            <w:tcW w:w="4762" w:type="dxa"/>
            <w:gridSpan w:val="2"/>
            <w:vMerge/>
            <w:shd w:val="clear" w:color="auto" w:fill="auto"/>
            <w:noWrap/>
            <w:vAlign w:val="center"/>
          </w:tcPr>
          <w:p w14:paraId="4DD3EA85"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vMerge/>
            <w:shd w:val="clear" w:color="auto" w:fill="auto"/>
            <w:noWrap/>
            <w:vAlign w:val="bottom"/>
          </w:tcPr>
          <w:p w14:paraId="55D8DA0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675" w:type="dxa"/>
            <w:vMerge/>
            <w:shd w:val="clear" w:color="auto" w:fill="auto"/>
            <w:noWrap/>
            <w:vAlign w:val="center"/>
          </w:tcPr>
          <w:p w14:paraId="7B3196C8"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1205" w:type="dxa"/>
            <w:vMerge/>
            <w:shd w:val="clear" w:color="auto" w:fill="auto"/>
            <w:noWrap/>
            <w:vAlign w:val="center"/>
          </w:tcPr>
          <w:p w14:paraId="38727F1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576" w:type="dxa"/>
            <w:shd w:val="clear" w:color="auto" w:fill="auto"/>
            <w:noWrap/>
            <w:vAlign w:val="center"/>
          </w:tcPr>
          <w:p w14:paraId="1B82D972"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05DCAB75" w14:textId="76341504"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7DAA4E17" w14:textId="4717305A"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0982B71A"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08" w:type="dxa"/>
            <w:shd w:val="clear" w:color="auto" w:fill="auto"/>
            <w:noWrap/>
            <w:vAlign w:val="center"/>
          </w:tcPr>
          <w:p w14:paraId="76B725E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6B35F75E" w14:textId="5FA6D285"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105FB315" w14:textId="1DE732C0"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4265EFB1"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c>
          <w:tcPr>
            <w:tcW w:w="551" w:type="dxa"/>
            <w:shd w:val="clear" w:color="auto" w:fill="auto"/>
            <w:noWrap/>
            <w:vAlign w:val="center"/>
          </w:tcPr>
          <w:p w14:paraId="5BA9229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Sand</w:t>
            </w:r>
          </w:p>
        </w:tc>
        <w:tc>
          <w:tcPr>
            <w:tcW w:w="681" w:type="dxa"/>
            <w:shd w:val="clear" w:color="auto" w:fill="auto"/>
            <w:vAlign w:val="center"/>
          </w:tcPr>
          <w:p w14:paraId="02A07A56" w14:textId="4992C1F2"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Lehm,</w:t>
            </w:r>
          </w:p>
          <w:p w14:paraId="6181DE4D" w14:textId="1E2744B9"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Schluff,</w:t>
            </w:r>
          </w:p>
          <w:p w14:paraId="4E3A1E7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Ton</w:t>
            </w:r>
          </w:p>
        </w:tc>
      </w:tr>
      <w:tr w:rsidR="00722A47" w:rsidRPr="00722A47" w14:paraId="4E98A689" w14:textId="77777777" w:rsidTr="004954C9">
        <w:trPr>
          <w:trHeight w:val="111"/>
        </w:trPr>
        <w:tc>
          <w:tcPr>
            <w:tcW w:w="4762" w:type="dxa"/>
            <w:gridSpan w:val="2"/>
            <w:vMerge/>
            <w:shd w:val="clear" w:color="auto" w:fill="auto"/>
            <w:noWrap/>
            <w:vAlign w:val="center"/>
          </w:tcPr>
          <w:p w14:paraId="6431734E"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p>
        </w:tc>
        <w:tc>
          <w:tcPr>
            <w:tcW w:w="865" w:type="dxa"/>
            <w:shd w:val="clear" w:color="auto" w:fill="auto"/>
            <w:noWrap/>
            <w:vAlign w:val="center"/>
          </w:tcPr>
          <w:p w14:paraId="5821610F"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1</w:t>
            </w:r>
          </w:p>
        </w:tc>
        <w:tc>
          <w:tcPr>
            <w:tcW w:w="675" w:type="dxa"/>
            <w:shd w:val="clear" w:color="auto" w:fill="auto"/>
            <w:noWrap/>
            <w:vAlign w:val="center"/>
          </w:tcPr>
          <w:p w14:paraId="1395619B"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2</w:t>
            </w:r>
          </w:p>
        </w:tc>
        <w:tc>
          <w:tcPr>
            <w:tcW w:w="1205" w:type="dxa"/>
            <w:shd w:val="clear" w:color="auto" w:fill="auto"/>
            <w:noWrap/>
            <w:vAlign w:val="center"/>
          </w:tcPr>
          <w:p w14:paraId="64CE3306"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3</w:t>
            </w:r>
          </w:p>
        </w:tc>
        <w:tc>
          <w:tcPr>
            <w:tcW w:w="1257" w:type="dxa"/>
            <w:gridSpan w:val="2"/>
            <w:shd w:val="clear" w:color="auto" w:fill="auto"/>
            <w:noWrap/>
            <w:vAlign w:val="center"/>
          </w:tcPr>
          <w:p w14:paraId="55886477"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4</w:t>
            </w:r>
          </w:p>
        </w:tc>
        <w:tc>
          <w:tcPr>
            <w:tcW w:w="1189" w:type="dxa"/>
            <w:gridSpan w:val="2"/>
            <w:shd w:val="clear" w:color="auto" w:fill="auto"/>
            <w:noWrap/>
            <w:vAlign w:val="center"/>
          </w:tcPr>
          <w:p w14:paraId="6C8309A9"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5</w:t>
            </w:r>
          </w:p>
        </w:tc>
        <w:tc>
          <w:tcPr>
            <w:tcW w:w="1232" w:type="dxa"/>
            <w:gridSpan w:val="2"/>
            <w:shd w:val="clear" w:color="auto" w:fill="auto"/>
            <w:noWrap/>
            <w:vAlign w:val="center"/>
          </w:tcPr>
          <w:p w14:paraId="7A168FD4" w14:textId="77777777" w:rsidR="00722A47" w:rsidRPr="00722A47" w:rsidRDefault="00722A47" w:rsidP="00722A47">
            <w:pPr>
              <w:spacing w:before="0" w:after="0"/>
              <w:jc w:val="center"/>
              <w:rPr>
                <w:rFonts w:ascii="Times New Roman" w:eastAsia="Times New Roman" w:hAnsi="Times New Roman" w:cs="Times New Roman"/>
                <w:sz w:val="18"/>
                <w:szCs w:val="18"/>
                <w:lang w:eastAsia="de-DE"/>
              </w:rPr>
            </w:pPr>
            <w:r w:rsidRPr="00722A47">
              <w:rPr>
                <w:rFonts w:ascii="Times New Roman" w:eastAsia="Times New Roman" w:hAnsi="Times New Roman" w:cs="Times New Roman"/>
                <w:sz w:val="18"/>
                <w:szCs w:val="18"/>
                <w:lang w:eastAsia="de-DE"/>
              </w:rPr>
              <w:t>6</w:t>
            </w:r>
          </w:p>
        </w:tc>
      </w:tr>
      <w:tr w:rsidR="00722A47" w:rsidRPr="00722A47" w14:paraId="3A85DA06" w14:textId="77777777" w:rsidTr="004954C9">
        <w:trPr>
          <w:trHeight w:val="20"/>
        </w:trPr>
        <w:tc>
          <w:tcPr>
            <w:tcW w:w="478" w:type="dxa"/>
            <w:noWrap/>
          </w:tcPr>
          <w:p w14:paraId="5139AC9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w:t>
            </w:r>
          </w:p>
        </w:tc>
        <w:tc>
          <w:tcPr>
            <w:tcW w:w="4284" w:type="dxa"/>
          </w:tcPr>
          <w:p w14:paraId="2C9FCA8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Schotteroberbau der Bahnbauweise Standard Damm </w:t>
            </w:r>
          </w:p>
        </w:tc>
        <w:tc>
          <w:tcPr>
            <w:tcW w:w="865" w:type="dxa"/>
            <w:noWrap/>
            <w:vAlign w:val="center"/>
          </w:tcPr>
          <w:p w14:paraId="09290EB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727018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E72CA4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14C7A42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49F1E87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06F740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EC2C16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0082613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4D92C5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0DD7035" w14:textId="77777777" w:rsidTr="004954C9">
        <w:trPr>
          <w:trHeight w:val="20"/>
        </w:trPr>
        <w:tc>
          <w:tcPr>
            <w:tcW w:w="478" w:type="dxa"/>
            <w:noWrap/>
          </w:tcPr>
          <w:p w14:paraId="3C09D8C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w:t>
            </w:r>
          </w:p>
        </w:tc>
        <w:tc>
          <w:tcPr>
            <w:tcW w:w="4284" w:type="dxa"/>
          </w:tcPr>
          <w:p w14:paraId="60CF370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Standard Einschnitt</w:t>
            </w:r>
          </w:p>
        </w:tc>
        <w:tc>
          <w:tcPr>
            <w:tcW w:w="865" w:type="dxa"/>
            <w:noWrap/>
            <w:vAlign w:val="center"/>
          </w:tcPr>
          <w:p w14:paraId="087F838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EE5A66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B2DF83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5D98294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175483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B60264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2A8F91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1767A61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E5C956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1BB18765" w14:textId="77777777" w:rsidTr="004954C9">
        <w:trPr>
          <w:trHeight w:val="20"/>
        </w:trPr>
        <w:tc>
          <w:tcPr>
            <w:tcW w:w="478" w:type="dxa"/>
            <w:noWrap/>
          </w:tcPr>
          <w:p w14:paraId="0A26739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B3</w:t>
            </w:r>
          </w:p>
        </w:tc>
        <w:tc>
          <w:tcPr>
            <w:tcW w:w="4284" w:type="dxa"/>
          </w:tcPr>
          <w:p w14:paraId="002DA65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w:t>
            </w:r>
          </w:p>
        </w:tc>
        <w:tc>
          <w:tcPr>
            <w:tcW w:w="865" w:type="dxa"/>
            <w:noWrap/>
            <w:vAlign w:val="center"/>
          </w:tcPr>
          <w:p w14:paraId="72528DA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4110EC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D7162C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01E74EC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1C4E94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A3708B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4C571C5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44E8169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16B793E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5D71FDCE" w14:textId="77777777" w:rsidTr="004954C9">
        <w:trPr>
          <w:trHeight w:val="20"/>
        </w:trPr>
        <w:tc>
          <w:tcPr>
            <w:tcW w:w="478" w:type="dxa"/>
            <w:noWrap/>
          </w:tcPr>
          <w:p w14:paraId="04A3E0F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B4</w:t>
            </w:r>
          </w:p>
        </w:tc>
        <w:tc>
          <w:tcPr>
            <w:tcW w:w="4284" w:type="dxa"/>
          </w:tcPr>
          <w:p w14:paraId="1DF960A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Schotteroberbau der Bahnbauweise H modifiziert</w:t>
            </w:r>
          </w:p>
        </w:tc>
        <w:tc>
          <w:tcPr>
            <w:tcW w:w="865" w:type="dxa"/>
            <w:noWrap/>
            <w:vAlign w:val="center"/>
          </w:tcPr>
          <w:p w14:paraId="02FED8F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5D648D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8B4E9B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1F764C1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1851D14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5D7136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70EF74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143161D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4583697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3B093B1A" w14:textId="77777777" w:rsidTr="004954C9">
        <w:trPr>
          <w:trHeight w:val="20"/>
        </w:trPr>
        <w:tc>
          <w:tcPr>
            <w:tcW w:w="478" w:type="dxa"/>
            <w:noWrap/>
          </w:tcPr>
          <w:p w14:paraId="7922A02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B5</w:t>
            </w:r>
          </w:p>
        </w:tc>
        <w:tc>
          <w:tcPr>
            <w:tcW w:w="4284" w:type="dxa"/>
          </w:tcPr>
          <w:p w14:paraId="4067BE1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66F4F10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Bahnbauweise Standard Damm </w:t>
            </w:r>
          </w:p>
        </w:tc>
        <w:tc>
          <w:tcPr>
            <w:tcW w:w="865" w:type="dxa"/>
            <w:noWrap/>
            <w:vAlign w:val="center"/>
          </w:tcPr>
          <w:p w14:paraId="5DD007A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0C2E85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058147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6E150DC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8BED6F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C48F6B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62E1E3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124A7D0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4EAC175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60615BA" w14:textId="77777777" w:rsidTr="004954C9">
        <w:trPr>
          <w:trHeight w:val="20"/>
        </w:trPr>
        <w:tc>
          <w:tcPr>
            <w:tcW w:w="478" w:type="dxa"/>
            <w:noWrap/>
          </w:tcPr>
          <w:p w14:paraId="6C2D38F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B6</w:t>
            </w:r>
          </w:p>
        </w:tc>
        <w:tc>
          <w:tcPr>
            <w:tcW w:w="4284" w:type="dxa"/>
          </w:tcPr>
          <w:p w14:paraId="1DF085B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2F45EFA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Standard Einschnitt</w:t>
            </w:r>
          </w:p>
        </w:tc>
        <w:tc>
          <w:tcPr>
            <w:tcW w:w="865" w:type="dxa"/>
            <w:noWrap/>
            <w:vAlign w:val="center"/>
          </w:tcPr>
          <w:p w14:paraId="2906D7E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6952EF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4371A6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70FD0AD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6955B4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ADC959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1B632B3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67E2F7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1EF57B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2C486F5" w14:textId="77777777" w:rsidTr="004954C9">
        <w:trPr>
          <w:trHeight w:val="20"/>
        </w:trPr>
        <w:tc>
          <w:tcPr>
            <w:tcW w:w="478" w:type="dxa"/>
            <w:noWrap/>
          </w:tcPr>
          <w:p w14:paraId="327C443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B7</w:t>
            </w:r>
          </w:p>
        </w:tc>
        <w:tc>
          <w:tcPr>
            <w:tcW w:w="4284" w:type="dxa"/>
          </w:tcPr>
          <w:p w14:paraId="6452661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48239EA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198B4BA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FE1583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30167E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77FBFEC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196A0DC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49F844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46A3653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056F211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1355199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536B67D" w14:textId="77777777" w:rsidTr="004954C9">
        <w:trPr>
          <w:trHeight w:val="20"/>
        </w:trPr>
        <w:tc>
          <w:tcPr>
            <w:tcW w:w="478" w:type="dxa"/>
            <w:noWrap/>
          </w:tcPr>
          <w:p w14:paraId="087A469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B8</w:t>
            </w:r>
          </w:p>
        </w:tc>
        <w:tc>
          <w:tcPr>
            <w:tcW w:w="4284" w:type="dxa"/>
          </w:tcPr>
          <w:p w14:paraId="55F1C8D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KG 1) der </w:t>
            </w:r>
          </w:p>
          <w:p w14:paraId="37B1F73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41657AB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D212C0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CA3AE5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1E63FB5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CAD701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4B1695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4522D96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64FAA04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DE4950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7BAF14F2" w14:textId="77777777" w:rsidTr="004954C9">
        <w:trPr>
          <w:trHeight w:val="20"/>
        </w:trPr>
        <w:tc>
          <w:tcPr>
            <w:tcW w:w="478" w:type="dxa"/>
            <w:noWrap/>
          </w:tcPr>
          <w:p w14:paraId="5F03BE0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B9</w:t>
            </w:r>
          </w:p>
        </w:tc>
        <w:tc>
          <w:tcPr>
            <w:tcW w:w="4284" w:type="dxa"/>
          </w:tcPr>
          <w:p w14:paraId="2D9E5D4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2F6E1A6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w:t>
            </w:r>
          </w:p>
        </w:tc>
        <w:tc>
          <w:tcPr>
            <w:tcW w:w="865" w:type="dxa"/>
            <w:noWrap/>
            <w:vAlign w:val="center"/>
          </w:tcPr>
          <w:p w14:paraId="2DF6D90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1F18B1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A7189C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50BF9FE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6265A65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0AA965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5B567FC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20714FB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60BBF1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BF6CDBB" w14:textId="77777777" w:rsidTr="004954C9">
        <w:trPr>
          <w:trHeight w:val="20"/>
        </w:trPr>
        <w:tc>
          <w:tcPr>
            <w:tcW w:w="478" w:type="dxa"/>
            <w:noWrap/>
          </w:tcPr>
          <w:p w14:paraId="06C3733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B10</w:t>
            </w:r>
          </w:p>
        </w:tc>
        <w:tc>
          <w:tcPr>
            <w:tcW w:w="4284" w:type="dxa"/>
          </w:tcPr>
          <w:p w14:paraId="1327BCA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der </w:t>
            </w:r>
          </w:p>
          <w:p w14:paraId="767D2AE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Bahnbauweise H modifiziert</w:t>
            </w:r>
          </w:p>
        </w:tc>
        <w:tc>
          <w:tcPr>
            <w:tcW w:w="865" w:type="dxa"/>
            <w:noWrap/>
            <w:vAlign w:val="center"/>
          </w:tcPr>
          <w:p w14:paraId="3AE4EB9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B2FC95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734AF5C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1DC2B1F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5132749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7AFF4F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54546F7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4645A8C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968FE7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20C1DBC5" w14:textId="77777777" w:rsidTr="004954C9">
        <w:trPr>
          <w:trHeight w:val="20"/>
        </w:trPr>
        <w:tc>
          <w:tcPr>
            <w:tcW w:w="478" w:type="dxa"/>
            <w:noWrap/>
          </w:tcPr>
          <w:p w14:paraId="563F694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B11</w:t>
            </w:r>
          </w:p>
        </w:tc>
        <w:tc>
          <w:tcPr>
            <w:tcW w:w="4284" w:type="dxa"/>
          </w:tcPr>
          <w:p w14:paraId="59B5D926"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Spezielle Bodenschicht der Bahnbauweise H</w:t>
            </w:r>
          </w:p>
        </w:tc>
        <w:tc>
          <w:tcPr>
            <w:tcW w:w="865" w:type="dxa"/>
            <w:noWrap/>
            <w:vAlign w:val="center"/>
          </w:tcPr>
          <w:p w14:paraId="30586E4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4B8B941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4BC878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0FA80BB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CD6B59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4002AB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6574247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33A7F5F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4D93236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6678F0A0" w14:textId="77777777" w:rsidTr="004954C9">
        <w:trPr>
          <w:trHeight w:val="20"/>
        </w:trPr>
        <w:tc>
          <w:tcPr>
            <w:tcW w:w="478" w:type="dxa"/>
            <w:noWrap/>
          </w:tcPr>
          <w:p w14:paraId="4818D4A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B12</w:t>
            </w:r>
          </w:p>
        </w:tc>
        <w:tc>
          <w:tcPr>
            <w:tcW w:w="4284" w:type="dxa"/>
          </w:tcPr>
          <w:p w14:paraId="7BA209F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12643A2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Standard Damm </w:t>
            </w:r>
          </w:p>
        </w:tc>
        <w:tc>
          <w:tcPr>
            <w:tcW w:w="865" w:type="dxa"/>
            <w:noWrap/>
            <w:vAlign w:val="center"/>
          </w:tcPr>
          <w:p w14:paraId="2A175DF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D7C428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03118D5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5368EB7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B1E4DC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49A034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37CF27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5B6DBA9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1B9CB92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314E93AA" w14:textId="77777777" w:rsidTr="004954C9">
        <w:trPr>
          <w:trHeight w:val="20"/>
        </w:trPr>
        <w:tc>
          <w:tcPr>
            <w:tcW w:w="478" w:type="dxa"/>
            <w:noWrap/>
          </w:tcPr>
          <w:p w14:paraId="48B41EF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B13</w:t>
            </w:r>
          </w:p>
        </w:tc>
        <w:tc>
          <w:tcPr>
            <w:tcW w:w="4284" w:type="dxa"/>
          </w:tcPr>
          <w:p w14:paraId="4113BDD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2D66ED7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Standard Einschnitt</w:t>
            </w:r>
          </w:p>
        </w:tc>
        <w:tc>
          <w:tcPr>
            <w:tcW w:w="865" w:type="dxa"/>
            <w:noWrap/>
            <w:vAlign w:val="center"/>
          </w:tcPr>
          <w:p w14:paraId="60B0106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D72C93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79D1AF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012152F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678E5F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71BD1F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153830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1BD7165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57FC25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100A7FEC" w14:textId="77777777" w:rsidTr="004954C9">
        <w:trPr>
          <w:trHeight w:val="20"/>
        </w:trPr>
        <w:tc>
          <w:tcPr>
            <w:tcW w:w="478" w:type="dxa"/>
            <w:noWrap/>
          </w:tcPr>
          <w:p w14:paraId="2E83AC5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B14</w:t>
            </w:r>
          </w:p>
        </w:tc>
        <w:tc>
          <w:tcPr>
            <w:tcW w:w="4284" w:type="dxa"/>
          </w:tcPr>
          <w:p w14:paraId="0C7829D4"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H</w:t>
            </w:r>
          </w:p>
        </w:tc>
        <w:tc>
          <w:tcPr>
            <w:tcW w:w="865" w:type="dxa"/>
            <w:noWrap/>
            <w:vAlign w:val="center"/>
          </w:tcPr>
          <w:p w14:paraId="78E96CC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DFEE21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6335CA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1B76282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1EEFC7A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FC9FBF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2D457C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17390CF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02B25F9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04D8B5CD" w14:textId="77777777" w:rsidTr="004954C9">
        <w:trPr>
          <w:trHeight w:val="20"/>
        </w:trPr>
        <w:tc>
          <w:tcPr>
            <w:tcW w:w="478" w:type="dxa"/>
            <w:noWrap/>
          </w:tcPr>
          <w:p w14:paraId="7DDA469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B15</w:t>
            </w:r>
          </w:p>
        </w:tc>
        <w:tc>
          <w:tcPr>
            <w:tcW w:w="4284" w:type="dxa"/>
          </w:tcPr>
          <w:p w14:paraId="39D2249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Unterbau (Damm) der Bahnbauweise </w:t>
            </w:r>
          </w:p>
          <w:p w14:paraId="4DD338EE"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H modifiziert</w:t>
            </w:r>
          </w:p>
        </w:tc>
        <w:tc>
          <w:tcPr>
            <w:tcW w:w="865" w:type="dxa"/>
            <w:noWrap/>
            <w:vAlign w:val="center"/>
          </w:tcPr>
          <w:p w14:paraId="3B3BEE8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539C83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14C2E1C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135BD26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44A2933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BF6F68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C5D814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51" w:type="dxa"/>
            <w:noWrap/>
            <w:vAlign w:val="center"/>
          </w:tcPr>
          <w:p w14:paraId="6A36270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3A8469B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4BB6E1E1" w14:textId="77777777" w:rsidTr="004954C9">
        <w:trPr>
          <w:trHeight w:val="20"/>
        </w:trPr>
        <w:tc>
          <w:tcPr>
            <w:tcW w:w="478" w:type="dxa"/>
            <w:noWrap/>
          </w:tcPr>
          <w:p w14:paraId="08C339EA"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B16</w:t>
            </w:r>
          </w:p>
        </w:tc>
        <w:tc>
          <w:tcPr>
            <w:tcW w:w="4284" w:type="dxa"/>
          </w:tcPr>
          <w:p w14:paraId="4491819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w:t>
            </w:r>
          </w:p>
        </w:tc>
        <w:tc>
          <w:tcPr>
            <w:tcW w:w="865" w:type="dxa"/>
            <w:noWrap/>
            <w:vAlign w:val="center"/>
          </w:tcPr>
          <w:p w14:paraId="1D24CDC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7F6276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95350E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7C543CC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46ACB6B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6AE9B62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22FF1C0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2FE2918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1F4E9B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A303A77" w14:textId="77777777" w:rsidTr="004954C9">
        <w:trPr>
          <w:trHeight w:val="20"/>
        </w:trPr>
        <w:tc>
          <w:tcPr>
            <w:tcW w:w="478" w:type="dxa"/>
            <w:noWrap/>
          </w:tcPr>
          <w:p w14:paraId="42044AC2"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B17</w:t>
            </w:r>
          </w:p>
        </w:tc>
        <w:tc>
          <w:tcPr>
            <w:tcW w:w="4284" w:type="dxa"/>
          </w:tcPr>
          <w:p w14:paraId="39B4BC0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w:t>
            </w:r>
          </w:p>
        </w:tc>
        <w:tc>
          <w:tcPr>
            <w:tcW w:w="865" w:type="dxa"/>
            <w:noWrap/>
            <w:vAlign w:val="center"/>
          </w:tcPr>
          <w:p w14:paraId="659E6AA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96E6A2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BEB19B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35460FC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5BD8ACE5"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26DB85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645B1B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1ABF26E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2441D9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FAAE7F8" w14:textId="77777777" w:rsidTr="004954C9">
        <w:trPr>
          <w:trHeight w:val="20"/>
        </w:trPr>
        <w:tc>
          <w:tcPr>
            <w:tcW w:w="478" w:type="dxa"/>
            <w:noWrap/>
          </w:tcPr>
          <w:p w14:paraId="273FD6CD"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B18</w:t>
            </w:r>
          </w:p>
        </w:tc>
        <w:tc>
          <w:tcPr>
            <w:tcW w:w="4284" w:type="dxa"/>
          </w:tcPr>
          <w:p w14:paraId="57203BC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Frostschutzschicht (FSS, KG 2) der Bahnbauweise Feste Fahrbahn mit Randwegabdichtung oberhalb der FSS</w:t>
            </w:r>
          </w:p>
        </w:tc>
        <w:tc>
          <w:tcPr>
            <w:tcW w:w="865" w:type="dxa"/>
            <w:noWrap/>
            <w:vAlign w:val="center"/>
          </w:tcPr>
          <w:p w14:paraId="0AA2422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DD155A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2CF759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5BDF8CE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A2D72B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2C9635B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19985F0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0582D22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06C4317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AC81EAD" w14:textId="77777777" w:rsidTr="004954C9">
        <w:trPr>
          <w:trHeight w:val="20"/>
        </w:trPr>
        <w:tc>
          <w:tcPr>
            <w:tcW w:w="478" w:type="dxa"/>
            <w:noWrap/>
          </w:tcPr>
          <w:p w14:paraId="4A91D5FB"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B19</w:t>
            </w:r>
          </w:p>
        </w:tc>
        <w:tc>
          <w:tcPr>
            <w:tcW w:w="4284" w:type="dxa"/>
          </w:tcPr>
          <w:p w14:paraId="57CAE38F"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Feste Fahrbahn mit Randwegabdichtung</w:t>
            </w:r>
          </w:p>
        </w:tc>
        <w:tc>
          <w:tcPr>
            <w:tcW w:w="865" w:type="dxa"/>
            <w:noWrap/>
            <w:vAlign w:val="center"/>
          </w:tcPr>
          <w:p w14:paraId="1D88DBF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266A4AC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6C262F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7A5AA46B"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02629A2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BC0989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46ABC60F"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46DA0411"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4DAD91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519A143F" w14:textId="77777777" w:rsidTr="004954C9">
        <w:trPr>
          <w:trHeight w:val="20"/>
        </w:trPr>
        <w:tc>
          <w:tcPr>
            <w:tcW w:w="478" w:type="dxa"/>
            <w:noWrap/>
          </w:tcPr>
          <w:p w14:paraId="7A4DB753"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B20</w:t>
            </w:r>
          </w:p>
        </w:tc>
        <w:tc>
          <w:tcPr>
            <w:tcW w:w="4284" w:type="dxa"/>
          </w:tcPr>
          <w:p w14:paraId="127EDB40"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 xml:space="preserve">Frostschutzschicht (FSS, KG 2) unterhalb </w:t>
            </w: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bzw. PSS der Bahnbauweise E 1</w:t>
            </w:r>
          </w:p>
        </w:tc>
        <w:tc>
          <w:tcPr>
            <w:tcW w:w="865" w:type="dxa"/>
            <w:noWrap/>
            <w:vAlign w:val="center"/>
          </w:tcPr>
          <w:p w14:paraId="27ADCF8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51FF97D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557090C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5A6F30A8"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76AA7B5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54B92EE"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3F50568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081551D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4F261A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74C7189B" w14:textId="77777777" w:rsidTr="004954C9">
        <w:trPr>
          <w:trHeight w:val="20"/>
        </w:trPr>
        <w:tc>
          <w:tcPr>
            <w:tcW w:w="478" w:type="dxa"/>
            <w:noWrap/>
          </w:tcPr>
          <w:p w14:paraId="1F078C0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B21</w:t>
            </w:r>
          </w:p>
        </w:tc>
        <w:tc>
          <w:tcPr>
            <w:tcW w:w="4284" w:type="dxa"/>
          </w:tcPr>
          <w:p w14:paraId="7F93CBE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1 mit Dichtungselement auf dem Planum</w:t>
            </w:r>
          </w:p>
        </w:tc>
        <w:tc>
          <w:tcPr>
            <w:tcW w:w="865" w:type="dxa"/>
            <w:noWrap/>
            <w:vAlign w:val="center"/>
          </w:tcPr>
          <w:p w14:paraId="64020AD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3D670E02"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3591412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207CB07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6A8A630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5A06CECD"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5238699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937748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F7E8BD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0577B5EF" w14:textId="77777777" w:rsidTr="004954C9">
        <w:trPr>
          <w:trHeight w:val="20"/>
        </w:trPr>
        <w:tc>
          <w:tcPr>
            <w:tcW w:w="478" w:type="dxa"/>
            <w:noWrap/>
          </w:tcPr>
          <w:p w14:paraId="1507F54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B22</w:t>
            </w:r>
          </w:p>
        </w:tc>
        <w:tc>
          <w:tcPr>
            <w:tcW w:w="4284" w:type="dxa"/>
          </w:tcPr>
          <w:p w14:paraId="6D59B87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Tragschicht als witterungsunempfindliches Dichtungselement der Bahnbauweise E 2</w:t>
            </w:r>
          </w:p>
        </w:tc>
        <w:tc>
          <w:tcPr>
            <w:tcW w:w="865" w:type="dxa"/>
            <w:noWrap/>
            <w:vAlign w:val="center"/>
          </w:tcPr>
          <w:p w14:paraId="2606FAB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4CBE7C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D88E10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172E2BC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61514CE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6FFFFD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26062D8D"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560E4347"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7C37D87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29AA9552" w14:textId="77777777" w:rsidTr="004954C9">
        <w:trPr>
          <w:trHeight w:val="20"/>
        </w:trPr>
        <w:tc>
          <w:tcPr>
            <w:tcW w:w="478" w:type="dxa"/>
            <w:noWrap/>
          </w:tcPr>
          <w:p w14:paraId="5C8B329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B23</w:t>
            </w:r>
          </w:p>
        </w:tc>
        <w:tc>
          <w:tcPr>
            <w:tcW w:w="4284" w:type="dxa"/>
          </w:tcPr>
          <w:p w14:paraId="631FCCF9"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2</w:t>
            </w:r>
          </w:p>
        </w:tc>
        <w:tc>
          <w:tcPr>
            <w:tcW w:w="865" w:type="dxa"/>
            <w:noWrap/>
            <w:vAlign w:val="center"/>
          </w:tcPr>
          <w:p w14:paraId="560766A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74FA6B6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5F78B5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44A852C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087B960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08372AD7"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47733898"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2A4F0BC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58425CA"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1B0288FC" w14:textId="77777777" w:rsidTr="004954C9">
        <w:trPr>
          <w:trHeight w:val="20"/>
        </w:trPr>
        <w:tc>
          <w:tcPr>
            <w:tcW w:w="478" w:type="dxa"/>
            <w:noWrap/>
          </w:tcPr>
          <w:p w14:paraId="102F2397"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B24</w:t>
            </w:r>
          </w:p>
        </w:tc>
        <w:tc>
          <w:tcPr>
            <w:tcW w:w="4284" w:type="dxa"/>
          </w:tcPr>
          <w:p w14:paraId="7B74FF31"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und Unterbau (Damm) der Bahnbauweise E 3a</w:t>
            </w:r>
          </w:p>
        </w:tc>
        <w:tc>
          <w:tcPr>
            <w:tcW w:w="865" w:type="dxa"/>
            <w:noWrap/>
            <w:vAlign w:val="center"/>
          </w:tcPr>
          <w:p w14:paraId="526EE280"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02F4315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6D151B69"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5DC9785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15199ED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2F012D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1F0EE546"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197E5FE3"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20313672"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r w:rsidR="00722A47" w:rsidRPr="00722A47" w14:paraId="49A925BA" w14:textId="77777777" w:rsidTr="004954C9">
        <w:trPr>
          <w:trHeight w:val="20"/>
        </w:trPr>
        <w:tc>
          <w:tcPr>
            <w:tcW w:w="478" w:type="dxa"/>
            <w:noWrap/>
          </w:tcPr>
          <w:p w14:paraId="4B4DEFA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B25</w:t>
            </w:r>
          </w:p>
        </w:tc>
        <w:tc>
          <w:tcPr>
            <w:tcW w:w="4284" w:type="dxa"/>
          </w:tcPr>
          <w:p w14:paraId="07EFDE25"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proofErr w:type="spellStart"/>
            <w:r w:rsidRPr="00722A47">
              <w:rPr>
                <w:rFonts w:ascii="Times New Roman" w:eastAsia="Times New Roman" w:hAnsi="Times New Roman" w:cs="Times New Roman"/>
                <w:sz w:val="18"/>
                <w:szCs w:val="20"/>
                <w:lang w:eastAsia="de-DE"/>
              </w:rPr>
              <w:t>Planumsschutzschicht</w:t>
            </w:r>
            <w:proofErr w:type="spellEnd"/>
            <w:r w:rsidRPr="00722A47">
              <w:rPr>
                <w:rFonts w:ascii="Times New Roman" w:eastAsia="Times New Roman" w:hAnsi="Times New Roman" w:cs="Times New Roman"/>
                <w:sz w:val="18"/>
                <w:szCs w:val="20"/>
                <w:lang w:eastAsia="de-DE"/>
              </w:rPr>
              <w:t xml:space="preserve"> (PSS) der Bahnbauweise E 3b</w:t>
            </w:r>
          </w:p>
        </w:tc>
        <w:tc>
          <w:tcPr>
            <w:tcW w:w="865" w:type="dxa"/>
            <w:noWrap/>
            <w:vAlign w:val="center"/>
          </w:tcPr>
          <w:p w14:paraId="1829EA5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1B0ED3B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22DD908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28FDDACA"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DBF521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1FBE47D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1D65E50"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77ED1C25"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5E5DA5A9"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ahoma"/>
                <w:sz w:val="24"/>
                <w:szCs w:val="24"/>
                <w:lang w:eastAsia="de-DE"/>
              </w:rPr>
              <w:t>+</w:t>
            </w:r>
          </w:p>
        </w:tc>
      </w:tr>
      <w:tr w:rsidR="00722A47" w:rsidRPr="00722A47" w14:paraId="2BEC8B3A" w14:textId="77777777" w:rsidTr="004954C9">
        <w:trPr>
          <w:trHeight w:val="208"/>
        </w:trPr>
        <w:tc>
          <w:tcPr>
            <w:tcW w:w="478" w:type="dxa"/>
            <w:noWrap/>
          </w:tcPr>
          <w:p w14:paraId="79192888"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B26</w:t>
            </w:r>
          </w:p>
        </w:tc>
        <w:tc>
          <w:tcPr>
            <w:tcW w:w="4284" w:type="dxa"/>
          </w:tcPr>
          <w:p w14:paraId="5534F30C" w14:textId="77777777" w:rsidR="00722A47" w:rsidRPr="00722A47" w:rsidRDefault="00722A47" w:rsidP="00722A47">
            <w:pPr>
              <w:spacing w:before="0" w:after="0"/>
              <w:jc w:val="left"/>
              <w:rPr>
                <w:rFonts w:ascii="Times New Roman" w:eastAsia="Times New Roman" w:hAnsi="Times New Roman" w:cs="Times New Roman"/>
                <w:sz w:val="18"/>
                <w:szCs w:val="20"/>
                <w:lang w:eastAsia="de-DE"/>
              </w:rPr>
            </w:pPr>
            <w:r w:rsidRPr="00722A47">
              <w:rPr>
                <w:rFonts w:ascii="Times New Roman" w:eastAsia="Times New Roman" w:hAnsi="Times New Roman" w:cs="Times New Roman"/>
                <w:sz w:val="18"/>
                <w:szCs w:val="20"/>
                <w:lang w:eastAsia="de-DE"/>
              </w:rPr>
              <w:t>Unterbau (Damm) der Bahnbauweise E 3b</w:t>
            </w:r>
          </w:p>
        </w:tc>
        <w:tc>
          <w:tcPr>
            <w:tcW w:w="865" w:type="dxa"/>
            <w:noWrap/>
            <w:vAlign w:val="center"/>
          </w:tcPr>
          <w:p w14:paraId="6B5D071F"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75" w:type="dxa"/>
            <w:noWrap/>
            <w:vAlign w:val="center"/>
          </w:tcPr>
          <w:p w14:paraId="6AE72273"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1205" w:type="dxa"/>
            <w:noWrap/>
            <w:vAlign w:val="center"/>
          </w:tcPr>
          <w:p w14:paraId="40218F16"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76" w:type="dxa"/>
            <w:noWrap/>
            <w:vAlign w:val="center"/>
          </w:tcPr>
          <w:p w14:paraId="627B1BD4"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vAlign w:val="center"/>
          </w:tcPr>
          <w:p w14:paraId="27E76FE1"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508" w:type="dxa"/>
            <w:noWrap/>
            <w:vAlign w:val="center"/>
          </w:tcPr>
          <w:p w14:paraId="74BBD8BC" w14:textId="77777777" w:rsidR="00722A47" w:rsidRPr="00722A47" w:rsidRDefault="00722A47" w:rsidP="00722A47">
            <w:pPr>
              <w:spacing w:before="0" w:after="0"/>
              <w:jc w:val="center"/>
              <w:rPr>
                <w:rFonts w:ascii="Times New Roman" w:eastAsia="Times New Roman" w:hAnsi="Times New Roman" w:cs="Tahoma"/>
                <w:sz w:val="24"/>
                <w:szCs w:val="24"/>
                <w:lang w:eastAsia="de-DE"/>
              </w:rPr>
            </w:pPr>
            <w:r w:rsidRPr="00722A47">
              <w:rPr>
                <w:rFonts w:ascii="Times New Roman" w:eastAsia="Times New Roman" w:hAnsi="Times New Roman" w:cs="Tahoma"/>
                <w:sz w:val="24"/>
                <w:szCs w:val="24"/>
                <w:lang w:eastAsia="de-DE"/>
              </w:rPr>
              <w:t>-</w:t>
            </w:r>
          </w:p>
        </w:tc>
        <w:tc>
          <w:tcPr>
            <w:tcW w:w="681" w:type="dxa"/>
            <w:shd w:val="clear" w:color="auto" w:fill="auto"/>
            <w:vAlign w:val="center"/>
          </w:tcPr>
          <w:p w14:paraId="6576A7DE"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551" w:type="dxa"/>
            <w:shd w:val="clear" w:color="auto" w:fill="auto"/>
            <w:noWrap/>
            <w:vAlign w:val="center"/>
          </w:tcPr>
          <w:p w14:paraId="1412EE5B"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c>
          <w:tcPr>
            <w:tcW w:w="681" w:type="dxa"/>
            <w:shd w:val="clear" w:color="auto" w:fill="auto"/>
            <w:vAlign w:val="center"/>
          </w:tcPr>
          <w:p w14:paraId="354ED274" w14:textId="77777777" w:rsidR="00722A47" w:rsidRPr="00722A47" w:rsidRDefault="00722A47" w:rsidP="00722A47">
            <w:pPr>
              <w:spacing w:before="0" w:after="0"/>
              <w:jc w:val="center"/>
              <w:rPr>
                <w:rFonts w:ascii="Times New Roman" w:eastAsia="Times New Roman" w:hAnsi="Times New Roman" w:cs="Times New Roman"/>
                <w:sz w:val="24"/>
                <w:szCs w:val="24"/>
                <w:lang w:eastAsia="de-DE"/>
              </w:rPr>
            </w:pPr>
            <w:r w:rsidRPr="00722A47">
              <w:rPr>
                <w:rFonts w:ascii="Times New Roman" w:eastAsia="Times New Roman" w:hAnsi="Times New Roman" w:cs="Times New Roman"/>
                <w:sz w:val="24"/>
                <w:szCs w:val="24"/>
                <w:lang w:eastAsia="de-DE"/>
              </w:rPr>
              <w:t>+</w:t>
            </w:r>
          </w:p>
        </w:tc>
      </w:tr>
    </w:tbl>
    <w:p w14:paraId="1336DFB3" w14:textId="0B28A387" w:rsidR="00722A47" w:rsidRDefault="00722A47" w:rsidP="00722A47">
      <w:pPr>
        <w:sectPr w:rsidR="00722A47" w:rsidSect="007947FE">
          <w:pgSz w:w="11907" w:h="16839"/>
          <w:pgMar w:top="1134" w:right="1417" w:bottom="1134" w:left="1701" w:header="709" w:footer="709" w:gutter="0"/>
          <w:cols w:space="708"/>
          <w:docGrid w:linePitch="360"/>
        </w:sectPr>
      </w:pPr>
      <w:r>
        <w:br w:type="page"/>
      </w:r>
    </w:p>
    <w:p w14:paraId="3B309199" w14:textId="77777777" w:rsidR="00722A47" w:rsidRPr="00722A47" w:rsidRDefault="00722A47" w:rsidP="00722A47">
      <w:pPr>
        <w:pStyle w:val="AnlageBezeichnernummeriert"/>
      </w:pPr>
    </w:p>
    <w:p w14:paraId="514E5D91" w14:textId="77777777" w:rsidR="00722A47" w:rsidRPr="00722A47" w:rsidRDefault="00722A47" w:rsidP="00722A47">
      <w:pPr>
        <w:pStyle w:val="AnlageVerweis"/>
      </w:pPr>
      <w:r w:rsidRPr="008D0377">
        <w:t>(zu § 3 Absatz 1 Satz 3 und Absatz 2, § 5 Absatz 2 und 4, § 6 Absatz 2 und 3 sowie § 7 Absatz 1, 2 und 5)</w:t>
      </w:r>
    </w:p>
    <w:p w14:paraId="46686C5A" w14:textId="77777777" w:rsidR="00722A47" w:rsidRPr="00722A47" w:rsidRDefault="00722A47" w:rsidP="00722A47">
      <w:pPr>
        <w:pStyle w:val="Anlageberschrift"/>
      </w:pPr>
      <w:bookmarkStart w:id="49" w:name="_Toc64380066"/>
      <w:r w:rsidRPr="008D0377">
        <w:t>Art und Turnus der Untersuchungen von mineralischen Ersatzbaustoffen im Rahmen der Güteüberwachung</w:t>
      </w:r>
      <w:bookmarkEnd w:id="49"/>
    </w:p>
    <w:p w14:paraId="2F118905" w14:textId="77777777" w:rsidR="00722A47" w:rsidRPr="00722A47" w:rsidRDefault="00722A47" w:rsidP="00722A47">
      <w:pPr>
        <w:tabs>
          <w:tab w:val="left" w:pos="540"/>
        </w:tabs>
        <w:spacing w:before="0" w:after="0"/>
        <w:ind w:left="851" w:hanging="851"/>
        <w:jc w:val="left"/>
        <w:outlineLvl w:val="0"/>
        <w:rPr>
          <w:rFonts w:eastAsia="Times New Roman"/>
          <w:b/>
          <w:lang w:eastAsia="de-DE"/>
        </w:rPr>
      </w:pPr>
      <w:r w:rsidRPr="00722A47">
        <w:rPr>
          <w:rFonts w:eastAsia="Times New Roman"/>
          <w:b/>
          <w:u w:val="single"/>
          <w:lang w:eastAsia="de-DE"/>
        </w:rPr>
        <w:t>Tabelle 1</w:t>
      </w:r>
      <w:r w:rsidRPr="00722A47">
        <w:rPr>
          <w:rFonts w:eastAsia="Times New Roman"/>
          <w:b/>
          <w:lang w:eastAsia="de-DE"/>
        </w:rPr>
        <w:t xml:space="preserve"> Untersuchungsverfahren und Turnus</w:t>
      </w:r>
    </w:p>
    <w:tbl>
      <w:tblPr>
        <w:tblW w:w="15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977"/>
        <w:gridCol w:w="2835"/>
        <w:gridCol w:w="3147"/>
        <w:gridCol w:w="3827"/>
      </w:tblGrid>
      <w:tr w:rsidR="00722A47" w:rsidRPr="00722A47" w14:paraId="437737AF" w14:textId="77777777" w:rsidTr="004F3EA7">
        <w:trPr>
          <w:trHeight w:val="643"/>
        </w:trPr>
        <w:tc>
          <w:tcPr>
            <w:tcW w:w="2269" w:type="dxa"/>
            <w:shd w:val="clear" w:color="auto" w:fill="auto"/>
            <w:vAlign w:val="center"/>
          </w:tcPr>
          <w:p w14:paraId="4EC253DD" w14:textId="77777777" w:rsidR="00722A47" w:rsidRPr="00722A47" w:rsidRDefault="00722A47" w:rsidP="00722A47">
            <w:pPr>
              <w:overflowPunct w:val="0"/>
              <w:autoSpaceDE w:val="0"/>
              <w:autoSpaceDN w:val="0"/>
              <w:adjustRightInd w:val="0"/>
              <w:spacing w:before="0" w:after="0"/>
              <w:jc w:val="center"/>
              <w:textAlignment w:val="baseline"/>
              <w:rPr>
                <w:rFonts w:eastAsia="Times New Roman"/>
                <w:b/>
                <w:sz w:val="20"/>
                <w:szCs w:val="20"/>
                <w:lang w:eastAsia="de-DE"/>
              </w:rPr>
            </w:pPr>
            <w:r w:rsidRPr="00722A47">
              <w:rPr>
                <w:rFonts w:eastAsia="Times New Roman"/>
                <w:b/>
                <w:sz w:val="20"/>
                <w:szCs w:val="20"/>
                <w:lang w:eastAsia="de-DE"/>
              </w:rPr>
              <w:t>Teilschritt</w:t>
            </w:r>
          </w:p>
        </w:tc>
        <w:tc>
          <w:tcPr>
            <w:tcW w:w="2977" w:type="dxa"/>
            <w:shd w:val="clear" w:color="auto" w:fill="auto"/>
            <w:vAlign w:val="center"/>
          </w:tcPr>
          <w:p w14:paraId="10183754" w14:textId="77777777" w:rsidR="00722A47" w:rsidRPr="00722A47" w:rsidRDefault="00722A47" w:rsidP="00722A47">
            <w:pPr>
              <w:overflowPunct w:val="0"/>
              <w:autoSpaceDE w:val="0"/>
              <w:autoSpaceDN w:val="0"/>
              <w:adjustRightInd w:val="0"/>
              <w:spacing w:before="0" w:after="0"/>
              <w:jc w:val="center"/>
              <w:textAlignment w:val="baseline"/>
              <w:rPr>
                <w:rFonts w:eastAsia="Times New Roman"/>
                <w:b/>
                <w:sz w:val="20"/>
                <w:szCs w:val="20"/>
                <w:lang w:eastAsia="de-DE"/>
              </w:rPr>
            </w:pPr>
            <w:r w:rsidRPr="00722A47">
              <w:rPr>
                <w:rFonts w:eastAsia="Times New Roman"/>
                <w:b/>
                <w:sz w:val="20"/>
                <w:szCs w:val="20"/>
                <w:lang w:eastAsia="de-DE"/>
              </w:rPr>
              <w:t xml:space="preserve">Untersuchungsverfahren </w:t>
            </w:r>
          </w:p>
        </w:tc>
        <w:tc>
          <w:tcPr>
            <w:tcW w:w="9809" w:type="dxa"/>
            <w:gridSpan w:val="3"/>
            <w:shd w:val="clear" w:color="auto" w:fill="auto"/>
            <w:vAlign w:val="center"/>
          </w:tcPr>
          <w:p w14:paraId="0C0F5687" w14:textId="77777777" w:rsidR="00722A47" w:rsidRPr="00722A47" w:rsidRDefault="00722A47" w:rsidP="00722A47">
            <w:pPr>
              <w:overflowPunct w:val="0"/>
              <w:autoSpaceDE w:val="0"/>
              <w:autoSpaceDN w:val="0"/>
              <w:adjustRightInd w:val="0"/>
              <w:spacing w:before="0" w:after="0"/>
              <w:jc w:val="center"/>
              <w:textAlignment w:val="baseline"/>
              <w:rPr>
                <w:rFonts w:eastAsia="Times New Roman"/>
                <w:b/>
                <w:sz w:val="20"/>
                <w:szCs w:val="20"/>
                <w:lang w:eastAsia="de-DE"/>
              </w:rPr>
            </w:pPr>
            <w:r w:rsidRPr="00722A47">
              <w:rPr>
                <w:rFonts w:eastAsia="Times New Roman"/>
                <w:b/>
                <w:sz w:val="20"/>
                <w:szCs w:val="20"/>
                <w:lang w:eastAsia="de-DE"/>
              </w:rPr>
              <w:t>Turnus</w:t>
            </w:r>
          </w:p>
        </w:tc>
      </w:tr>
      <w:tr w:rsidR="00722A47" w:rsidRPr="00722A47" w14:paraId="4E468442" w14:textId="77777777" w:rsidTr="004F3EA7">
        <w:trPr>
          <w:trHeight w:val="697"/>
        </w:trPr>
        <w:tc>
          <w:tcPr>
            <w:tcW w:w="2269" w:type="dxa"/>
            <w:shd w:val="clear" w:color="auto" w:fill="auto"/>
            <w:vAlign w:val="center"/>
          </w:tcPr>
          <w:p w14:paraId="4FA008B8"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sz w:val="20"/>
                <w:szCs w:val="20"/>
                <w:lang w:eastAsia="de-DE"/>
              </w:rPr>
            </w:pPr>
            <w:r w:rsidRPr="00722A47">
              <w:rPr>
                <w:rFonts w:eastAsia="Times New Roman"/>
                <w:sz w:val="20"/>
                <w:szCs w:val="20"/>
                <w:lang w:eastAsia="de-DE"/>
              </w:rPr>
              <w:t>Eignungsnachweis (</w:t>
            </w:r>
            <w:proofErr w:type="spellStart"/>
            <w:r w:rsidRPr="00722A47">
              <w:rPr>
                <w:rFonts w:eastAsia="Times New Roman"/>
                <w:sz w:val="20"/>
                <w:szCs w:val="20"/>
                <w:lang w:eastAsia="de-DE"/>
              </w:rPr>
              <w:t>EgN</w:t>
            </w:r>
            <w:proofErr w:type="spellEnd"/>
            <w:r w:rsidRPr="00722A47">
              <w:rPr>
                <w:rFonts w:eastAsia="Times New Roman"/>
                <w:sz w:val="20"/>
                <w:szCs w:val="20"/>
                <w:lang w:eastAsia="de-DE"/>
              </w:rPr>
              <w:t>)</w:t>
            </w:r>
            <w:r w:rsidRPr="00722A47">
              <w:rPr>
                <w:rFonts w:eastAsia="Times New Roman"/>
                <w:sz w:val="20"/>
                <w:szCs w:val="20"/>
                <w:vertAlign w:val="superscript"/>
                <w:lang w:eastAsia="de-DE"/>
              </w:rPr>
              <w:t xml:space="preserve"> </w:t>
            </w:r>
          </w:p>
        </w:tc>
        <w:tc>
          <w:tcPr>
            <w:tcW w:w="2977" w:type="dxa"/>
            <w:shd w:val="clear" w:color="auto" w:fill="auto"/>
            <w:vAlign w:val="center"/>
          </w:tcPr>
          <w:p w14:paraId="497B5402"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sz w:val="20"/>
                <w:szCs w:val="20"/>
                <w:lang w:eastAsia="de-DE"/>
              </w:rPr>
            </w:pPr>
            <w:r w:rsidRPr="00722A47">
              <w:rPr>
                <w:rFonts w:eastAsia="Times New Roman"/>
                <w:sz w:val="20"/>
                <w:szCs w:val="20"/>
                <w:lang w:eastAsia="de-DE"/>
              </w:rPr>
              <w:t>ausführlicher Säulenversuch (DIN 19528, Ausgabe Januar 2009)</w:t>
            </w:r>
          </w:p>
        </w:tc>
        <w:tc>
          <w:tcPr>
            <w:tcW w:w="9809" w:type="dxa"/>
            <w:gridSpan w:val="3"/>
            <w:shd w:val="clear" w:color="auto" w:fill="auto"/>
            <w:vAlign w:val="center"/>
          </w:tcPr>
          <w:p w14:paraId="1B52B06A" w14:textId="77777777" w:rsidR="00722A47" w:rsidRPr="00722A47" w:rsidRDefault="00722A47" w:rsidP="00722A47">
            <w:pPr>
              <w:overflowPunct w:val="0"/>
              <w:autoSpaceDE w:val="0"/>
              <w:autoSpaceDN w:val="0"/>
              <w:adjustRightInd w:val="0"/>
              <w:spacing w:before="0" w:after="0"/>
              <w:jc w:val="center"/>
              <w:textAlignment w:val="baseline"/>
              <w:rPr>
                <w:rFonts w:eastAsia="Times New Roman"/>
                <w:sz w:val="20"/>
                <w:szCs w:val="20"/>
                <w:lang w:eastAsia="de-DE"/>
              </w:rPr>
            </w:pPr>
            <w:r w:rsidRPr="00722A47">
              <w:rPr>
                <w:rFonts w:eastAsia="Times New Roman"/>
                <w:sz w:val="20"/>
                <w:szCs w:val="20"/>
                <w:lang w:eastAsia="de-DE"/>
              </w:rPr>
              <w:t>Einmalig</w:t>
            </w:r>
          </w:p>
        </w:tc>
      </w:tr>
      <w:tr w:rsidR="00722A47" w:rsidRPr="00722A47" w14:paraId="3AD23E11" w14:textId="77777777" w:rsidTr="004F3EA7">
        <w:trPr>
          <w:trHeight w:val="2123"/>
        </w:trPr>
        <w:tc>
          <w:tcPr>
            <w:tcW w:w="2269" w:type="dxa"/>
            <w:shd w:val="clear" w:color="auto" w:fill="auto"/>
            <w:vAlign w:val="center"/>
          </w:tcPr>
          <w:p w14:paraId="024CC933"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sz w:val="20"/>
                <w:szCs w:val="20"/>
                <w:lang w:eastAsia="de-DE"/>
              </w:rPr>
            </w:pPr>
            <w:r w:rsidRPr="00722A47">
              <w:rPr>
                <w:rFonts w:eastAsia="Times New Roman"/>
                <w:sz w:val="20"/>
                <w:szCs w:val="20"/>
                <w:lang w:eastAsia="de-DE"/>
              </w:rPr>
              <w:t>werkseigene Produktionskontrolle (WPK)</w:t>
            </w:r>
          </w:p>
        </w:tc>
        <w:tc>
          <w:tcPr>
            <w:tcW w:w="2977" w:type="dxa"/>
            <w:shd w:val="clear" w:color="auto" w:fill="auto"/>
            <w:vAlign w:val="center"/>
          </w:tcPr>
          <w:p w14:paraId="56CF483F"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sz w:val="20"/>
                <w:szCs w:val="20"/>
                <w:lang w:eastAsia="de-DE"/>
              </w:rPr>
            </w:pPr>
            <w:r w:rsidRPr="00722A47">
              <w:rPr>
                <w:rFonts w:eastAsia="Times New Roman"/>
                <w:sz w:val="20"/>
                <w:szCs w:val="20"/>
                <w:lang w:eastAsia="de-DE"/>
              </w:rPr>
              <w:t>Zur Herstellung des Eluats</w:t>
            </w:r>
          </w:p>
          <w:p w14:paraId="691384DC"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sz w:val="20"/>
                <w:szCs w:val="20"/>
                <w:lang w:eastAsia="de-DE"/>
              </w:rPr>
            </w:pPr>
            <w:r w:rsidRPr="00722A47">
              <w:rPr>
                <w:rFonts w:eastAsia="Times New Roman"/>
                <w:sz w:val="20"/>
                <w:szCs w:val="20"/>
                <w:lang w:eastAsia="de-DE"/>
              </w:rPr>
              <w:t>Säulenkurztest (DIN 19528, Ausgabe Januar 2009)</w:t>
            </w:r>
          </w:p>
          <w:p w14:paraId="2CDCD2F3"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sz w:val="20"/>
                <w:szCs w:val="20"/>
                <w:lang w:eastAsia="de-DE"/>
              </w:rPr>
            </w:pPr>
            <w:r w:rsidRPr="00722A47">
              <w:rPr>
                <w:rFonts w:eastAsia="Times New Roman"/>
                <w:sz w:val="20"/>
                <w:szCs w:val="20"/>
                <w:lang w:eastAsia="de-DE"/>
              </w:rPr>
              <w:t>oder</w:t>
            </w:r>
          </w:p>
          <w:p w14:paraId="2E9584C0"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sz w:val="20"/>
                <w:szCs w:val="20"/>
                <w:lang w:eastAsia="de-DE"/>
              </w:rPr>
            </w:pPr>
            <w:r w:rsidRPr="00722A47">
              <w:rPr>
                <w:rFonts w:eastAsia="Times New Roman"/>
                <w:sz w:val="20"/>
                <w:szCs w:val="20"/>
                <w:lang w:eastAsia="de-DE"/>
              </w:rPr>
              <w:t>Schüttelversuch (DIN 19529, Ausgabe Dezember 2015)</w:t>
            </w:r>
          </w:p>
        </w:tc>
        <w:tc>
          <w:tcPr>
            <w:tcW w:w="2835" w:type="dxa"/>
            <w:shd w:val="clear" w:color="auto" w:fill="auto"/>
            <w:vAlign w:val="center"/>
          </w:tcPr>
          <w:p w14:paraId="391296BD" w14:textId="27AE1EA7" w:rsidR="00722A47" w:rsidRPr="00722A47" w:rsidRDefault="00D5621D" w:rsidP="00722A47">
            <w:pPr>
              <w:overflowPunct w:val="0"/>
              <w:autoSpaceDE w:val="0"/>
              <w:autoSpaceDN w:val="0"/>
              <w:adjustRightInd w:val="0"/>
              <w:spacing w:before="0" w:after="0"/>
              <w:jc w:val="left"/>
              <w:textAlignment w:val="baseline"/>
              <w:rPr>
                <w:rFonts w:eastAsia="Times New Roman"/>
                <w:sz w:val="20"/>
                <w:szCs w:val="20"/>
                <w:lang w:eastAsia="de-DE"/>
              </w:rPr>
            </w:pPr>
            <w:r>
              <w:rPr>
                <w:rFonts w:eastAsia="Times New Roman"/>
                <w:sz w:val="20"/>
                <w:szCs w:val="20"/>
                <w:lang w:eastAsia="de-DE"/>
              </w:rPr>
              <w:t>alle vier</w:t>
            </w:r>
            <w:r w:rsidR="00722A47" w:rsidRPr="00722A47">
              <w:rPr>
                <w:rFonts w:eastAsia="Times New Roman"/>
                <w:sz w:val="20"/>
                <w:szCs w:val="20"/>
                <w:lang w:eastAsia="de-DE"/>
              </w:rPr>
              <w:t xml:space="preserve"> Produktionswochen, mindestens alle angefangenen 5.000 Tonnen, jedoch maximal 36 pro Jahr für RC, HMVA, GS, BM aus Aufbereitungsanlagen, BG</w:t>
            </w:r>
          </w:p>
        </w:tc>
        <w:tc>
          <w:tcPr>
            <w:tcW w:w="3147" w:type="dxa"/>
            <w:shd w:val="clear" w:color="auto" w:fill="auto"/>
            <w:vAlign w:val="center"/>
          </w:tcPr>
          <w:p w14:paraId="192D9419" w14:textId="6FF22559" w:rsidR="00722A47" w:rsidRPr="00722A47" w:rsidRDefault="00D5621D" w:rsidP="00722A47">
            <w:pPr>
              <w:overflowPunct w:val="0"/>
              <w:autoSpaceDE w:val="0"/>
              <w:autoSpaceDN w:val="0"/>
              <w:adjustRightInd w:val="0"/>
              <w:spacing w:before="0" w:after="0"/>
              <w:jc w:val="left"/>
              <w:textAlignment w:val="baseline"/>
              <w:rPr>
                <w:rFonts w:eastAsia="Times New Roman"/>
                <w:sz w:val="20"/>
                <w:szCs w:val="20"/>
                <w:lang w:eastAsia="de-DE"/>
              </w:rPr>
            </w:pPr>
            <w:r>
              <w:rPr>
                <w:rFonts w:eastAsia="Times New Roman"/>
                <w:sz w:val="20"/>
                <w:szCs w:val="20"/>
                <w:lang w:eastAsia="de-DE"/>
              </w:rPr>
              <w:t>alle acht</w:t>
            </w:r>
            <w:r w:rsidR="00722A47" w:rsidRPr="00722A47">
              <w:rPr>
                <w:rFonts w:eastAsia="Times New Roman"/>
                <w:sz w:val="20"/>
                <w:szCs w:val="20"/>
                <w:lang w:eastAsia="de-DE"/>
              </w:rPr>
              <w:t xml:space="preserve"> Produktionswochen, mindestens alle angefangenen 10.000 Tonnen, jedoch maximal 18 pro Jahr für CUM, GKOS, GRS, HOS, HS, SFA, BFA, SWS, SKG, SKA </w:t>
            </w:r>
          </w:p>
        </w:tc>
        <w:tc>
          <w:tcPr>
            <w:tcW w:w="3827" w:type="dxa"/>
            <w:shd w:val="clear" w:color="auto" w:fill="auto"/>
            <w:vAlign w:val="center"/>
          </w:tcPr>
          <w:p w14:paraId="049748D8" w14:textId="2421D83D" w:rsidR="00722A47" w:rsidRPr="00722A47" w:rsidRDefault="00722A47" w:rsidP="00722A47">
            <w:pPr>
              <w:overflowPunct w:val="0"/>
              <w:autoSpaceDE w:val="0"/>
              <w:autoSpaceDN w:val="0"/>
              <w:adjustRightInd w:val="0"/>
              <w:spacing w:before="0" w:after="0"/>
              <w:jc w:val="left"/>
              <w:textAlignment w:val="baseline"/>
              <w:rPr>
                <w:rFonts w:eastAsia="Times New Roman"/>
                <w:color w:val="FF0000"/>
                <w:sz w:val="20"/>
                <w:szCs w:val="20"/>
                <w:lang w:eastAsia="de-DE"/>
              </w:rPr>
            </w:pPr>
            <w:r w:rsidRPr="00722A47">
              <w:rPr>
                <w:rFonts w:eastAsia="Times New Roman"/>
                <w:sz w:val="20"/>
                <w:szCs w:val="20"/>
                <w:lang w:eastAsia="de-DE"/>
              </w:rPr>
              <w:t>Bei Erfüllung von Fußnote 1 alle 13 Produktionswochen, mindestens alle angefangenen 20 000 Tonnen, jedoch maximal sechs pro Jahr für</w:t>
            </w:r>
            <w:r w:rsidRPr="00722A47">
              <w:rPr>
                <w:rFonts w:eastAsia="Times New Roman"/>
                <w:color w:val="FF0000"/>
                <w:sz w:val="20"/>
                <w:szCs w:val="20"/>
                <w:lang w:eastAsia="de-DE"/>
              </w:rPr>
              <w:t xml:space="preserve"> </w:t>
            </w:r>
            <w:r w:rsidRPr="00722A47">
              <w:rPr>
                <w:rFonts w:eastAsia="Times New Roman"/>
                <w:sz w:val="20"/>
                <w:szCs w:val="20"/>
                <w:lang w:eastAsia="de-DE"/>
              </w:rPr>
              <w:t>CUM, GKOS, GRS, HOS, HS, SFA, BFA, SWS, SKG, SKA und alle acht Produktionswochen, mindestens alle angefangenen 10 000 Tonnen, jedoch maximal 18 pro Kalenderjahr für RC, HMVA, GS, BM aus Aufbereitungsanlagen, BG</w:t>
            </w:r>
          </w:p>
        </w:tc>
      </w:tr>
      <w:tr w:rsidR="00722A47" w:rsidRPr="00722A47" w14:paraId="424B3DFD" w14:textId="77777777" w:rsidTr="004F3EA7">
        <w:trPr>
          <w:trHeight w:val="2124"/>
        </w:trPr>
        <w:tc>
          <w:tcPr>
            <w:tcW w:w="2269" w:type="dxa"/>
            <w:shd w:val="clear" w:color="auto" w:fill="auto"/>
            <w:vAlign w:val="center"/>
          </w:tcPr>
          <w:p w14:paraId="2EA3E379"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sz w:val="20"/>
                <w:szCs w:val="20"/>
                <w:lang w:eastAsia="de-DE"/>
              </w:rPr>
            </w:pPr>
            <w:r w:rsidRPr="00722A47">
              <w:rPr>
                <w:rFonts w:eastAsia="Times New Roman"/>
                <w:sz w:val="20"/>
                <w:szCs w:val="20"/>
                <w:lang w:eastAsia="de-DE"/>
              </w:rPr>
              <w:t>Fremdüberwachung (FÜ)</w:t>
            </w:r>
          </w:p>
        </w:tc>
        <w:tc>
          <w:tcPr>
            <w:tcW w:w="2977" w:type="dxa"/>
            <w:shd w:val="clear" w:color="auto" w:fill="auto"/>
            <w:vAlign w:val="center"/>
          </w:tcPr>
          <w:p w14:paraId="605A75DE"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sz w:val="20"/>
                <w:szCs w:val="20"/>
                <w:lang w:eastAsia="de-DE"/>
              </w:rPr>
            </w:pPr>
            <w:r w:rsidRPr="00722A47">
              <w:rPr>
                <w:rFonts w:eastAsia="Times New Roman"/>
                <w:sz w:val="20"/>
                <w:szCs w:val="20"/>
                <w:lang w:eastAsia="de-DE"/>
              </w:rPr>
              <w:t>Zur Herstellung des Eluats</w:t>
            </w:r>
          </w:p>
          <w:p w14:paraId="0968A87C"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sz w:val="20"/>
                <w:szCs w:val="20"/>
                <w:lang w:eastAsia="de-DE"/>
              </w:rPr>
            </w:pPr>
            <w:r w:rsidRPr="00722A47">
              <w:rPr>
                <w:rFonts w:eastAsia="Times New Roman"/>
                <w:sz w:val="20"/>
                <w:szCs w:val="20"/>
                <w:lang w:eastAsia="de-DE"/>
              </w:rPr>
              <w:t>Säulenkurztest (DIN 19528, Ausgabe Januar 2009)</w:t>
            </w:r>
          </w:p>
          <w:p w14:paraId="0F144091"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sz w:val="20"/>
                <w:szCs w:val="20"/>
                <w:lang w:eastAsia="de-DE"/>
              </w:rPr>
            </w:pPr>
            <w:r w:rsidRPr="00722A47">
              <w:rPr>
                <w:rFonts w:eastAsia="Times New Roman"/>
                <w:sz w:val="20"/>
                <w:szCs w:val="20"/>
                <w:lang w:eastAsia="de-DE"/>
              </w:rPr>
              <w:t xml:space="preserve">oder </w:t>
            </w:r>
          </w:p>
          <w:p w14:paraId="16FDB1E7"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sz w:val="20"/>
                <w:szCs w:val="20"/>
                <w:lang w:eastAsia="de-DE"/>
              </w:rPr>
            </w:pPr>
            <w:r w:rsidRPr="00722A47">
              <w:rPr>
                <w:rFonts w:eastAsia="Times New Roman"/>
                <w:sz w:val="20"/>
                <w:szCs w:val="20"/>
                <w:lang w:eastAsia="de-DE"/>
              </w:rPr>
              <w:t>Schüttelversuch (DIN 19529, Ausgabe Dezember 2015)</w:t>
            </w:r>
          </w:p>
        </w:tc>
        <w:tc>
          <w:tcPr>
            <w:tcW w:w="2835" w:type="dxa"/>
            <w:shd w:val="clear" w:color="auto" w:fill="auto"/>
            <w:vAlign w:val="center"/>
          </w:tcPr>
          <w:p w14:paraId="1D9E9960" w14:textId="55E4AE8A" w:rsidR="00722A47" w:rsidRPr="00722A47" w:rsidRDefault="00722A47" w:rsidP="00722A47">
            <w:pPr>
              <w:overflowPunct w:val="0"/>
              <w:autoSpaceDE w:val="0"/>
              <w:autoSpaceDN w:val="0"/>
              <w:adjustRightInd w:val="0"/>
              <w:spacing w:before="0" w:after="0"/>
              <w:jc w:val="left"/>
              <w:textAlignment w:val="baseline"/>
              <w:rPr>
                <w:rFonts w:eastAsia="Times New Roman"/>
                <w:sz w:val="20"/>
                <w:szCs w:val="20"/>
                <w:lang w:eastAsia="de-DE"/>
              </w:rPr>
            </w:pPr>
            <w:r w:rsidRPr="00722A47">
              <w:rPr>
                <w:rFonts w:eastAsia="Times New Roman"/>
                <w:sz w:val="20"/>
                <w:szCs w:val="20"/>
                <w:lang w:eastAsia="de-DE"/>
              </w:rPr>
              <w:t>alle 13 Produktionswochen, mindestens alle angefangenen 15 000 Tonnen, jedoch maximal zwölf pro Jahr für RC, HMVA, GS, BM aus Aufbereitungsanlagen, BG</w:t>
            </w:r>
          </w:p>
        </w:tc>
        <w:tc>
          <w:tcPr>
            <w:tcW w:w="3147" w:type="dxa"/>
            <w:shd w:val="clear" w:color="auto" w:fill="auto"/>
            <w:vAlign w:val="center"/>
          </w:tcPr>
          <w:p w14:paraId="686EC307" w14:textId="1DB674D5" w:rsidR="00722A47" w:rsidRPr="00722A47" w:rsidRDefault="00722A47" w:rsidP="00722A47">
            <w:pPr>
              <w:overflowPunct w:val="0"/>
              <w:autoSpaceDE w:val="0"/>
              <w:autoSpaceDN w:val="0"/>
              <w:adjustRightInd w:val="0"/>
              <w:spacing w:before="0" w:after="0"/>
              <w:jc w:val="left"/>
              <w:textAlignment w:val="baseline"/>
              <w:rPr>
                <w:rFonts w:eastAsia="Times New Roman"/>
                <w:sz w:val="20"/>
                <w:szCs w:val="20"/>
                <w:lang w:eastAsia="de-DE"/>
              </w:rPr>
            </w:pPr>
            <w:r w:rsidRPr="00722A47">
              <w:rPr>
                <w:rFonts w:eastAsia="Times New Roman"/>
                <w:sz w:val="20"/>
                <w:szCs w:val="20"/>
                <w:lang w:eastAsia="de-DE"/>
              </w:rPr>
              <w:t xml:space="preserve">alle 26 Produktionswochen, mindestens alle angefangenen 30 000 Tonnen, jedoch maximal sechs pro Jahr für CUM, GKOS, GRS, HOS, HS, SFA, BFA, SWS, SKG, SKA </w:t>
            </w:r>
          </w:p>
        </w:tc>
        <w:tc>
          <w:tcPr>
            <w:tcW w:w="3827" w:type="dxa"/>
            <w:shd w:val="clear" w:color="auto" w:fill="auto"/>
            <w:vAlign w:val="center"/>
          </w:tcPr>
          <w:p w14:paraId="7C3CC47F" w14:textId="41EDD98A" w:rsidR="00722A47" w:rsidRPr="00722A47" w:rsidRDefault="00722A47" w:rsidP="00722A47">
            <w:pPr>
              <w:overflowPunct w:val="0"/>
              <w:autoSpaceDE w:val="0"/>
              <w:autoSpaceDN w:val="0"/>
              <w:adjustRightInd w:val="0"/>
              <w:spacing w:before="0" w:after="0"/>
              <w:jc w:val="left"/>
              <w:textAlignment w:val="baseline"/>
              <w:rPr>
                <w:rFonts w:eastAsia="Times New Roman"/>
                <w:color w:val="FF0000"/>
                <w:sz w:val="20"/>
                <w:szCs w:val="20"/>
                <w:lang w:eastAsia="de-DE"/>
              </w:rPr>
            </w:pPr>
            <w:r w:rsidRPr="00722A47">
              <w:rPr>
                <w:rFonts w:eastAsia="Times New Roman"/>
                <w:sz w:val="20"/>
                <w:szCs w:val="20"/>
                <w:lang w:eastAsia="de-DE"/>
              </w:rPr>
              <w:t xml:space="preserve">Bei Erfüllung von Fußnote 1 alle 26 Produktionswochen, mindestens alle angefangenen 60 </w:t>
            </w:r>
            <w:r w:rsidR="00D5621D">
              <w:rPr>
                <w:rFonts w:eastAsia="Times New Roman"/>
                <w:sz w:val="20"/>
                <w:szCs w:val="20"/>
                <w:lang w:eastAsia="de-DE"/>
              </w:rPr>
              <w:t>000 Tonnen, jedoch maximal drei</w:t>
            </w:r>
            <w:r w:rsidRPr="00722A47">
              <w:rPr>
                <w:rFonts w:eastAsia="Times New Roman"/>
                <w:sz w:val="20"/>
                <w:szCs w:val="20"/>
                <w:lang w:eastAsia="de-DE"/>
              </w:rPr>
              <w:t xml:space="preserve"> pro Jahr für CUM, GKOS, GRS, HOS, HS, SFA, BFA, SWS, SKG, </w:t>
            </w:r>
            <w:proofErr w:type="gramStart"/>
            <w:r w:rsidRPr="00722A47">
              <w:rPr>
                <w:rFonts w:eastAsia="Times New Roman"/>
                <w:sz w:val="20"/>
                <w:szCs w:val="20"/>
                <w:lang w:eastAsia="de-DE"/>
              </w:rPr>
              <w:t>SKA  und</w:t>
            </w:r>
            <w:proofErr w:type="gramEnd"/>
            <w:r w:rsidRPr="00722A47">
              <w:rPr>
                <w:rFonts w:eastAsia="Times New Roman"/>
                <w:sz w:val="20"/>
                <w:szCs w:val="20"/>
                <w:lang w:eastAsia="de-DE"/>
              </w:rPr>
              <w:t xml:space="preserve"> alle 26 Produktionswochen, mindestens alle angefangenen 30 000 Tonnen, jedoch maximal sechs pro Jahr für RC, HMVA, GS, BM aus Aufbereitungsanlagen, BG</w:t>
            </w:r>
          </w:p>
        </w:tc>
      </w:tr>
    </w:tbl>
    <w:p w14:paraId="4BAFE31A" w14:textId="718267A0" w:rsidR="004F3EA7" w:rsidRDefault="004F3EA7" w:rsidP="004F3EA7">
      <w:pPr>
        <w:rPr>
          <w:rFonts w:eastAsia="Times New Roman"/>
          <w:sz w:val="16"/>
          <w:szCs w:val="16"/>
          <w:lang w:eastAsia="de-DE"/>
        </w:rPr>
      </w:pPr>
    </w:p>
    <w:p w14:paraId="5D2F64BD" w14:textId="77777777" w:rsidR="00962750" w:rsidRDefault="00722A47" w:rsidP="00722A47">
      <w:pPr>
        <w:rPr>
          <w:rFonts w:eastAsia="Times New Roman"/>
          <w:sz w:val="16"/>
          <w:szCs w:val="16"/>
          <w:lang w:eastAsia="de-DE"/>
        </w:rPr>
      </w:pPr>
      <w:r w:rsidRPr="00722A47">
        <w:rPr>
          <w:rFonts w:eastAsia="Times New Roman"/>
          <w:b/>
          <w:sz w:val="16"/>
          <w:szCs w:val="16"/>
          <w:vertAlign w:val="superscript"/>
          <w:lang w:eastAsia="de-DE"/>
        </w:rPr>
        <w:t xml:space="preserve">1 </w:t>
      </w:r>
      <w:r w:rsidRPr="00722A47">
        <w:rPr>
          <w:rFonts w:eastAsia="Times New Roman"/>
          <w:sz w:val="16"/>
          <w:szCs w:val="16"/>
          <w:lang w:eastAsia="de-DE"/>
        </w:rPr>
        <w:t xml:space="preserve">Für Mitglieder einer durch die zuständige Behörde anerkannten Güteüberwachungsgemeinschaft. </w:t>
      </w:r>
    </w:p>
    <w:p w14:paraId="33643F7E" w14:textId="5A85E1AC" w:rsidR="0049501F" w:rsidRDefault="0049501F" w:rsidP="00962750">
      <w:pPr>
        <w:rPr>
          <w:lang w:eastAsia="de-DE"/>
        </w:rPr>
        <w:sectPr w:rsidR="0049501F" w:rsidSect="007947FE">
          <w:pgSz w:w="16839" w:h="11907" w:orient="landscape"/>
          <w:pgMar w:top="1134" w:right="1417" w:bottom="1134" w:left="1701" w:header="709" w:footer="709" w:gutter="0"/>
          <w:cols w:space="708"/>
          <w:docGrid w:linePitch="360"/>
        </w:sectPr>
      </w:pPr>
    </w:p>
    <w:p w14:paraId="206C21A6" w14:textId="77777777" w:rsidR="00722A47" w:rsidRPr="00722A47" w:rsidRDefault="00722A47" w:rsidP="00722A47">
      <w:pPr>
        <w:rPr>
          <w:rFonts w:eastAsia="Times New Roman"/>
          <w:b/>
          <w:u w:val="single"/>
          <w:lang w:eastAsia="de-DE"/>
        </w:rPr>
      </w:pPr>
      <w:r w:rsidRPr="00722A47">
        <w:rPr>
          <w:rFonts w:eastAsia="Times New Roman"/>
          <w:b/>
          <w:u w:val="single"/>
          <w:lang w:eastAsia="de-DE"/>
        </w:rPr>
        <w:lastRenderedPageBreak/>
        <w:t xml:space="preserve">Tabelle 2 </w:t>
      </w:r>
    </w:p>
    <w:p w14:paraId="6F53AFA6" w14:textId="77777777" w:rsidR="00722A47" w:rsidRPr="00722A47" w:rsidRDefault="00722A47" w:rsidP="00722A47">
      <w:pPr>
        <w:spacing w:before="0" w:after="0"/>
        <w:ind w:right="-476"/>
        <w:jc w:val="left"/>
        <w:rPr>
          <w:rFonts w:eastAsia="Times New Roman"/>
          <w:b/>
          <w:lang w:eastAsia="de-DE"/>
        </w:rPr>
      </w:pPr>
      <w:r w:rsidRPr="00722A47">
        <w:rPr>
          <w:rFonts w:eastAsia="Times New Roman"/>
          <w:b/>
          <w:lang w:eastAsia="de-DE"/>
        </w:rPr>
        <w:t xml:space="preserve">Im Rahmen des Eignungsnachweises zu untersuchende Parameter </w:t>
      </w:r>
      <w:r w:rsidRPr="00722A47">
        <w:rPr>
          <w:rFonts w:eastAsia="Times New Roman"/>
          <w:b/>
          <w:lang w:eastAsia="de-DE"/>
        </w:rPr>
        <w:br/>
      </w:r>
    </w:p>
    <w:p w14:paraId="7886650B"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 xml:space="preserve">2.1 </w:t>
      </w:r>
      <w:proofErr w:type="spellStart"/>
      <w:r w:rsidRPr="00722A47">
        <w:rPr>
          <w:rFonts w:eastAsia="Times New Roman"/>
          <w:b/>
          <w:sz w:val="20"/>
          <w:szCs w:val="20"/>
          <w:lang w:eastAsia="de-DE"/>
        </w:rPr>
        <w:t>Eluatwerte</w:t>
      </w:r>
      <w:proofErr w:type="spellEnd"/>
      <w:r w:rsidRPr="00722A47">
        <w:rPr>
          <w:rFonts w:eastAsia="Times New Roman"/>
          <w:b/>
          <w:sz w:val="20"/>
          <w:szCs w:val="20"/>
          <w:lang w:eastAsia="de-DE"/>
        </w:rPr>
        <w:t xml:space="preserve"> im ausführlichen Säulenversuch nach DIN 19528, Ausgabe Januar 2009</w:t>
      </w:r>
    </w:p>
    <w:p w14:paraId="56DF4D02" w14:textId="77777777" w:rsidR="00722A47" w:rsidRPr="00722A47" w:rsidRDefault="00722A47" w:rsidP="00722A47">
      <w:pPr>
        <w:spacing w:before="0" w:after="0"/>
        <w:jc w:val="left"/>
        <w:rPr>
          <w:rFonts w:eastAsia="Times New Roman"/>
          <w:b/>
          <w:sz w:val="20"/>
          <w:szCs w:val="20"/>
          <w:lang w:eastAsia="de-DE"/>
        </w:rPr>
      </w:pPr>
    </w:p>
    <w:tbl>
      <w:tblPr>
        <w:tblW w:w="52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8"/>
        <w:gridCol w:w="696"/>
        <w:gridCol w:w="596"/>
        <w:gridCol w:w="373"/>
        <w:gridCol w:w="47"/>
        <w:gridCol w:w="588"/>
        <w:gridCol w:w="561"/>
        <w:gridCol w:w="694"/>
        <w:gridCol w:w="540"/>
        <w:gridCol w:w="538"/>
        <w:gridCol w:w="572"/>
        <w:gridCol w:w="566"/>
        <w:gridCol w:w="740"/>
        <w:gridCol w:w="502"/>
        <w:gridCol w:w="502"/>
        <w:gridCol w:w="502"/>
      </w:tblGrid>
      <w:tr w:rsidR="00722A47" w:rsidRPr="00722A47" w14:paraId="22D3032A" w14:textId="77777777" w:rsidTr="004954C9">
        <w:trPr>
          <w:cantSplit/>
        </w:trPr>
        <w:tc>
          <w:tcPr>
            <w:tcW w:w="1118" w:type="dxa"/>
          </w:tcPr>
          <w:p w14:paraId="4F9A22DD" w14:textId="77777777" w:rsidR="00722A47" w:rsidRPr="00722A47" w:rsidRDefault="00722A47" w:rsidP="00722A47">
            <w:pPr>
              <w:spacing w:before="0" w:after="0"/>
              <w:jc w:val="left"/>
              <w:rPr>
                <w:rFonts w:eastAsia="Times New Roman"/>
                <w:b/>
                <w:sz w:val="18"/>
                <w:szCs w:val="18"/>
                <w:lang w:eastAsia="de-DE"/>
              </w:rPr>
            </w:pPr>
            <w:r w:rsidRPr="00722A47">
              <w:rPr>
                <w:rFonts w:eastAsia="Times New Roman"/>
                <w:b/>
                <w:sz w:val="18"/>
                <w:szCs w:val="18"/>
                <w:lang w:eastAsia="de-DE"/>
              </w:rPr>
              <w:t>MEB</w:t>
            </w:r>
          </w:p>
        </w:tc>
        <w:tc>
          <w:tcPr>
            <w:tcW w:w="696" w:type="dxa"/>
          </w:tcPr>
          <w:p w14:paraId="673849A8" w14:textId="77777777" w:rsidR="00722A47" w:rsidRPr="00722A47" w:rsidRDefault="00722A47" w:rsidP="00722A47">
            <w:pPr>
              <w:spacing w:before="0" w:after="0"/>
              <w:jc w:val="center"/>
              <w:rPr>
                <w:rFonts w:eastAsia="Times New Roman"/>
                <w:b/>
                <w:sz w:val="18"/>
                <w:szCs w:val="18"/>
                <w:lang w:eastAsia="de-DE"/>
              </w:rPr>
            </w:pPr>
          </w:p>
        </w:tc>
        <w:tc>
          <w:tcPr>
            <w:tcW w:w="596" w:type="dxa"/>
            <w:vAlign w:val="center"/>
          </w:tcPr>
          <w:p w14:paraId="756E95E8" w14:textId="77777777" w:rsidR="00722A47" w:rsidRPr="00722A47" w:rsidRDefault="00722A47" w:rsidP="00722A47">
            <w:pPr>
              <w:spacing w:before="0" w:after="0"/>
              <w:jc w:val="center"/>
              <w:rPr>
                <w:rFonts w:eastAsia="Times New Roman"/>
                <w:b/>
                <w:sz w:val="18"/>
                <w:szCs w:val="18"/>
                <w:lang w:val="en-GB" w:eastAsia="de-DE"/>
              </w:rPr>
            </w:pPr>
            <w:r w:rsidRPr="00722A47">
              <w:rPr>
                <w:rFonts w:eastAsia="Times New Roman"/>
                <w:b/>
                <w:sz w:val="18"/>
                <w:szCs w:val="18"/>
                <w:lang w:val="en-GB" w:eastAsia="de-DE"/>
              </w:rPr>
              <w:t>HOS</w:t>
            </w:r>
          </w:p>
        </w:tc>
        <w:tc>
          <w:tcPr>
            <w:tcW w:w="420" w:type="dxa"/>
            <w:gridSpan w:val="2"/>
            <w:vAlign w:val="center"/>
          </w:tcPr>
          <w:p w14:paraId="2E79EA5B" w14:textId="77777777" w:rsidR="00722A47" w:rsidRPr="00722A47" w:rsidRDefault="00722A47" w:rsidP="00722A47">
            <w:pPr>
              <w:spacing w:before="0" w:after="0"/>
              <w:jc w:val="center"/>
              <w:rPr>
                <w:rFonts w:eastAsia="Times New Roman"/>
                <w:b/>
                <w:sz w:val="18"/>
                <w:szCs w:val="18"/>
                <w:lang w:val="en-GB" w:eastAsia="de-DE"/>
              </w:rPr>
            </w:pPr>
            <w:r w:rsidRPr="00722A47">
              <w:rPr>
                <w:rFonts w:eastAsia="Times New Roman"/>
                <w:b/>
                <w:sz w:val="18"/>
                <w:szCs w:val="18"/>
                <w:lang w:val="en-GB" w:eastAsia="de-DE"/>
              </w:rPr>
              <w:t>HS</w:t>
            </w:r>
          </w:p>
        </w:tc>
        <w:tc>
          <w:tcPr>
            <w:tcW w:w="588" w:type="dxa"/>
            <w:vAlign w:val="center"/>
          </w:tcPr>
          <w:p w14:paraId="16206F51" w14:textId="77777777" w:rsidR="00722A47" w:rsidRPr="00722A47" w:rsidRDefault="00722A47" w:rsidP="00722A47">
            <w:pPr>
              <w:spacing w:before="0" w:after="0"/>
              <w:jc w:val="center"/>
              <w:rPr>
                <w:rFonts w:eastAsia="Times New Roman"/>
                <w:b/>
                <w:sz w:val="18"/>
                <w:szCs w:val="18"/>
                <w:lang w:val="en-GB" w:eastAsia="de-DE"/>
              </w:rPr>
            </w:pPr>
          </w:p>
          <w:p w14:paraId="755B2A20" w14:textId="77777777" w:rsidR="00722A47" w:rsidRPr="00722A47" w:rsidRDefault="00722A47" w:rsidP="00722A47">
            <w:pPr>
              <w:spacing w:before="0" w:after="0"/>
              <w:jc w:val="center"/>
              <w:rPr>
                <w:rFonts w:eastAsia="Times New Roman"/>
                <w:b/>
                <w:sz w:val="18"/>
                <w:szCs w:val="18"/>
                <w:lang w:val="en-GB" w:eastAsia="de-DE"/>
              </w:rPr>
            </w:pPr>
            <w:r w:rsidRPr="00722A47">
              <w:rPr>
                <w:rFonts w:eastAsia="Times New Roman"/>
                <w:b/>
                <w:sz w:val="18"/>
                <w:szCs w:val="18"/>
                <w:lang w:val="en-GB" w:eastAsia="de-DE"/>
              </w:rPr>
              <w:t>SWS</w:t>
            </w:r>
          </w:p>
          <w:p w14:paraId="456BF434" w14:textId="77777777" w:rsidR="00722A47" w:rsidRPr="00722A47" w:rsidRDefault="00722A47" w:rsidP="00722A47">
            <w:pPr>
              <w:spacing w:before="0" w:after="0"/>
              <w:jc w:val="center"/>
              <w:rPr>
                <w:rFonts w:eastAsia="Times New Roman"/>
                <w:b/>
                <w:sz w:val="18"/>
                <w:szCs w:val="18"/>
                <w:lang w:val="en-GB" w:eastAsia="de-DE"/>
              </w:rPr>
            </w:pPr>
          </w:p>
        </w:tc>
        <w:tc>
          <w:tcPr>
            <w:tcW w:w="561" w:type="dxa"/>
            <w:vAlign w:val="center"/>
          </w:tcPr>
          <w:p w14:paraId="59843BFE" w14:textId="77777777" w:rsidR="00722A47" w:rsidRPr="00722A47" w:rsidRDefault="00722A47" w:rsidP="00722A47">
            <w:pPr>
              <w:spacing w:before="0" w:after="0"/>
              <w:jc w:val="center"/>
              <w:rPr>
                <w:rFonts w:eastAsia="Times New Roman"/>
                <w:b/>
                <w:sz w:val="18"/>
                <w:szCs w:val="18"/>
                <w:lang w:val="en-GB" w:eastAsia="de-DE"/>
              </w:rPr>
            </w:pPr>
            <w:r w:rsidRPr="00722A47">
              <w:rPr>
                <w:rFonts w:eastAsia="Times New Roman"/>
                <w:b/>
                <w:sz w:val="18"/>
                <w:szCs w:val="18"/>
                <w:lang w:val="en-GB" w:eastAsia="de-DE"/>
              </w:rPr>
              <w:t>CUM</w:t>
            </w:r>
          </w:p>
        </w:tc>
        <w:tc>
          <w:tcPr>
            <w:tcW w:w="694" w:type="dxa"/>
            <w:vAlign w:val="center"/>
          </w:tcPr>
          <w:p w14:paraId="40FE5597" w14:textId="77777777" w:rsidR="00722A47" w:rsidRPr="00722A47" w:rsidRDefault="00722A47" w:rsidP="00722A47">
            <w:pPr>
              <w:spacing w:before="0" w:after="0"/>
              <w:jc w:val="center"/>
              <w:rPr>
                <w:rFonts w:eastAsia="Times New Roman"/>
                <w:b/>
                <w:sz w:val="18"/>
                <w:szCs w:val="18"/>
                <w:lang w:val="en-GB" w:eastAsia="de-DE"/>
              </w:rPr>
            </w:pPr>
            <w:r w:rsidRPr="00722A47">
              <w:rPr>
                <w:rFonts w:eastAsia="Times New Roman"/>
                <w:b/>
                <w:sz w:val="18"/>
                <w:szCs w:val="18"/>
                <w:lang w:val="en-GB" w:eastAsia="de-DE"/>
              </w:rPr>
              <w:t>GKOS</w:t>
            </w:r>
          </w:p>
        </w:tc>
        <w:tc>
          <w:tcPr>
            <w:tcW w:w="540" w:type="dxa"/>
            <w:vAlign w:val="center"/>
          </w:tcPr>
          <w:p w14:paraId="78266548" w14:textId="77777777" w:rsidR="00722A47" w:rsidRPr="00722A47" w:rsidRDefault="00722A47" w:rsidP="00722A47">
            <w:pPr>
              <w:spacing w:before="0" w:after="0"/>
              <w:jc w:val="center"/>
              <w:rPr>
                <w:rFonts w:eastAsia="Times New Roman"/>
                <w:b/>
                <w:sz w:val="18"/>
                <w:szCs w:val="18"/>
                <w:lang w:val="en-GB" w:eastAsia="de-DE"/>
              </w:rPr>
            </w:pPr>
            <w:r w:rsidRPr="00722A47">
              <w:rPr>
                <w:rFonts w:eastAsia="Times New Roman"/>
                <w:b/>
                <w:sz w:val="18"/>
                <w:szCs w:val="18"/>
                <w:lang w:val="en-GB" w:eastAsia="de-DE"/>
              </w:rPr>
              <w:t>GRS</w:t>
            </w:r>
          </w:p>
        </w:tc>
        <w:tc>
          <w:tcPr>
            <w:tcW w:w="538" w:type="dxa"/>
            <w:vAlign w:val="center"/>
          </w:tcPr>
          <w:p w14:paraId="74087CC8" w14:textId="77777777" w:rsidR="00722A47" w:rsidRPr="00722A47" w:rsidRDefault="00722A47" w:rsidP="00722A47">
            <w:pPr>
              <w:spacing w:before="0" w:after="0"/>
              <w:jc w:val="center"/>
              <w:rPr>
                <w:rFonts w:eastAsia="Times New Roman"/>
                <w:b/>
                <w:sz w:val="18"/>
                <w:szCs w:val="18"/>
                <w:lang w:val="en-GB" w:eastAsia="de-DE"/>
              </w:rPr>
            </w:pPr>
            <w:r w:rsidRPr="00722A47">
              <w:rPr>
                <w:rFonts w:eastAsia="Times New Roman"/>
                <w:b/>
                <w:sz w:val="18"/>
                <w:szCs w:val="18"/>
                <w:lang w:val="en-GB" w:eastAsia="de-DE"/>
              </w:rPr>
              <w:t>SKG</w:t>
            </w:r>
          </w:p>
        </w:tc>
        <w:tc>
          <w:tcPr>
            <w:tcW w:w="572" w:type="dxa"/>
            <w:vAlign w:val="center"/>
          </w:tcPr>
          <w:p w14:paraId="04A7E7CA" w14:textId="77777777" w:rsidR="00722A47" w:rsidRPr="00722A47" w:rsidRDefault="00722A47" w:rsidP="00722A47">
            <w:pPr>
              <w:spacing w:before="0" w:after="0"/>
              <w:jc w:val="center"/>
              <w:rPr>
                <w:rFonts w:eastAsia="Times New Roman"/>
                <w:b/>
                <w:sz w:val="18"/>
                <w:szCs w:val="18"/>
                <w:lang w:val="en-GB" w:eastAsia="de-DE"/>
              </w:rPr>
            </w:pPr>
          </w:p>
          <w:p w14:paraId="3873EFD9" w14:textId="77777777" w:rsidR="00722A47" w:rsidRPr="00722A47" w:rsidRDefault="00722A47" w:rsidP="00722A47">
            <w:pPr>
              <w:spacing w:before="0" w:after="0"/>
              <w:jc w:val="center"/>
              <w:rPr>
                <w:rFonts w:eastAsia="Times New Roman"/>
                <w:b/>
                <w:sz w:val="18"/>
                <w:szCs w:val="18"/>
                <w:lang w:val="en-GB" w:eastAsia="de-DE"/>
              </w:rPr>
            </w:pPr>
            <w:r w:rsidRPr="00722A47">
              <w:rPr>
                <w:rFonts w:eastAsia="Times New Roman"/>
                <w:b/>
                <w:sz w:val="18"/>
                <w:szCs w:val="18"/>
                <w:lang w:val="en-GB" w:eastAsia="de-DE"/>
              </w:rPr>
              <w:t>SKA</w:t>
            </w:r>
          </w:p>
          <w:p w14:paraId="52C52BE7" w14:textId="77777777" w:rsidR="00722A47" w:rsidRPr="00722A47" w:rsidRDefault="00722A47" w:rsidP="00722A47">
            <w:pPr>
              <w:spacing w:before="0" w:after="0"/>
              <w:jc w:val="center"/>
              <w:rPr>
                <w:rFonts w:eastAsia="Times New Roman"/>
                <w:b/>
                <w:sz w:val="18"/>
                <w:szCs w:val="18"/>
                <w:lang w:val="en-GB" w:eastAsia="de-DE"/>
              </w:rPr>
            </w:pPr>
          </w:p>
        </w:tc>
        <w:tc>
          <w:tcPr>
            <w:tcW w:w="566" w:type="dxa"/>
            <w:vAlign w:val="center"/>
          </w:tcPr>
          <w:p w14:paraId="71320F1D" w14:textId="77777777" w:rsidR="00722A47" w:rsidRPr="00722A47" w:rsidRDefault="00722A47" w:rsidP="00722A47">
            <w:pPr>
              <w:spacing w:before="0" w:after="0"/>
              <w:jc w:val="center"/>
              <w:rPr>
                <w:rFonts w:eastAsia="Times New Roman"/>
                <w:b/>
                <w:sz w:val="18"/>
                <w:szCs w:val="18"/>
                <w:lang w:val="en-GB" w:eastAsia="de-DE"/>
              </w:rPr>
            </w:pPr>
            <w:r w:rsidRPr="00722A47">
              <w:rPr>
                <w:rFonts w:eastAsia="Times New Roman"/>
                <w:b/>
                <w:sz w:val="18"/>
                <w:szCs w:val="18"/>
                <w:lang w:val="en-GB" w:eastAsia="de-DE"/>
              </w:rPr>
              <w:t>SFA</w:t>
            </w:r>
          </w:p>
          <w:p w14:paraId="287AAF57" w14:textId="77777777" w:rsidR="00722A47" w:rsidRPr="00722A47" w:rsidRDefault="00722A47" w:rsidP="00722A47">
            <w:pPr>
              <w:spacing w:before="0" w:after="0"/>
              <w:jc w:val="center"/>
              <w:rPr>
                <w:rFonts w:eastAsia="Times New Roman"/>
                <w:b/>
                <w:sz w:val="18"/>
                <w:szCs w:val="18"/>
                <w:lang w:val="en-GB" w:eastAsia="de-DE"/>
              </w:rPr>
            </w:pPr>
            <w:r w:rsidRPr="00722A47">
              <w:rPr>
                <w:rFonts w:eastAsia="Times New Roman"/>
                <w:b/>
                <w:sz w:val="18"/>
                <w:szCs w:val="18"/>
                <w:lang w:val="en-GB" w:eastAsia="de-DE"/>
              </w:rPr>
              <w:t>BFA</w:t>
            </w:r>
          </w:p>
        </w:tc>
        <w:tc>
          <w:tcPr>
            <w:tcW w:w="740" w:type="dxa"/>
            <w:vAlign w:val="center"/>
          </w:tcPr>
          <w:p w14:paraId="05A5745A" w14:textId="77777777" w:rsidR="00722A47" w:rsidRPr="00722A47" w:rsidRDefault="00722A47" w:rsidP="00722A47">
            <w:pPr>
              <w:spacing w:before="0" w:after="0"/>
              <w:jc w:val="center"/>
              <w:rPr>
                <w:rFonts w:eastAsia="Times New Roman"/>
                <w:bCs/>
                <w:i/>
                <w:iCs/>
                <w:sz w:val="18"/>
                <w:szCs w:val="18"/>
                <w:lang w:val="en-GB" w:eastAsia="de-DE"/>
              </w:rPr>
            </w:pPr>
            <w:r w:rsidRPr="00722A47">
              <w:rPr>
                <w:rFonts w:eastAsia="Times New Roman"/>
                <w:b/>
                <w:sz w:val="18"/>
                <w:szCs w:val="18"/>
                <w:lang w:val="en-GB" w:eastAsia="de-DE"/>
              </w:rPr>
              <w:t>HMVA</w:t>
            </w:r>
          </w:p>
        </w:tc>
        <w:tc>
          <w:tcPr>
            <w:tcW w:w="502" w:type="dxa"/>
            <w:vAlign w:val="center"/>
          </w:tcPr>
          <w:p w14:paraId="376D48B5" w14:textId="77777777" w:rsidR="00722A47" w:rsidRPr="00722A47" w:rsidRDefault="00722A47" w:rsidP="00722A47">
            <w:pPr>
              <w:spacing w:before="0" w:after="0"/>
              <w:jc w:val="center"/>
              <w:rPr>
                <w:rFonts w:eastAsia="Times New Roman"/>
                <w:b/>
                <w:sz w:val="18"/>
                <w:szCs w:val="18"/>
                <w:lang w:val="en-GB" w:eastAsia="de-DE"/>
              </w:rPr>
            </w:pPr>
            <w:r w:rsidRPr="00722A47">
              <w:rPr>
                <w:rFonts w:eastAsia="Times New Roman"/>
                <w:b/>
                <w:sz w:val="18"/>
                <w:szCs w:val="18"/>
                <w:lang w:val="en-GB" w:eastAsia="de-DE"/>
              </w:rPr>
              <w:t>RC</w:t>
            </w:r>
          </w:p>
        </w:tc>
        <w:tc>
          <w:tcPr>
            <w:tcW w:w="502" w:type="dxa"/>
            <w:vAlign w:val="center"/>
          </w:tcPr>
          <w:p w14:paraId="768B2171" w14:textId="77777777" w:rsidR="00722A47" w:rsidRPr="00722A47" w:rsidRDefault="00722A47" w:rsidP="00722A47">
            <w:pPr>
              <w:spacing w:before="0" w:after="0"/>
              <w:jc w:val="center"/>
              <w:rPr>
                <w:rFonts w:eastAsia="Times New Roman"/>
                <w:b/>
                <w:sz w:val="18"/>
                <w:szCs w:val="18"/>
                <w:lang w:val="en-GB" w:eastAsia="de-DE"/>
              </w:rPr>
            </w:pPr>
            <w:r w:rsidRPr="00722A47">
              <w:rPr>
                <w:rFonts w:eastAsia="Times New Roman"/>
                <w:b/>
                <w:sz w:val="18"/>
                <w:szCs w:val="18"/>
                <w:lang w:val="en-GB" w:eastAsia="de-DE"/>
              </w:rPr>
              <w:t>BM</w:t>
            </w:r>
          </w:p>
          <w:p w14:paraId="528ED626" w14:textId="77777777" w:rsidR="00722A47" w:rsidRPr="00722A47" w:rsidRDefault="00722A47" w:rsidP="00722A47">
            <w:pPr>
              <w:spacing w:before="0" w:after="0"/>
              <w:jc w:val="center"/>
              <w:rPr>
                <w:rFonts w:eastAsia="Times New Roman"/>
                <w:b/>
                <w:sz w:val="18"/>
                <w:szCs w:val="18"/>
                <w:lang w:val="en-GB" w:eastAsia="de-DE"/>
              </w:rPr>
            </w:pPr>
            <w:r w:rsidRPr="00722A47">
              <w:rPr>
                <w:rFonts w:eastAsia="Times New Roman"/>
                <w:b/>
                <w:sz w:val="18"/>
                <w:szCs w:val="18"/>
                <w:lang w:val="en-GB" w:eastAsia="de-DE"/>
              </w:rPr>
              <w:t>BG</w:t>
            </w:r>
          </w:p>
        </w:tc>
        <w:tc>
          <w:tcPr>
            <w:tcW w:w="502" w:type="dxa"/>
            <w:vAlign w:val="center"/>
          </w:tcPr>
          <w:p w14:paraId="4CBA5170" w14:textId="77777777" w:rsidR="00722A47" w:rsidRPr="00722A47" w:rsidRDefault="00722A47" w:rsidP="00722A47">
            <w:pPr>
              <w:spacing w:before="0" w:after="0"/>
              <w:jc w:val="center"/>
              <w:rPr>
                <w:rFonts w:eastAsia="Times New Roman"/>
                <w:b/>
                <w:sz w:val="18"/>
                <w:szCs w:val="18"/>
                <w:lang w:val="en-GB" w:eastAsia="de-DE"/>
              </w:rPr>
            </w:pPr>
            <w:r w:rsidRPr="00722A47">
              <w:rPr>
                <w:rFonts w:eastAsia="Times New Roman"/>
                <w:b/>
                <w:sz w:val="18"/>
                <w:szCs w:val="18"/>
                <w:lang w:val="en-GB" w:eastAsia="de-DE"/>
              </w:rPr>
              <w:t>GS</w:t>
            </w:r>
          </w:p>
        </w:tc>
      </w:tr>
      <w:tr w:rsidR="00722A47" w:rsidRPr="00722A47" w14:paraId="51CC432F" w14:textId="77777777" w:rsidTr="004954C9">
        <w:trPr>
          <w:cantSplit/>
        </w:trPr>
        <w:tc>
          <w:tcPr>
            <w:tcW w:w="1118" w:type="dxa"/>
          </w:tcPr>
          <w:p w14:paraId="142D350E" w14:textId="77777777" w:rsidR="00722A47" w:rsidRPr="00722A47" w:rsidRDefault="00722A47" w:rsidP="00722A47">
            <w:pPr>
              <w:spacing w:before="0" w:after="0"/>
              <w:jc w:val="left"/>
              <w:rPr>
                <w:rFonts w:eastAsia="Times New Roman"/>
                <w:b/>
                <w:sz w:val="18"/>
                <w:szCs w:val="18"/>
                <w:lang w:eastAsia="de-DE"/>
              </w:rPr>
            </w:pPr>
            <w:r w:rsidRPr="00722A47">
              <w:rPr>
                <w:rFonts w:eastAsia="Times New Roman"/>
                <w:b/>
                <w:sz w:val="18"/>
                <w:szCs w:val="18"/>
                <w:lang w:eastAsia="de-DE"/>
              </w:rPr>
              <w:t>Parameter</w:t>
            </w:r>
          </w:p>
        </w:tc>
        <w:tc>
          <w:tcPr>
            <w:tcW w:w="696" w:type="dxa"/>
          </w:tcPr>
          <w:p w14:paraId="255928EA" w14:textId="77777777" w:rsidR="00722A47" w:rsidRPr="00722A47" w:rsidRDefault="00722A47" w:rsidP="00722A47">
            <w:pPr>
              <w:spacing w:before="0" w:after="0"/>
              <w:jc w:val="center"/>
              <w:rPr>
                <w:rFonts w:eastAsia="Times New Roman"/>
                <w:b/>
                <w:sz w:val="18"/>
                <w:szCs w:val="18"/>
                <w:lang w:eastAsia="de-DE"/>
              </w:rPr>
            </w:pPr>
            <w:r w:rsidRPr="00722A47">
              <w:rPr>
                <w:rFonts w:eastAsia="Times New Roman"/>
                <w:b/>
                <w:sz w:val="18"/>
                <w:szCs w:val="18"/>
                <w:lang w:eastAsia="de-DE"/>
              </w:rPr>
              <w:t>Dim.</w:t>
            </w:r>
          </w:p>
        </w:tc>
        <w:tc>
          <w:tcPr>
            <w:tcW w:w="596" w:type="dxa"/>
            <w:vAlign w:val="center"/>
          </w:tcPr>
          <w:p w14:paraId="68834FC7" w14:textId="77777777" w:rsidR="00722A47" w:rsidRPr="00722A47" w:rsidRDefault="00722A47" w:rsidP="00722A47">
            <w:pPr>
              <w:spacing w:before="0" w:after="0"/>
              <w:jc w:val="center"/>
              <w:rPr>
                <w:rFonts w:eastAsia="Times New Roman"/>
                <w:sz w:val="18"/>
                <w:szCs w:val="18"/>
                <w:lang w:eastAsia="de-DE"/>
              </w:rPr>
            </w:pPr>
          </w:p>
        </w:tc>
        <w:tc>
          <w:tcPr>
            <w:tcW w:w="373" w:type="dxa"/>
            <w:vAlign w:val="center"/>
          </w:tcPr>
          <w:p w14:paraId="10987D08" w14:textId="77777777" w:rsidR="00722A47" w:rsidRPr="00722A47" w:rsidRDefault="00722A47" w:rsidP="00722A47">
            <w:pPr>
              <w:spacing w:before="0" w:after="0"/>
              <w:jc w:val="center"/>
              <w:rPr>
                <w:rFonts w:eastAsia="Times New Roman"/>
                <w:sz w:val="18"/>
                <w:szCs w:val="18"/>
                <w:lang w:eastAsia="de-DE"/>
              </w:rPr>
            </w:pPr>
          </w:p>
        </w:tc>
        <w:tc>
          <w:tcPr>
            <w:tcW w:w="635" w:type="dxa"/>
            <w:gridSpan w:val="2"/>
            <w:vAlign w:val="center"/>
          </w:tcPr>
          <w:p w14:paraId="4501596C" w14:textId="77777777" w:rsidR="00722A47" w:rsidRPr="00722A47" w:rsidRDefault="00722A47" w:rsidP="00722A47">
            <w:pPr>
              <w:spacing w:before="0" w:after="0"/>
              <w:jc w:val="center"/>
              <w:rPr>
                <w:rFonts w:eastAsia="Times New Roman"/>
                <w:sz w:val="18"/>
                <w:szCs w:val="18"/>
                <w:lang w:eastAsia="de-DE"/>
              </w:rPr>
            </w:pPr>
          </w:p>
        </w:tc>
        <w:tc>
          <w:tcPr>
            <w:tcW w:w="561" w:type="dxa"/>
            <w:vAlign w:val="center"/>
          </w:tcPr>
          <w:p w14:paraId="5FD062F1" w14:textId="77777777" w:rsidR="00722A47" w:rsidRPr="00722A47" w:rsidRDefault="00722A47" w:rsidP="00722A47">
            <w:pPr>
              <w:spacing w:before="0" w:after="0"/>
              <w:jc w:val="center"/>
              <w:rPr>
                <w:rFonts w:eastAsia="Times New Roman"/>
                <w:sz w:val="18"/>
                <w:szCs w:val="18"/>
                <w:lang w:eastAsia="de-DE"/>
              </w:rPr>
            </w:pPr>
          </w:p>
        </w:tc>
        <w:tc>
          <w:tcPr>
            <w:tcW w:w="694" w:type="dxa"/>
            <w:vAlign w:val="center"/>
          </w:tcPr>
          <w:p w14:paraId="5870A82B" w14:textId="77777777" w:rsidR="00722A47" w:rsidRPr="00722A47" w:rsidRDefault="00722A47" w:rsidP="00722A47">
            <w:pPr>
              <w:spacing w:before="0" w:after="0"/>
              <w:jc w:val="center"/>
              <w:rPr>
                <w:rFonts w:eastAsia="Times New Roman"/>
                <w:sz w:val="18"/>
                <w:szCs w:val="18"/>
                <w:lang w:eastAsia="de-DE"/>
              </w:rPr>
            </w:pPr>
          </w:p>
        </w:tc>
        <w:tc>
          <w:tcPr>
            <w:tcW w:w="540" w:type="dxa"/>
            <w:vAlign w:val="center"/>
          </w:tcPr>
          <w:p w14:paraId="74F053AF" w14:textId="77777777" w:rsidR="00722A47" w:rsidRPr="00722A47" w:rsidRDefault="00722A47" w:rsidP="00722A47">
            <w:pPr>
              <w:spacing w:before="0" w:after="0"/>
              <w:jc w:val="center"/>
              <w:rPr>
                <w:rFonts w:eastAsia="Times New Roman"/>
                <w:sz w:val="18"/>
                <w:szCs w:val="18"/>
                <w:lang w:eastAsia="de-DE"/>
              </w:rPr>
            </w:pPr>
          </w:p>
        </w:tc>
        <w:tc>
          <w:tcPr>
            <w:tcW w:w="538" w:type="dxa"/>
            <w:vAlign w:val="center"/>
          </w:tcPr>
          <w:p w14:paraId="42C74727" w14:textId="77777777" w:rsidR="00722A47" w:rsidRPr="00722A47" w:rsidRDefault="00722A47" w:rsidP="00722A47">
            <w:pPr>
              <w:spacing w:before="0" w:after="0"/>
              <w:jc w:val="center"/>
              <w:rPr>
                <w:rFonts w:eastAsia="Times New Roman"/>
                <w:sz w:val="18"/>
                <w:szCs w:val="18"/>
                <w:lang w:eastAsia="de-DE"/>
              </w:rPr>
            </w:pPr>
          </w:p>
        </w:tc>
        <w:tc>
          <w:tcPr>
            <w:tcW w:w="572" w:type="dxa"/>
            <w:vAlign w:val="center"/>
          </w:tcPr>
          <w:p w14:paraId="72017044" w14:textId="77777777" w:rsidR="00722A47" w:rsidRPr="00722A47" w:rsidRDefault="00722A47" w:rsidP="00722A47">
            <w:pPr>
              <w:spacing w:before="0" w:after="0"/>
              <w:jc w:val="center"/>
              <w:rPr>
                <w:rFonts w:eastAsia="Times New Roman"/>
                <w:sz w:val="18"/>
                <w:szCs w:val="18"/>
                <w:lang w:eastAsia="de-DE"/>
              </w:rPr>
            </w:pPr>
          </w:p>
        </w:tc>
        <w:tc>
          <w:tcPr>
            <w:tcW w:w="566" w:type="dxa"/>
            <w:vAlign w:val="center"/>
          </w:tcPr>
          <w:p w14:paraId="3C3CDD62" w14:textId="77777777" w:rsidR="00722A47" w:rsidRPr="00722A47" w:rsidRDefault="00722A47" w:rsidP="00722A47">
            <w:pPr>
              <w:spacing w:before="0" w:after="0"/>
              <w:jc w:val="center"/>
              <w:rPr>
                <w:rFonts w:eastAsia="Times New Roman"/>
                <w:sz w:val="18"/>
                <w:szCs w:val="18"/>
                <w:lang w:eastAsia="de-DE"/>
              </w:rPr>
            </w:pPr>
          </w:p>
        </w:tc>
        <w:tc>
          <w:tcPr>
            <w:tcW w:w="740" w:type="dxa"/>
            <w:vAlign w:val="center"/>
          </w:tcPr>
          <w:p w14:paraId="0605DC09" w14:textId="77777777" w:rsidR="00722A47" w:rsidRPr="00722A47" w:rsidRDefault="00722A47" w:rsidP="00722A47">
            <w:pPr>
              <w:spacing w:before="0" w:after="0"/>
              <w:jc w:val="center"/>
              <w:rPr>
                <w:rFonts w:eastAsia="Times New Roman"/>
                <w:sz w:val="18"/>
                <w:szCs w:val="18"/>
                <w:lang w:eastAsia="de-DE"/>
              </w:rPr>
            </w:pPr>
          </w:p>
        </w:tc>
        <w:tc>
          <w:tcPr>
            <w:tcW w:w="502" w:type="dxa"/>
            <w:vAlign w:val="center"/>
          </w:tcPr>
          <w:p w14:paraId="29D6FA2C" w14:textId="77777777" w:rsidR="00722A47" w:rsidRPr="00722A47" w:rsidRDefault="00722A47" w:rsidP="00722A47">
            <w:pPr>
              <w:spacing w:before="0" w:after="0"/>
              <w:jc w:val="center"/>
              <w:rPr>
                <w:rFonts w:eastAsia="Times New Roman"/>
                <w:color w:val="FFFFFF"/>
                <w:sz w:val="18"/>
                <w:szCs w:val="18"/>
                <w:lang w:eastAsia="de-DE"/>
              </w:rPr>
            </w:pPr>
          </w:p>
        </w:tc>
        <w:tc>
          <w:tcPr>
            <w:tcW w:w="502" w:type="dxa"/>
            <w:vAlign w:val="center"/>
          </w:tcPr>
          <w:p w14:paraId="3748269A" w14:textId="77777777" w:rsidR="00722A47" w:rsidRPr="00722A47" w:rsidRDefault="00722A47" w:rsidP="00722A47">
            <w:pPr>
              <w:spacing w:before="0" w:after="0"/>
              <w:jc w:val="center"/>
              <w:rPr>
                <w:rFonts w:eastAsia="Times New Roman"/>
                <w:sz w:val="18"/>
                <w:szCs w:val="18"/>
                <w:lang w:eastAsia="de-DE"/>
              </w:rPr>
            </w:pPr>
          </w:p>
        </w:tc>
        <w:tc>
          <w:tcPr>
            <w:tcW w:w="502" w:type="dxa"/>
            <w:vAlign w:val="center"/>
          </w:tcPr>
          <w:p w14:paraId="65FDB9C2" w14:textId="77777777" w:rsidR="00722A47" w:rsidRPr="00722A47" w:rsidRDefault="00722A47" w:rsidP="00722A47">
            <w:pPr>
              <w:spacing w:before="0" w:after="0"/>
              <w:jc w:val="center"/>
              <w:rPr>
                <w:rFonts w:eastAsia="Times New Roman"/>
                <w:sz w:val="18"/>
                <w:szCs w:val="18"/>
                <w:lang w:eastAsia="de-DE"/>
              </w:rPr>
            </w:pPr>
          </w:p>
        </w:tc>
      </w:tr>
      <w:tr w:rsidR="00722A47" w:rsidRPr="00722A47" w14:paraId="0D586F0C" w14:textId="77777777" w:rsidTr="004954C9">
        <w:trPr>
          <w:cantSplit/>
        </w:trPr>
        <w:tc>
          <w:tcPr>
            <w:tcW w:w="1118" w:type="dxa"/>
          </w:tcPr>
          <w:p w14:paraId="243A37A5" w14:textId="77777777" w:rsidR="00722A47" w:rsidRPr="00722A47" w:rsidRDefault="00722A47" w:rsidP="00722A47">
            <w:pPr>
              <w:spacing w:before="0" w:after="0"/>
              <w:jc w:val="left"/>
              <w:rPr>
                <w:rFonts w:eastAsia="Times New Roman"/>
                <w:b/>
                <w:sz w:val="18"/>
                <w:szCs w:val="18"/>
                <w:lang w:eastAsia="de-DE"/>
              </w:rPr>
            </w:pPr>
            <w:r w:rsidRPr="00722A47">
              <w:rPr>
                <w:rFonts w:eastAsia="Times New Roman"/>
                <w:b/>
                <w:sz w:val="18"/>
                <w:szCs w:val="18"/>
                <w:lang w:eastAsia="de-DE"/>
              </w:rPr>
              <w:t xml:space="preserve">pH-Wert </w:t>
            </w:r>
          </w:p>
        </w:tc>
        <w:tc>
          <w:tcPr>
            <w:tcW w:w="696" w:type="dxa"/>
          </w:tcPr>
          <w:p w14:paraId="6875790D" w14:textId="77777777" w:rsidR="00722A47" w:rsidRPr="00722A47" w:rsidRDefault="00722A47" w:rsidP="00722A47">
            <w:pPr>
              <w:spacing w:before="0" w:after="0"/>
              <w:jc w:val="center"/>
              <w:rPr>
                <w:rFonts w:eastAsia="Times New Roman"/>
                <w:sz w:val="18"/>
                <w:szCs w:val="18"/>
                <w:lang w:eastAsia="de-DE"/>
              </w:rPr>
            </w:pPr>
          </w:p>
        </w:tc>
        <w:tc>
          <w:tcPr>
            <w:tcW w:w="596" w:type="dxa"/>
            <w:vAlign w:val="center"/>
          </w:tcPr>
          <w:p w14:paraId="7DB1C5D4"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373" w:type="dxa"/>
            <w:vAlign w:val="center"/>
          </w:tcPr>
          <w:p w14:paraId="27FF5B9D"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35" w:type="dxa"/>
            <w:gridSpan w:val="2"/>
            <w:vAlign w:val="center"/>
          </w:tcPr>
          <w:p w14:paraId="0A6A6AC8"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1" w:type="dxa"/>
            <w:vAlign w:val="center"/>
          </w:tcPr>
          <w:p w14:paraId="2F8F3ED8"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94" w:type="dxa"/>
            <w:vAlign w:val="center"/>
          </w:tcPr>
          <w:p w14:paraId="256AA330"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40" w:type="dxa"/>
            <w:vAlign w:val="center"/>
          </w:tcPr>
          <w:p w14:paraId="07031D31"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38" w:type="dxa"/>
            <w:vAlign w:val="center"/>
          </w:tcPr>
          <w:p w14:paraId="1D838F7C"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72" w:type="dxa"/>
            <w:vAlign w:val="center"/>
          </w:tcPr>
          <w:p w14:paraId="5B2441BE"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6" w:type="dxa"/>
            <w:vAlign w:val="center"/>
          </w:tcPr>
          <w:p w14:paraId="18FAEA9F"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740" w:type="dxa"/>
            <w:vAlign w:val="center"/>
          </w:tcPr>
          <w:p w14:paraId="6D078C02"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5593160C"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06C1A4CD"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4DDC092A"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r>
      <w:tr w:rsidR="00722A47" w:rsidRPr="00722A47" w14:paraId="52742649" w14:textId="77777777" w:rsidTr="004954C9">
        <w:trPr>
          <w:cantSplit/>
        </w:trPr>
        <w:tc>
          <w:tcPr>
            <w:tcW w:w="1118" w:type="dxa"/>
          </w:tcPr>
          <w:p w14:paraId="14A8CA39" w14:textId="77777777" w:rsidR="00722A47" w:rsidRPr="00722A47" w:rsidRDefault="00722A47" w:rsidP="00722A47">
            <w:pPr>
              <w:spacing w:before="0" w:after="0"/>
              <w:jc w:val="left"/>
              <w:rPr>
                <w:rFonts w:eastAsia="Times New Roman"/>
                <w:b/>
                <w:sz w:val="18"/>
                <w:szCs w:val="18"/>
                <w:lang w:eastAsia="de-DE"/>
              </w:rPr>
            </w:pPr>
            <w:proofErr w:type="spellStart"/>
            <w:r w:rsidRPr="00722A47">
              <w:rPr>
                <w:rFonts w:eastAsia="Times New Roman"/>
                <w:b/>
                <w:sz w:val="18"/>
                <w:szCs w:val="18"/>
                <w:lang w:eastAsia="de-DE"/>
              </w:rPr>
              <w:t>el</w:t>
            </w:r>
            <w:proofErr w:type="spellEnd"/>
            <w:r w:rsidRPr="00722A47">
              <w:rPr>
                <w:rFonts w:eastAsia="Times New Roman"/>
                <w:b/>
                <w:sz w:val="18"/>
                <w:szCs w:val="18"/>
                <w:lang w:eastAsia="de-DE"/>
              </w:rPr>
              <w:t xml:space="preserve">. </w:t>
            </w:r>
            <w:proofErr w:type="spellStart"/>
            <w:r w:rsidRPr="00722A47">
              <w:rPr>
                <w:rFonts w:eastAsia="Times New Roman"/>
                <w:b/>
                <w:sz w:val="18"/>
                <w:szCs w:val="18"/>
                <w:lang w:eastAsia="de-DE"/>
              </w:rPr>
              <w:t>Leitf</w:t>
            </w:r>
            <w:proofErr w:type="spellEnd"/>
            <w:r w:rsidRPr="00722A47">
              <w:rPr>
                <w:rFonts w:eastAsia="Times New Roman"/>
                <w:b/>
                <w:sz w:val="18"/>
                <w:szCs w:val="18"/>
                <w:lang w:eastAsia="de-DE"/>
              </w:rPr>
              <w:t>.</w:t>
            </w:r>
          </w:p>
        </w:tc>
        <w:tc>
          <w:tcPr>
            <w:tcW w:w="696" w:type="dxa"/>
          </w:tcPr>
          <w:p w14:paraId="2A629C4A"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µS/cm</w:t>
            </w:r>
          </w:p>
        </w:tc>
        <w:tc>
          <w:tcPr>
            <w:tcW w:w="596" w:type="dxa"/>
            <w:vAlign w:val="center"/>
          </w:tcPr>
          <w:p w14:paraId="24128379"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373" w:type="dxa"/>
            <w:vAlign w:val="center"/>
          </w:tcPr>
          <w:p w14:paraId="754A8275"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35" w:type="dxa"/>
            <w:gridSpan w:val="2"/>
            <w:vAlign w:val="center"/>
          </w:tcPr>
          <w:p w14:paraId="467BC9F9"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1" w:type="dxa"/>
            <w:vAlign w:val="center"/>
          </w:tcPr>
          <w:p w14:paraId="16003EE2"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94" w:type="dxa"/>
            <w:vAlign w:val="center"/>
          </w:tcPr>
          <w:p w14:paraId="22792D62"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40" w:type="dxa"/>
            <w:vAlign w:val="center"/>
          </w:tcPr>
          <w:p w14:paraId="1DCED4CE"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38" w:type="dxa"/>
            <w:vAlign w:val="center"/>
          </w:tcPr>
          <w:p w14:paraId="22C6B243"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72" w:type="dxa"/>
            <w:vAlign w:val="center"/>
          </w:tcPr>
          <w:p w14:paraId="3BB17C7F"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6" w:type="dxa"/>
            <w:vAlign w:val="center"/>
          </w:tcPr>
          <w:p w14:paraId="2301EAE8"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740" w:type="dxa"/>
            <w:vAlign w:val="center"/>
          </w:tcPr>
          <w:p w14:paraId="1B9D86CC"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054902A6"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5CF7592B"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1824AFAC"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r>
      <w:tr w:rsidR="00722A47" w:rsidRPr="00722A47" w14:paraId="13249BD1" w14:textId="77777777" w:rsidTr="004954C9">
        <w:trPr>
          <w:cantSplit/>
        </w:trPr>
        <w:tc>
          <w:tcPr>
            <w:tcW w:w="1118" w:type="dxa"/>
          </w:tcPr>
          <w:p w14:paraId="4CED9F54" w14:textId="77777777" w:rsidR="00722A47" w:rsidRPr="00722A47" w:rsidRDefault="00722A47" w:rsidP="00722A47">
            <w:pPr>
              <w:spacing w:before="0" w:after="0"/>
              <w:jc w:val="left"/>
              <w:rPr>
                <w:rFonts w:eastAsia="Times New Roman"/>
                <w:b/>
                <w:sz w:val="18"/>
                <w:szCs w:val="18"/>
                <w:lang w:eastAsia="de-DE"/>
              </w:rPr>
            </w:pPr>
            <w:r w:rsidRPr="00722A47">
              <w:rPr>
                <w:rFonts w:eastAsia="Times New Roman"/>
                <w:b/>
                <w:sz w:val="18"/>
                <w:szCs w:val="18"/>
                <w:lang w:eastAsia="de-DE"/>
              </w:rPr>
              <w:t>Chlorid</w:t>
            </w:r>
          </w:p>
        </w:tc>
        <w:tc>
          <w:tcPr>
            <w:tcW w:w="696" w:type="dxa"/>
          </w:tcPr>
          <w:p w14:paraId="53062711"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mg/l</w:t>
            </w:r>
          </w:p>
        </w:tc>
        <w:tc>
          <w:tcPr>
            <w:tcW w:w="596" w:type="dxa"/>
            <w:vAlign w:val="center"/>
          </w:tcPr>
          <w:p w14:paraId="2E1590F1"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373" w:type="dxa"/>
            <w:vAlign w:val="center"/>
          </w:tcPr>
          <w:p w14:paraId="0C663842" w14:textId="77777777" w:rsidR="00722A47" w:rsidRPr="00722A47" w:rsidRDefault="00722A47" w:rsidP="00722A47">
            <w:pPr>
              <w:spacing w:before="0" w:after="0"/>
              <w:jc w:val="center"/>
              <w:rPr>
                <w:rFonts w:eastAsia="Times New Roman"/>
                <w:sz w:val="18"/>
                <w:szCs w:val="18"/>
                <w:lang w:eastAsia="de-DE"/>
              </w:rPr>
            </w:pPr>
          </w:p>
        </w:tc>
        <w:tc>
          <w:tcPr>
            <w:tcW w:w="635" w:type="dxa"/>
            <w:gridSpan w:val="2"/>
            <w:vAlign w:val="center"/>
          </w:tcPr>
          <w:p w14:paraId="4888F320"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1" w:type="dxa"/>
            <w:vAlign w:val="center"/>
          </w:tcPr>
          <w:p w14:paraId="48E3E07A"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94" w:type="dxa"/>
            <w:vAlign w:val="center"/>
          </w:tcPr>
          <w:p w14:paraId="69277798"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40" w:type="dxa"/>
            <w:vAlign w:val="center"/>
          </w:tcPr>
          <w:p w14:paraId="2A23E2CE" w14:textId="77777777" w:rsidR="00722A47" w:rsidRPr="00722A47" w:rsidRDefault="00722A47" w:rsidP="00722A47">
            <w:pPr>
              <w:spacing w:before="0" w:after="0"/>
              <w:jc w:val="center"/>
              <w:rPr>
                <w:rFonts w:eastAsia="Times New Roman"/>
                <w:sz w:val="18"/>
                <w:szCs w:val="18"/>
                <w:lang w:eastAsia="de-DE"/>
              </w:rPr>
            </w:pPr>
          </w:p>
        </w:tc>
        <w:tc>
          <w:tcPr>
            <w:tcW w:w="538" w:type="dxa"/>
            <w:vAlign w:val="center"/>
          </w:tcPr>
          <w:p w14:paraId="3DC0B17B"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72" w:type="dxa"/>
            <w:vAlign w:val="center"/>
          </w:tcPr>
          <w:p w14:paraId="2465A1D0"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6" w:type="dxa"/>
            <w:vAlign w:val="center"/>
          </w:tcPr>
          <w:p w14:paraId="69FD7224"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740" w:type="dxa"/>
            <w:vAlign w:val="center"/>
          </w:tcPr>
          <w:p w14:paraId="3B10B727"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0B4F3879"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7936439C"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31CCA6B8" w14:textId="77777777" w:rsidR="00722A47" w:rsidRPr="00722A47" w:rsidRDefault="00722A47" w:rsidP="00722A47">
            <w:pPr>
              <w:spacing w:before="0" w:after="0"/>
              <w:jc w:val="center"/>
              <w:rPr>
                <w:rFonts w:eastAsia="Times New Roman"/>
                <w:sz w:val="18"/>
                <w:szCs w:val="18"/>
                <w:lang w:eastAsia="de-DE"/>
              </w:rPr>
            </w:pPr>
          </w:p>
        </w:tc>
      </w:tr>
      <w:tr w:rsidR="00722A47" w:rsidRPr="00722A47" w14:paraId="43E55B08" w14:textId="77777777" w:rsidTr="004954C9">
        <w:trPr>
          <w:cantSplit/>
        </w:trPr>
        <w:tc>
          <w:tcPr>
            <w:tcW w:w="1118" w:type="dxa"/>
          </w:tcPr>
          <w:p w14:paraId="7E7A5286" w14:textId="77777777" w:rsidR="00722A47" w:rsidRPr="00722A47" w:rsidRDefault="00722A47" w:rsidP="00722A47">
            <w:pPr>
              <w:spacing w:before="0" w:after="0"/>
              <w:jc w:val="left"/>
              <w:rPr>
                <w:rFonts w:eastAsia="Times New Roman"/>
                <w:b/>
                <w:sz w:val="18"/>
                <w:szCs w:val="18"/>
                <w:lang w:eastAsia="de-DE"/>
              </w:rPr>
            </w:pPr>
            <w:r w:rsidRPr="00722A47">
              <w:rPr>
                <w:rFonts w:eastAsia="Times New Roman"/>
                <w:b/>
                <w:sz w:val="18"/>
                <w:szCs w:val="18"/>
                <w:lang w:eastAsia="de-DE"/>
              </w:rPr>
              <w:t>Sulfat</w:t>
            </w:r>
          </w:p>
        </w:tc>
        <w:tc>
          <w:tcPr>
            <w:tcW w:w="696" w:type="dxa"/>
          </w:tcPr>
          <w:p w14:paraId="35BCE853"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mg/l</w:t>
            </w:r>
          </w:p>
        </w:tc>
        <w:tc>
          <w:tcPr>
            <w:tcW w:w="596" w:type="dxa"/>
            <w:vAlign w:val="center"/>
          </w:tcPr>
          <w:p w14:paraId="2B29858E"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373" w:type="dxa"/>
            <w:vAlign w:val="center"/>
          </w:tcPr>
          <w:p w14:paraId="72F56469"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35" w:type="dxa"/>
            <w:gridSpan w:val="2"/>
            <w:vAlign w:val="center"/>
          </w:tcPr>
          <w:p w14:paraId="4B1A0974"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1" w:type="dxa"/>
            <w:vAlign w:val="center"/>
          </w:tcPr>
          <w:p w14:paraId="40E983FA"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94" w:type="dxa"/>
            <w:vAlign w:val="center"/>
          </w:tcPr>
          <w:p w14:paraId="5978E9AE"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40" w:type="dxa"/>
            <w:vAlign w:val="center"/>
          </w:tcPr>
          <w:p w14:paraId="0EA9AC94" w14:textId="77777777" w:rsidR="00722A47" w:rsidRPr="00722A47" w:rsidRDefault="00722A47" w:rsidP="00722A47">
            <w:pPr>
              <w:spacing w:before="0" w:after="0"/>
              <w:jc w:val="center"/>
              <w:rPr>
                <w:rFonts w:eastAsia="Times New Roman"/>
                <w:sz w:val="18"/>
                <w:szCs w:val="18"/>
                <w:lang w:eastAsia="de-DE"/>
              </w:rPr>
            </w:pPr>
          </w:p>
        </w:tc>
        <w:tc>
          <w:tcPr>
            <w:tcW w:w="538" w:type="dxa"/>
            <w:vAlign w:val="center"/>
          </w:tcPr>
          <w:p w14:paraId="1E4E609E"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72" w:type="dxa"/>
            <w:vAlign w:val="center"/>
          </w:tcPr>
          <w:p w14:paraId="3FDD3F60"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6" w:type="dxa"/>
            <w:vAlign w:val="center"/>
          </w:tcPr>
          <w:p w14:paraId="25D525A3"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740" w:type="dxa"/>
            <w:vAlign w:val="center"/>
          </w:tcPr>
          <w:p w14:paraId="7D1196EF"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26D83BEC"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507F9231"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49184A40"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r>
      <w:tr w:rsidR="00722A47" w:rsidRPr="00722A47" w14:paraId="5072867E" w14:textId="77777777" w:rsidTr="004954C9">
        <w:trPr>
          <w:cantSplit/>
        </w:trPr>
        <w:tc>
          <w:tcPr>
            <w:tcW w:w="1118" w:type="dxa"/>
          </w:tcPr>
          <w:p w14:paraId="50E21D51" w14:textId="77777777" w:rsidR="00722A47" w:rsidRPr="00722A47" w:rsidRDefault="00722A47" w:rsidP="00722A47">
            <w:pPr>
              <w:spacing w:before="0" w:after="0"/>
              <w:jc w:val="left"/>
              <w:rPr>
                <w:rFonts w:eastAsia="Times New Roman"/>
                <w:b/>
                <w:sz w:val="18"/>
                <w:szCs w:val="18"/>
                <w:lang w:eastAsia="de-DE"/>
              </w:rPr>
            </w:pPr>
            <w:r w:rsidRPr="00722A47">
              <w:rPr>
                <w:rFonts w:eastAsia="Times New Roman"/>
                <w:b/>
                <w:sz w:val="18"/>
                <w:szCs w:val="18"/>
                <w:lang w:eastAsia="de-DE"/>
              </w:rPr>
              <w:t>Fluorid</w:t>
            </w:r>
          </w:p>
        </w:tc>
        <w:tc>
          <w:tcPr>
            <w:tcW w:w="696" w:type="dxa"/>
          </w:tcPr>
          <w:p w14:paraId="0D8B9D59"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mg/l</w:t>
            </w:r>
          </w:p>
        </w:tc>
        <w:tc>
          <w:tcPr>
            <w:tcW w:w="596" w:type="dxa"/>
            <w:vAlign w:val="center"/>
          </w:tcPr>
          <w:p w14:paraId="4020088B" w14:textId="77777777" w:rsidR="00722A47" w:rsidRPr="00722A47" w:rsidRDefault="00722A47" w:rsidP="00722A47">
            <w:pPr>
              <w:spacing w:before="0" w:after="0"/>
              <w:jc w:val="center"/>
              <w:rPr>
                <w:rFonts w:eastAsia="Times New Roman"/>
                <w:sz w:val="18"/>
                <w:szCs w:val="18"/>
                <w:lang w:eastAsia="de-DE"/>
              </w:rPr>
            </w:pPr>
          </w:p>
        </w:tc>
        <w:tc>
          <w:tcPr>
            <w:tcW w:w="373" w:type="dxa"/>
            <w:vAlign w:val="center"/>
          </w:tcPr>
          <w:p w14:paraId="27F49297" w14:textId="77777777" w:rsidR="00722A47" w:rsidRPr="00722A47" w:rsidRDefault="00722A47" w:rsidP="00722A47">
            <w:pPr>
              <w:spacing w:before="0" w:after="0"/>
              <w:jc w:val="center"/>
              <w:rPr>
                <w:rFonts w:eastAsia="Times New Roman"/>
                <w:sz w:val="18"/>
                <w:szCs w:val="18"/>
                <w:lang w:eastAsia="de-DE"/>
              </w:rPr>
            </w:pPr>
          </w:p>
        </w:tc>
        <w:tc>
          <w:tcPr>
            <w:tcW w:w="635" w:type="dxa"/>
            <w:gridSpan w:val="2"/>
            <w:vAlign w:val="center"/>
          </w:tcPr>
          <w:p w14:paraId="6CA87961"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1" w:type="dxa"/>
            <w:vAlign w:val="center"/>
          </w:tcPr>
          <w:p w14:paraId="164565DE"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94" w:type="dxa"/>
            <w:vAlign w:val="center"/>
          </w:tcPr>
          <w:p w14:paraId="7F61B136" w14:textId="77777777" w:rsidR="00722A47" w:rsidRPr="00722A47" w:rsidRDefault="00722A47" w:rsidP="00722A47">
            <w:pPr>
              <w:spacing w:before="0" w:after="0"/>
              <w:jc w:val="center"/>
              <w:rPr>
                <w:rFonts w:eastAsia="Times New Roman"/>
                <w:sz w:val="18"/>
                <w:szCs w:val="18"/>
                <w:lang w:val="en-US" w:eastAsia="de-DE"/>
              </w:rPr>
            </w:pPr>
            <w:r w:rsidRPr="00722A47">
              <w:rPr>
                <w:rFonts w:eastAsia="Times New Roman"/>
                <w:sz w:val="18"/>
                <w:szCs w:val="18"/>
                <w:lang w:val="en-US" w:eastAsia="de-DE"/>
              </w:rPr>
              <w:t>X</w:t>
            </w:r>
          </w:p>
        </w:tc>
        <w:tc>
          <w:tcPr>
            <w:tcW w:w="540" w:type="dxa"/>
            <w:vAlign w:val="center"/>
          </w:tcPr>
          <w:p w14:paraId="61D87454" w14:textId="77777777" w:rsidR="00722A47" w:rsidRPr="00722A47" w:rsidRDefault="00722A47" w:rsidP="00722A47">
            <w:pPr>
              <w:spacing w:before="0" w:after="0"/>
              <w:jc w:val="center"/>
              <w:rPr>
                <w:rFonts w:eastAsia="Times New Roman"/>
                <w:sz w:val="18"/>
                <w:szCs w:val="18"/>
                <w:lang w:val="en-US" w:eastAsia="de-DE"/>
              </w:rPr>
            </w:pPr>
            <w:r w:rsidRPr="00722A47">
              <w:rPr>
                <w:rFonts w:eastAsia="Times New Roman"/>
                <w:sz w:val="18"/>
                <w:szCs w:val="18"/>
                <w:lang w:val="en-US" w:eastAsia="de-DE"/>
              </w:rPr>
              <w:t>X</w:t>
            </w:r>
          </w:p>
        </w:tc>
        <w:tc>
          <w:tcPr>
            <w:tcW w:w="538" w:type="dxa"/>
            <w:vAlign w:val="center"/>
          </w:tcPr>
          <w:p w14:paraId="47F3A357" w14:textId="77777777" w:rsidR="00722A47" w:rsidRPr="00722A47" w:rsidRDefault="00722A47" w:rsidP="00722A47">
            <w:pPr>
              <w:spacing w:before="0" w:after="0"/>
              <w:jc w:val="center"/>
              <w:rPr>
                <w:rFonts w:eastAsia="Times New Roman"/>
                <w:sz w:val="18"/>
                <w:szCs w:val="18"/>
                <w:lang w:val="en-US" w:eastAsia="de-DE"/>
              </w:rPr>
            </w:pPr>
          </w:p>
        </w:tc>
        <w:tc>
          <w:tcPr>
            <w:tcW w:w="572" w:type="dxa"/>
            <w:vAlign w:val="center"/>
          </w:tcPr>
          <w:p w14:paraId="68CE1EDD" w14:textId="77777777" w:rsidR="00722A47" w:rsidRPr="00722A47" w:rsidRDefault="00722A47" w:rsidP="00722A47">
            <w:pPr>
              <w:spacing w:before="0" w:after="0"/>
              <w:jc w:val="center"/>
              <w:rPr>
                <w:rFonts w:eastAsia="Times New Roman"/>
                <w:sz w:val="18"/>
                <w:szCs w:val="18"/>
                <w:lang w:val="en-US" w:eastAsia="de-DE"/>
              </w:rPr>
            </w:pPr>
          </w:p>
        </w:tc>
        <w:tc>
          <w:tcPr>
            <w:tcW w:w="566" w:type="dxa"/>
            <w:vAlign w:val="center"/>
          </w:tcPr>
          <w:p w14:paraId="4682F175" w14:textId="77777777" w:rsidR="00722A47" w:rsidRPr="00722A47" w:rsidRDefault="00722A47" w:rsidP="00722A47">
            <w:pPr>
              <w:spacing w:before="0" w:after="0"/>
              <w:jc w:val="center"/>
              <w:rPr>
                <w:rFonts w:eastAsia="Times New Roman"/>
                <w:sz w:val="18"/>
                <w:szCs w:val="18"/>
                <w:lang w:val="en-US" w:eastAsia="de-DE"/>
              </w:rPr>
            </w:pPr>
            <w:r w:rsidRPr="00722A47">
              <w:rPr>
                <w:rFonts w:eastAsia="Times New Roman"/>
                <w:sz w:val="18"/>
                <w:szCs w:val="18"/>
                <w:lang w:val="en-US" w:eastAsia="de-DE"/>
              </w:rPr>
              <w:t>X</w:t>
            </w:r>
          </w:p>
        </w:tc>
        <w:tc>
          <w:tcPr>
            <w:tcW w:w="740" w:type="dxa"/>
            <w:vAlign w:val="center"/>
          </w:tcPr>
          <w:p w14:paraId="2875E1EF" w14:textId="77777777" w:rsidR="00722A47" w:rsidRPr="00722A47" w:rsidRDefault="00722A47" w:rsidP="00722A47">
            <w:pPr>
              <w:spacing w:before="0" w:after="0"/>
              <w:jc w:val="center"/>
              <w:rPr>
                <w:rFonts w:eastAsia="Times New Roman"/>
                <w:sz w:val="18"/>
                <w:szCs w:val="18"/>
                <w:lang w:val="en-US" w:eastAsia="de-DE"/>
              </w:rPr>
            </w:pPr>
          </w:p>
        </w:tc>
        <w:tc>
          <w:tcPr>
            <w:tcW w:w="502" w:type="dxa"/>
            <w:vAlign w:val="center"/>
          </w:tcPr>
          <w:p w14:paraId="4D694BCA" w14:textId="77777777" w:rsidR="00722A47" w:rsidRPr="00722A47" w:rsidRDefault="00722A47" w:rsidP="00722A47">
            <w:pPr>
              <w:spacing w:before="0" w:after="0"/>
              <w:jc w:val="center"/>
              <w:rPr>
                <w:rFonts w:eastAsia="Times New Roman"/>
                <w:sz w:val="18"/>
                <w:szCs w:val="18"/>
                <w:lang w:val="en-US" w:eastAsia="de-DE"/>
              </w:rPr>
            </w:pPr>
          </w:p>
        </w:tc>
        <w:tc>
          <w:tcPr>
            <w:tcW w:w="502" w:type="dxa"/>
            <w:vAlign w:val="center"/>
          </w:tcPr>
          <w:p w14:paraId="5B8D668A" w14:textId="77777777" w:rsidR="00722A47" w:rsidRPr="00722A47" w:rsidRDefault="00722A47" w:rsidP="00722A47">
            <w:pPr>
              <w:spacing w:before="0" w:after="0"/>
              <w:jc w:val="center"/>
              <w:rPr>
                <w:rFonts w:eastAsia="Times New Roman"/>
                <w:sz w:val="18"/>
                <w:szCs w:val="18"/>
                <w:lang w:val="en-US" w:eastAsia="de-DE"/>
              </w:rPr>
            </w:pPr>
          </w:p>
        </w:tc>
        <w:tc>
          <w:tcPr>
            <w:tcW w:w="502" w:type="dxa"/>
            <w:vAlign w:val="center"/>
          </w:tcPr>
          <w:p w14:paraId="5AA39406" w14:textId="77777777" w:rsidR="00722A47" w:rsidRPr="00722A47" w:rsidRDefault="00722A47" w:rsidP="00722A47">
            <w:pPr>
              <w:spacing w:before="0" w:after="0"/>
              <w:jc w:val="center"/>
              <w:rPr>
                <w:rFonts w:eastAsia="Times New Roman"/>
                <w:sz w:val="18"/>
                <w:szCs w:val="18"/>
                <w:lang w:val="en-US" w:eastAsia="de-DE"/>
              </w:rPr>
            </w:pPr>
          </w:p>
        </w:tc>
      </w:tr>
      <w:tr w:rsidR="00722A47" w:rsidRPr="00722A47" w14:paraId="42BF1C35" w14:textId="77777777" w:rsidTr="004954C9">
        <w:trPr>
          <w:cantSplit/>
        </w:trPr>
        <w:tc>
          <w:tcPr>
            <w:tcW w:w="1118" w:type="dxa"/>
          </w:tcPr>
          <w:p w14:paraId="549E6138" w14:textId="77777777" w:rsidR="00722A47" w:rsidRPr="00722A47" w:rsidRDefault="00722A47" w:rsidP="00722A47">
            <w:pPr>
              <w:spacing w:before="0" w:after="0"/>
              <w:jc w:val="left"/>
              <w:rPr>
                <w:rFonts w:eastAsia="Times New Roman"/>
                <w:b/>
                <w:sz w:val="18"/>
                <w:szCs w:val="18"/>
                <w:lang w:val="en-US" w:eastAsia="de-DE"/>
              </w:rPr>
            </w:pPr>
            <w:r w:rsidRPr="00722A47">
              <w:rPr>
                <w:rFonts w:eastAsia="Times New Roman"/>
                <w:b/>
                <w:sz w:val="18"/>
                <w:szCs w:val="18"/>
                <w:lang w:val="en-US" w:eastAsia="de-DE"/>
              </w:rPr>
              <w:t>DOC</w:t>
            </w:r>
          </w:p>
        </w:tc>
        <w:tc>
          <w:tcPr>
            <w:tcW w:w="696" w:type="dxa"/>
          </w:tcPr>
          <w:p w14:paraId="5B048C31" w14:textId="77777777" w:rsidR="00722A47" w:rsidRPr="00722A47" w:rsidRDefault="00722A47" w:rsidP="00722A47">
            <w:pPr>
              <w:spacing w:before="0" w:after="0"/>
              <w:jc w:val="center"/>
              <w:rPr>
                <w:rFonts w:eastAsia="Times New Roman"/>
                <w:sz w:val="18"/>
                <w:szCs w:val="18"/>
                <w:lang w:val="en-US" w:eastAsia="de-DE"/>
              </w:rPr>
            </w:pPr>
            <w:r w:rsidRPr="00722A47">
              <w:rPr>
                <w:rFonts w:eastAsia="Times New Roman"/>
                <w:sz w:val="18"/>
                <w:szCs w:val="18"/>
                <w:lang w:val="en-US" w:eastAsia="de-DE"/>
              </w:rPr>
              <w:t>mg/l</w:t>
            </w:r>
          </w:p>
        </w:tc>
        <w:tc>
          <w:tcPr>
            <w:tcW w:w="596" w:type="dxa"/>
            <w:vAlign w:val="center"/>
          </w:tcPr>
          <w:p w14:paraId="58830E63" w14:textId="77777777" w:rsidR="00722A47" w:rsidRPr="00722A47" w:rsidRDefault="00722A47" w:rsidP="00722A47">
            <w:pPr>
              <w:spacing w:before="0" w:after="0"/>
              <w:jc w:val="center"/>
              <w:rPr>
                <w:rFonts w:eastAsia="Times New Roman"/>
                <w:sz w:val="18"/>
                <w:szCs w:val="18"/>
                <w:lang w:val="en-US" w:eastAsia="de-DE"/>
              </w:rPr>
            </w:pPr>
            <w:r w:rsidRPr="00722A47">
              <w:rPr>
                <w:rFonts w:eastAsia="Times New Roman"/>
                <w:sz w:val="18"/>
                <w:szCs w:val="18"/>
                <w:lang w:val="en-GB" w:eastAsia="de-DE"/>
              </w:rPr>
              <w:t>X</w:t>
            </w:r>
          </w:p>
        </w:tc>
        <w:tc>
          <w:tcPr>
            <w:tcW w:w="373" w:type="dxa"/>
            <w:vAlign w:val="center"/>
          </w:tcPr>
          <w:p w14:paraId="36CBDCF5" w14:textId="77777777" w:rsidR="00722A47" w:rsidRPr="00722A47" w:rsidRDefault="00722A47" w:rsidP="00722A47">
            <w:pPr>
              <w:spacing w:before="0" w:after="0"/>
              <w:jc w:val="center"/>
              <w:rPr>
                <w:rFonts w:eastAsia="Times New Roman"/>
                <w:sz w:val="18"/>
                <w:szCs w:val="18"/>
                <w:lang w:val="en-US" w:eastAsia="de-DE"/>
              </w:rPr>
            </w:pPr>
            <w:r w:rsidRPr="00722A47">
              <w:rPr>
                <w:rFonts w:eastAsia="Times New Roman"/>
                <w:sz w:val="18"/>
                <w:szCs w:val="18"/>
                <w:lang w:val="en-GB" w:eastAsia="de-DE"/>
              </w:rPr>
              <w:t>X</w:t>
            </w:r>
          </w:p>
        </w:tc>
        <w:tc>
          <w:tcPr>
            <w:tcW w:w="635" w:type="dxa"/>
            <w:gridSpan w:val="2"/>
            <w:vAlign w:val="center"/>
          </w:tcPr>
          <w:p w14:paraId="45E8798C" w14:textId="77777777" w:rsidR="00722A47" w:rsidRPr="00722A47" w:rsidRDefault="00722A47" w:rsidP="00722A47">
            <w:pPr>
              <w:spacing w:before="0" w:after="0"/>
              <w:jc w:val="center"/>
              <w:rPr>
                <w:rFonts w:eastAsia="Times New Roman"/>
                <w:sz w:val="18"/>
                <w:szCs w:val="18"/>
                <w:lang w:val="en-US" w:eastAsia="de-DE"/>
              </w:rPr>
            </w:pPr>
            <w:r w:rsidRPr="00722A47">
              <w:rPr>
                <w:rFonts w:eastAsia="Times New Roman"/>
                <w:sz w:val="18"/>
                <w:szCs w:val="18"/>
                <w:lang w:val="en-GB" w:eastAsia="de-DE"/>
              </w:rPr>
              <w:t>X</w:t>
            </w:r>
          </w:p>
        </w:tc>
        <w:tc>
          <w:tcPr>
            <w:tcW w:w="561" w:type="dxa"/>
            <w:vAlign w:val="center"/>
          </w:tcPr>
          <w:p w14:paraId="028BC1D6"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694" w:type="dxa"/>
            <w:vAlign w:val="center"/>
          </w:tcPr>
          <w:p w14:paraId="4697D747" w14:textId="77777777" w:rsidR="00722A47" w:rsidRPr="00722A47" w:rsidRDefault="00722A47" w:rsidP="00722A47">
            <w:pPr>
              <w:spacing w:before="0" w:after="0"/>
              <w:jc w:val="center"/>
              <w:rPr>
                <w:rFonts w:eastAsia="Times New Roman"/>
                <w:sz w:val="18"/>
                <w:szCs w:val="18"/>
                <w:lang w:val="en-US" w:eastAsia="de-DE"/>
              </w:rPr>
            </w:pPr>
            <w:r w:rsidRPr="00722A47">
              <w:rPr>
                <w:rFonts w:eastAsia="Times New Roman"/>
                <w:sz w:val="18"/>
                <w:szCs w:val="18"/>
                <w:lang w:val="en-GB" w:eastAsia="de-DE"/>
              </w:rPr>
              <w:t>X</w:t>
            </w:r>
          </w:p>
        </w:tc>
        <w:tc>
          <w:tcPr>
            <w:tcW w:w="540" w:type="dxa"/>
            <w:vAlign w:val="center"/>
          </w:tcPr>
          <w:p w14:paraId="4A2AA2E6" w14:textId="77777777" w:rsidR="00722A47" w:rsidRPr="00722A47" w:rsidRDefault="00722A47" w:rsidP="00722A47">
            <w:pPr>
              <w:spacing w:before="0" w:after="0"/>
              <w:jc w:val="center"/>
              <w:rPr>
                <w:rFonts w:eastAsia="Times New Roman"/>
                <w:sz w:val="18"/>
                <w:szCs w:val="18"/>
                <w:lang w:val="en-US" w:eastAsia="de-DE"/>
              </w:rPr>
            </w:pPr>
            <w:r w:rsidRPr="00722A47">
              <w:rPr>
                <w:rFonts w:eastAsia="Times New Roman"/>
                <w:sz w:val="18"/>
                <w:szCs w:val="18"/>
                <w:lang w:val="en-GB" w:eastAsia="de-DE"/>
              </w:rPr>
              <w:t>X</w:t>
            </w:r>
          </w:p>
        </w:tc>
        <w:tc>
          <w:tcPr>
            <w:tcW w:w="538" w:type="dxa"/>
            <w:vAlign w:val="center"/>
          </w:tcPr>
          <w:p w14:paraId="60B835CF" w14:textId="77777777" w:rsidR="00722A47" w:rsidRPr="00722A47" w:rsidRDefault="00722A47" w:rsidP="00722A47">
            <w:pPr>
              <w:spacing w:before="0" w:after="0"/>
              <w:jc w:val="center"/>
              <w:rPr>
                <w:rFonts w:eastAsia="Times New Roman"/>
                <w:sz w:val="18"/>
                <w:szCs w:val="18"/>
                <w:lang w:val="en-US" w:eastAsia="de-DE"/>
              </w:rPr>
            </w:pPr>
            <w:r w:rsidRPr="00722A47">
              <w:rPr>
                <w:rFonts w:eastAsia="Times New Roman"/>
                <w:sz w:val="18"/>
                <w:szCs w:val="18"/>
                <w:lang w:val="en-GB" w:eastAsia="de-DE"/>
              </w:rPr>
              <w:t>X</w:t>
            </w:r>
          </w:p>
        </w:tc>
        <w:tc>
          <w:tcPr>
            <w:tcW w:w="572" w:type="dxa"/>
            <w:vAlign w:val="center"/>
          </w:tcPr>
          <w:p w14:paraId="15F52164" w14:textId="77777777" w:rsidR="00722A47" w:rsidRPr="00722A47" w:rsidRDefault="00722A47" w:rsidP="00722A47">
            <w:pPr>
              <w:spacing w:before="0" w:after="0"/>
              <w:jc w:val="center"/>
              <w:rPr>
                <w:rFonts w:eastAsia="Times New Roman"/>
                <w:sz w:val="18"/>
                <w:szCs w:val="18"/>
                <w:lang w:val="en-US" w:eastAsia="de-DE"/>
              </w:rPr>
            </w:pPr>
            <w:r w:rsidRPr="00722A47">
              <w:rPr>
                <w:rFonts w:eastAsia="Times New Roman"/>
                <w:sz w:val="18"/>
                <w:szCs w:val="18"/>
                <w:lang w:val="en-GB" w:eastAsia="de-DE"/>
              </w:rPr>
              <w:t>X</w:t>
            </w:r>
          </w:p>
        </w:tc>
        <w:tc>
          <w:tcPr>
            <w:tcW w:w="566" w:type="dxa"/>
            <w:vAlign w:val="center"/>
          </w:tcPr>
          <w:p w14:paraId="780EAEF9" w14:textId="77777777" w:rsidR="00722A47" w:rsidRPr="00722A47" w:rsidRDefault="00722A47" w:rsidP="00722A47">
            <w:pPr>
              <w:spacing w:before="0" w:after="0"/>
              <w:jc w:val="center"/>
              <w:rPr>
                <w:rFonts w:eastAsia="Times New Roman"/>
                <w:sz w:val="18"/>
                <w:szCs w:val="18"/>
                <w:lang w:val="en-US" w:eastAsia="de-DE"/>
              </w:rPr>
            </w:pPr>
            <w:r w:rsidRPr="00722A47">
              <w:rPr>
                <w:rFonts w:eastAsia="Times New Roman"/>
                <w:sz w:val="18"/>
                <w:szCs w:val="18"/>
                <w:lang w:val="en-GB" w:eastAsia="de-DE"/>
              </w:rPr>
              <w:t>X</w:t>
            </w:r>
          </w:p>
        </w:tc>
        <w:tc>
          <w:tcPr>
            <w:tcW w:w="740" w:type="dxa"/>
            <w:vAlign w:val="center"/>
          </w:tcPr>
          <w:p w14:paraId="665B88C1" w14:textId="77777777" w:rsidR="00722A47" w:rsidRPr="00722A47" w:rsidRDefault="00722A47" w:rsidP="00722A47">
            <w:pPr>
              <w:spacing w:before="0" w:after="0"/>
              <w:jc w:val="center"/>
              <w:rPr>
                <w:rFonts w:eastAsia="Times New Roman"/>
                <w:sz w:val="18"/>
                <w:szCs w:val="18"/>
                <w:lang w:val="en-US" w:eastAsia="de-DE"/>
              </w:rPr>
            </w:pPr>
            <w:r w:rsidRPr="00722A47">
              <w:rPr>
                <w:rFonts w:eastAsia="Times New Roman"/>
                <w:sz w:val="18"/>
                <w:szCs w:val="18"/>
                <w:lang w:val="en-GB" w:eastAsia="de-DE"/>
              </w:rPr>
              <w:t>X</w:t>
            </w:r>
          </w:p>
        </w:tc>
        <w:tc>
          <w:tcPr>
            <w:tcW w:w="502" w:type="dxa"/>
            <w:vAlign w:val="center"/>
          </w:tcPr>
          <w:p w14:paraId="609A4F85" w14:textId="77777777" w:rsidR="00722A47" w:rsidRPr="00722A47" w:rsidRDefault="00722A47" w:rsidP="00722A47">
            <w:pPr>
              <w:spacing w:before="0" w:after="0"/>
              <w:jc w:val="center"/>
              <w:rPr>
                <w:rFonts w:eastAsia="Times New Roman"/>
                <w:sz w:val="18"/>
                <w:szCs w:val="18"/>
                <w:lang w:val="en-US" w:eastAsia="de-DE"/>
              </w:rPr>
            </w:pPr>
            <w:r w:rsidRPr="00722A47">
              <w:rPr>
                <w:rFonts w:eastAsia="Times New Roman"/>
                <w:sz w:val="18"/>
                <w:szCs w:val="18"/>
                <w:lang w:val="en-GB" w:eastAsia="de-DE"/>
              </w:rPr>
              <w:t>X</w:t>
            </w:r>
          </w:p>
        </w:tc>
        <w:tc>
          <w:tcPr>
            <w:tcW w:w="502" w:type="dxa"/>
            <w:vAlign w:val="center"/>
          </w:tcPr>
          <w:p w14:paraId="1AE98161" w14:textId="77777777" w:rsidR="00722A47" w:rsidRPr="00722A47" w:rsidRDefault="00722A47" w:rsidP="00722A47">
            <w:pPr>
              <w:spacing w:before="0" w:after="0"/>
              <w:jc w:val="center"/>
              <w:rPr>
                <w:rFonts w:eastAsia="Times New Roman"/>
                <w:sz w:val="18"/>
                <w:szCs w:val="18"/>
                <w:lang w:val="en-US" w:eastAsia="de-DE"/>
              </w:rPr>
            </w:pPr>
            <w:r w:rsidRPr="00722A47">
              <w:rPr>
                <w:rFonts w:eastAsia="Times New Roman"/>
                <w:sz w:val="18"/>
                <w:szCs w:val="18"/>
                <w:lang w:val="en-GB" w:eastAsia="de-DE"/>
              </w:rPr>
              <w:t>X</w:t>
            </w:r>
          </w:p>
        </w:tc>
        <w:tc>
          <w:tcPr>
            <w:tcW w:w="502" w:type="dxa"/>
            <w:vAlign w:val="center"/>
          </w:tcPr>
          <w:p w14:paraId="0B151479" w14:textId="77777777" w:rsidR="00722A47" w:rsidRPr="00722A47" w:rsidRDefault="00722A47" w:rsidP="00722A47">
            <w:pPr>
              <w:spacing w:before="0" w:after="0"/>
              <w:jc w:val="center"/>
              <w:rPr>
                <w:rFonts w:eastAsia="Times New Roman"/>
                <w:strike/>
                <w:sz w:val="18"/>
                <w:szCs w:val="18"/>
                <w:lang w:val="en-US" w:eastAsia="de-DE"/>
              </w:rPr>
            </w:pPr>
            <w:r w:rsidRPr="00722A47">
              <w:rPr>
                <w:rFonts w:eastAsia="Times New Roman"/>
                <w:sz w:val="18"/>
                <w:szCs w:val="18"/>
                <w:lang w:val="en-GB" w:eastAsia="de-DE"/>
              </w:rPr>
              <w:t>X</w:t>
            </w:r>
          </w:p>
        </w:tc>
      </w:tr>
      <w:tr w:rsidR="00722A47" w:rsidRPr="00722A47" w14:paraId="4F0D9A3D" w14:textId="77777777" w:rsidTr="004954C9">
        <w:trPr>
          <w:cantSplit/>
        </w:trPr>
        <w:tc>
          <w:tcPr>
            <w:tcW w:w="1118" w:type="dxa"/>
          </w:tcPr>
          <w:p w14:paraId="38A9E436" w14:textId="77777777" w:rsidR="00722A47" w:rsidRPr="00722A47" w:rsidRDefault="00722A47" w:rsidP="00722A47">
            <w:pPr>
              <w:spacing w:before="0" w:after="0"/>
              <w:jc w:val="left"/>
              <w:rPr>
                <w:rFonts w:eastAsia="Times New Roman"/>
                <w:b/>
                <w:sz w:val="18"/>
                <w:szCs w:val="18"/>
                <w:lang w:val="en-US" w:eastAsia="de-DE"/>
              </w:rPr>
            </w:pPr>
            <w:r w:rsidRPr="00722A47">
              <w:rPr>
                <w:rFonts w:eastAsia="Times New Roman"/>
                <w:b/>
                <w:sz w:val="18"/>
                <w:szCs w:val="18"/>
                <w:lang w:val="en-US" w:eastAsia="de-DE"/>
              </w:rPr>
              <w:t>PAK</w:t>
            </w:r>
            <w:r w:rsidRPr="00722A47">
              <w:rPr>
                <w:rFonts w:eastAsia="Times New Roman"/>
                <w:b/>
                <w:sz w:val="18"/>
                <w:szCs w:val="18"/>
                <w:vertAlign w:val="subscript"/>
                <w:lang w:val="en-US" w:eastAsia="de-DE"/>
              </w:rPr>
              <w:t>15</w:t>
            </w:r>
          </w:p>
        </w:tc>
        <w:tc>
          <w:tcPr>
            <w:tcW w:w="696" w:type="dxa"/>
          </w:tcPr>
          <w:p w14:paraId="68A4C5FB"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µg/l</w:t>
            </w:r>
          </w:p>
        </w:tc>
        <w:tc>
          <w:tcPr>
            <w:tcW w:w="596" w:type="dxa"/>
            <w:vAlign w:val="center"/>
          </w:tcPr>
          <w:p w14:paraId="144C0A46" w14:textId="77777777" w:rsidR="00722A47" w:rsidRPr="00722A47" w:rsidRDefault="00722A47" w:rsidP="00722A47">
            <w:pPr>
              <w:spacing w:before="0" w:after="0"/>
              <w:jc w:val="center"/>
              <w:rPr>
                <w:rFonts w:eastAsia="Times New Roman"/>
                <w:sz w:val="18"/>
                <w:szCs w:val="18"/>
                <w:lang w:val="en-GB" w:eastAsia="de-DE"/>
              </w:rPr>
            </w:pPr>
          </w:p>
        </w:tc>
        <w:tc>
          <w:tcPr>
            <w:tcW w:w="373" w:type="dxa"/>
            <w:vAlign w:val="center"/>
          </w:tcPr>
          <w:p w14:paraId="4432DBF9" w14:textId="77777777" w:rsidR="00722A47" w:rsidRPr="00722A47" w:rsidRDefault="00722A47" w:rsidP="00722A47">
            <w:pPr>
              <w:spacing w:before="0" w:after="0"/>
              <w:jc w:val="center"/>
              <w:rPr>
                <w:rFonts w:eastAsia="Times New Roman"/>
                <w:sz w:val="18"/>
                <w:szCs w:val="18"/>
                <w:lang w:val="en-GB" w:eastAsia="de-DE"/>
              </w:rPr>
            </w:pPr>
          </w:p>
        </w:tc>
        <w:tc>
          <w:tcPr>
            <w:tcW w:w="635" w:type="dxa"/>
            <w:gridSpan w:val="2"/>
            <w:vAlign w:val="center"/>
          </w:tcPr>
          <w:p w14:paraId="6E2DB04D" w14:textId="77777777" w:rsidR="00722A47" w:rsidRPr="00722A47" w:rsidRDefault="00722A47" w:rsidP="00722A47">
            <w:pPr>
              <w:spacing w:before="0" w:after="0"/>
              <w:jc w:val="center"/>
              <w:rPr>
                <w:rFonts w:eastAsia="Times New Roman"/>
                <w:sz w:val="18"/>
                <w:szCs w:val="18"/>
                <w:lang w:val="en-GB" w:eastAsia="de-DE"/>
              </w:rPr>
            </w:pPr>
          </w:p>
        </w:tc>
        <w:tc>
          <w:tcPr>
            <w:tcW w:w="561" w:type="dxa"/>
            <w:vAlign w:val="center"/>
          </w:tcPr>
          <w:p w14:paraId="69D179CC" w14:textId="77777777" w:rsidR="00722A47" w:rsidRPr="00722A47" w:rsidRDefault="00722A47" w:rsidP="00722A47">
            <w:pPr>
              <w:spacing w:before="0" w:after="0"/>
              <w:jc w:val="center"/>
              <w:rPr>
                <w:rFonts w:eastAsia="Times New Roman"/>
                <w:sz w:val="18"/>
                <w:szCs w:val="18"/>
                <w:lang w:val="en-GB" w:eastAsia="de-DE"/>
              </w:rPr>
            </w:pPr>
          </w:p>
        </w:tc>
        <w:tc>
          <w:tcPr>
            <w:tcW w:w="694" w:type="dxa"/>
            <w:vAlign w:val="center"/>
          </w:tcPr>
          <w:p w14:paraId="243A82D1" w14:textId="77777777" w:rsidR="00722A47" w:rsidRPr="00722A47" w:rsidRDefault="00722A47" w:rsidP="00722A47">
            <w:pPr>
              <w:spacing w:before="0" w:after="0"/>
              <w:jc w:val="center"/>
              <w:rPr>
                <w:rFonts w:eastAsia="Times New Roman"/>
                <w:sz w:val="18"/>
                <w:szCs w:val="18"/>
                <w:lang w:val="en-GB" w:eastAsia="de-DE"/>
              </w:rPr>
            </w:pPr>
          </w:p>
        </w:tc>
        <w:tc>
          <w:tcPr>
            <w:tcW w:w="540" w:type="dxa"/>
            <w:vAlign w:val="center"/>
          </w:tcPr>
          <w:p w14:paraId="73B9617E"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38" w:type="dxa"/>
            <w:vAlign w:val="center"/>
          </w:tcPr>
          <w:p w14:paraId="29DE0940" w14:textId="77777777" w:rsidR="00722A47" w:rsidRPr="00722A47" w:rsidRDefault="00722A47" w:rsidP="00722A47">
            <w:pPr>
              <w:spacing w:before="0" w:after="0"/>
              <w:jc w:val="center"/>
              <w:rPr>
                <w:rFonts w:eastAsia="Times New Roman"/>
                <w:sz w:val="18"/>
                <w:szCs w:val="18"/>
                <w:lang w:val="en-GB" w:eastAsia="de-DE"/>
              </w:rPr>
            </w:pPr>
          </w:p>
        </w:tc>
        <w:tc>
          <w:tcPr>
            <w:tcW w:w="572" w:type="dxa"/>
            <w:vAlign w:val="center"/>
          </w:tcPr>
          <w:p w14:paraId="46159412" w14:textId="77777777" w:rsidR="00722A47" w:rsidRPr="00722A47" w:rsidRDefault="00722A47" w:rsidP="00722A47">
            <w:pPr>
              <w:spacing w:before="0" w:after="0"/>
              <w:jc w:val="center"/>
              <w:rPr>
                <w:rFonts w:eastAsia="Times New Roman"/>
                <w:sz w:val="18"/>
                <w:szCs w:val="18"/>
                <w:lang w:val="en-GB" w:eastAsia="de-DE"/>
              </w:rPr>
            </w:pPr>
          </w:p>
        </w:tc>
        <w:tc>
          <w:tcPr>
            <w:tcW w:w="566" w:type="dxa"/>
            <w:vAlign w:val="center"/>
          </w:tcPr>
          <w:p w14:paraId="44DE5CBE" w14:textId="77777777" w:rsidR="00722A47" w:rsidRPr="00722A47" w:rsidRDefault="00722A47" w:rsidP="00722A47">
            <w:pPr>
              <w:spacing w:before="0" w:after="0"/>
              <w:jc w:val="center"/>
              <w:rPr>
                <w:rFonts w:eastAsia="Times New Roman"/>
                <w:sz w:val="18"/>
                <w:szCs w:val="18"/>
                <w:lang w:val="en-GB" w:eastAsia="de-DE"/>
              </w:rPr>
            </w:pPr>
          </w:p>
        </w:tc>
        <w:tc>
          <w:tcPr>
            <w:tcW w:w="740" w:type="dxa"/>
            <w:vAlign w:val="center"/>
          </w:tcPr>
          <w:p w14:paraId="2198B593" w14:textId="77777777" w:rsidR="00722A47" w:rsidRPr="00722A47" w:rsidRDefault="00722A47" w:rsidP="00722A47">
            <w:pPr>
              <w:spacing w:before="0" w:after="0"/>
              <w:jc w:val="center"/>
              <w:rPr>
                <w:rFonts w:eastAsia="Times New Roman"/>
                <w:sz w:val="18"/>
                <w:szCs w:val="18"/>
                <w:lang w:val="en-GB" w:eastAsia="de-DE"/>
              </w:rPr>
            </w:pPr>
          </w:p>
        </w:tc>
        <w:tc>
          <w:tcPr>
            <w:tcW w:w="502" w:type="dxa"/>
            <w:vAlign w:val="center"/>
          </w:tcPr>
          <w:p w14:paraId="7A7A85FD"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02" w:type="dxa"/>
            <w:vAlign w:val="center"/>
          </w:tcPr>
          <w:p w14:paraId="497346F3"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02" w:type="dxa"/>
            <w:vAlign w:val="center"/>
          </w:tcPr>
          <w:p w14:paraId="6675C4D9"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r>
      <w:tr w:rsidR="00722A47" w:rsidRPr="00722A47" w14:paraId="0DDA596C" w14:textId="77777777" w:rsidTr="004954C9">
        <w:trPr>
          <w:cantSplit/>
        </w:trPr>
        <w:tc>
          <w:tcPr>
            <w:tcW w:w="1118" w:type="dxa"/>
          </w:tcPr>
          <w:p w14:paraId="57E2F518" w14:textId="77777777" w:rsidR="00722A47" w:rsidRPr="00722A47" w:rsidRDefault="00722A47" w:rsidP="00722A47">
            <w:pPr>
              <w:spacing w:before="0" w:after="0"/>
              <w:jc w:val="left"/>
              <w:rPr>
                <w:rFonts w:eastAsia="Times New Roman"/>
                <w:b/>
                <w:sz w:val="18"/>
                <w:szCs w:val="18"/>
                <w:lang w:val="en-US" w:eastAsia="de-DE"/>
              </w:rPr>
            </w:pPr>
            <w:r w:rsidRPr="00722A47">
              <w:rPr>
                <w:rFonts w:eastAsia="Times New Roman"/>
                <w:b/>
                <w:sz w:val="18"/>
                <w:szCs w:val="18"/>
                <w:lang w:val="en-US" w:eastAsia="de-DE"/>
              </w:rPr>
              <w:t>MKW</w:t>
            </w:r>
          </w:p>
        </w:tc>
        <w:tc>
          <w:tcPr>
            <w:tcW w:w="696" w:type="dxa"/>
          </w:tcPr>
          <w:p w14:paraId="38E178E1"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µg/l</w:t>
            </w:r>
          </w:p>
        </w:tc>
        <w:tc>
          <w:tcPr>
            <w:tcW w:w="596" w:type="dxa"/>
            <w:vAlign w:val="center"/>
          </w:tcPr>
          <w:p w14:paraId="3CE71D70" w14:textId="77777777" w:rsidR="00722A47" w:rsidRPr="00722A47" w:rsidRDefault="00722A47" w:rsidP="00722A47">
            <w:pPr>
              <w:spacing w:before="0" w:after="0"/>
              <w:jc w:val="center"/>
              <w:rPr>
                <w:rFonts w:eastAsia="Times New Roman"/>
                <w:sz w:val="18"/>
                <w:szCs w:val="18"/>
                <w:lang w:val="en-GB" w:eastAsia="de-DE"/>
              </w:rPr>
            </w:pPr>
          </w:p>
        </w:tc>
        <w:tc>
          <w:tcPr>
            <w:tcW w:w="373" w:type="dxa"/>
            <w:vAlign w:val="center"/>
          </w:tcPr>
          <w:p w14:paraId="09613964" w14:textId="77777777" w:rsidR="00722A47" w:rsidRPr="00722A47" w:rsidRDefault="00722A47" w:rsidP="00722A47">
            <w:pPr>
              <w:spacing w:before="0" w:after="0"/>
              <w:jc w:val="center"/>
              <w:rPr>
                <w:rFonts w:eastAsia="Times New Roman"/>
                <w:sz w:val="18"/>
                <w:szCs w:val="18"/>
                <w:lang w:val="en-GB" w:eastAsia="de-DE"/>
              </w:rPr>
            </w:pPr>
          </w:p>
        </w:tc>
        <w:tc>
          <w:tcPr>
            <w:tcW w:w="635" w:type="dxa"/>
            <w:gridSpan w:val="2"/>
            <w:vAlign w:val="center"/>
          </w:tcPr>
          <w:p w14:paraId="71E373C9" w14:textId="77777777" w:rsidR="00722A47" w:rsidRPr="00722A47" w:rsidRDefault="00722A47" w:rsidP="00722A47">
            <w:pPr>
              <w:spacing w:before="0" w:after="0"/>
              <w:jc w:val="center"/>
              <w:rPr>
                <w:rFonts w:eastAsia="Times New Roman"/>
                <w:sz w:val="18"/>
                <w:szCs w:val="18"/>
                <w:lang w:val="en-GB" w:eastAsia="de-DE"/>
              </w:rPr>
            </w:pPr>
          </w:p>
        </w:tc>
        <w:tc>
          <w:tcPr>
            <w:tcW w:w="561" w:type="dxa"/>
            <w:vAlign w:val="center"/>
          </w:tcPr>
          <w:p w14:paraId="3DDDEAA5" w14:textId="77777777" w:rsidR="00722A47" w:rsidRPr="00722A47" w:rsidRDefault="00722A47" w:rsidP="00722A47">
            <w:pPr>
              <w:spacing w:before="0" w:after="0"/>
              <w:jc w:val="center"/>
              <w:rPr>
                <w:rFonts w:eastAsia="Times New Roman"/>
                <w:sz w:val="18"/>
                <w:szCs w:val="18"/>
                <w:lang w:val="en-GB" w:eastAsia="de-DE"/>
              </w:rPr>
            </w:pPr>
          </w:p>
        </w:tc>
        <w:tc>
          <w:tcPr>
            <w:tcW w:w="694" w:type="dxa"/>
            <w:vAlign w:val="center"/>
          </w:tcPr>
          <w:p w14:paraId="057F82E7" w14:textId="77777777" w:rsidR="00722A47" w:rsidRPr="00722A47" w:rsidRDefault="00722A47" w:rsidP="00722A47">
            <w:pPr>
              <w:spacing w:before="0" w:after="0"/>
              <w:jc w:val="center"/>
              <w:rPr>
                <w:rFonts w:eastAsia="Times New Roman"/>
                <w:sz w:val="18"/>
                <w:szCs w:val="18"/>
                <w:lang w:val="en-GB" w:eastAsia="de-DE"/>
              </w:rPr>
            </w:pPr>
          </w:p>
        </w:tc>
        <w:tc>
          <w:tcPr>
            <w:tcW w:w="540" w:type="dxa"/>
            <w:vAlign w:val="center"/>
          </w:tcPr>
          <w:p w14:paraId="07CD8BEC" w14:textId="77777777" w:rsidR="00722A47" w:rsidRPr="00722A47" w:rsidRDefault="00722A47" w:rsidP="00722A47">
            <w:pPr>
              <w:spacing w:before="0" w:after="0"/>
              <w:jc w:val="center"/>
              <w:rPr>
                <w:rFonts w:eastAsia="Times New Roman"/>
                <w:sz w:val="18"/>
                <w:szCs w:val="18"/>
                <w:lang w:val="en-GB" w:eastAsia="de-DE"/>
              </w:rPr>
            </w:pPr>
          </w:p>
        </w:tc>
        <w:tc>
          <w:tcPr>
            <w:tcW w:w="538" w:type="dxa"/>
            <w:vAlign w:val="center"/>
          </w:tcPr>
          <w:p w14:paraId="737D9275" w14:textId="77777777" w:rsidR="00722A47" w:rsidRPr="00722A47" w:rsidRDefault="00722A47" w:rsidP="00722A47">
            <w:pPr>
              <w:spacing w:before="0" w:after="0"/>
              <w:jc w:val="center"/>
              <w:rPr>
                <w:rFonts w:eastAsia="Times New Roman"/>
                <w:sz w:val="18"/>
                <w:szCs w:val="18"/>
                <w:lang w:val="en-GB" w:eastAsia="de-DE"/>
              </w:rPr>
            </w:pPr>
          </w:p>
        </w:tc>
        <w:tc>
          <w:tcPr>
            <w:tcW w:w="572" w:type="dxa"/>
            <w:vAlign w:val="center"/>
          </w:tcPr>
          <w:p w14:paraId="33687569" w14:textId="77777777" w:rsidR="00722A47" w:rsidRPr="00722A47" w:rsidRDefault="00722A47" w:rsidP="00722A47">
            <w:pPr>
              <w:spacing w:before="0" w:after="0"/>
              <w:jc w:val="center"/>
              <w:rPr>
                <w:rFonts w:eastAsia="Times New Roman"/>
                <w:sz w:val="18"/>
                <w:szCs w:val="18"/>
                <w:lang w:val="en-GB" w:eastAsia="de-DE"/>
              </w:rPr>
            </w:pPr>
          </w:p>
        </w:tc>
        <w:tc>
          <w:tcPr>
            <w:tcW w:w="566" w:type="dxa"/>
            <w:vAlign w:val="center"/>
          </w:tcPr>
          <w:p w14:paraId="496D0DFE" w14:textId="77777777" w:rsidR="00722A47" w:rsidRPr="00722A47" w:rsidRDefault="00722A47" w:rsidP="00722A47">
            <w:pPr>
              <w:spacing w:before="0" w:after="0"/>
              <w:jc w:val="center"/>
              <w:rPr>
                <w:rFonts w:eastAsia="Times New Roman"/>
                <w:sz w:val="18"/>
                <w:szCs w:val="18"/>
                <w:lang w:val="en-GB" w:eastAsia="de-DE"/>
              </w:rPr>
            </w:pPr>
          </w:p>
        </w:tc>
        <w:tc>
          <w:tcPr>
            <w:tcW w:w="740" w:type="dxa"/>
            <w:vAlign w:val="center"/>
          </w:tcPr>
          <w:p w14:paraId="77BEA2BC" w14:textId="77777777" w:rsidR="00722A47" w:rsidRPr="00722A47" w:rsidRDefault="00722A47" w:rsidP="00722A47">
            <w:pPr>
              <w:spacing w:before="0" w:after="0"/>
              <w:jc w:val="center"/>
              <w:rPr>
                <w:rFonts w:eastAsia="Times New Roman"/>
                <w:sz w:val="18"/>
                <w:szCs w:val="18"/>
                <w:lang w:val="en-GB" w:eastAsia="de-DE"/>
              </w:rPr>
            </w:pPr>
          </w:p>
        </w:tc>
        <w:tc>
          <w:tcPr>
            <w:tcW w:w="502" w:type="dxa"/>
            <w:vAlign w:val="center"/>
          </w:tcPr>
          <w:p w14:paraId="677601DA"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02" w:type="dxa"/>
            <w:vAlign w:val="center"/>
          </w:tcPr>
          <w:p w14:paraId="3531F644"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02" w:type="dxa"/>
            <w:vAlign w:val="center"/>
          </w:tcPr>
          <w:p w14:paraId="58C16206"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r>
      <w:tr w:rsidR="00722A47" w:rsidRPr="00722A47" w14:paraId="65767541" w14:textId="77777777" w:rsidTr="004954C9">
        <w:trPr>
          <w:cantSplit/>
        </w:trPr>
        <w:tc>
          <w:tcPr>
            <w:tcW w:w="1118" w:type="dxa"/>
          </w:tcPr>
          <w:p w14:paraId="0CA54487" w14:textId="77777777" w:rsidR="00722A47" w:rsidRPr="00722A47" w:rsidRDefault="00722A47" w:rsidP="00722A47">
            <w:pPr>
              <w:spacing w:before="0" w:after="0"/>
              <w:jc w:val="left"/>
              <w:rPr>
                <w:rFonts w:eastAsia="Times New Roman"/>
                <w:b/>
                <w:sz w:val="18"/>
                <w:szCs w:val="18"/>
                <w:lang w:val="en-GB" w:eastAsia="de-DE"/>
              </w:rPr>
            </w:pPr>
            <w:proofErr w:type="spellStart"/>
            <w:r w:rsidRPr="00722A47">
              <w:rPr>
                <w:rFonts w:eastAsia="Times New Roman"/>
                <w:b/>
                <w:sz w:val="18"/>
                <w:szCs w:val="18"/>
                <w:lang w:val="en-GB" w:eastAsia="de-DE"/>
              </w:rPr>
              <w:t>Phenole</w:t>
            </w:r>
            <w:proofErr w:type="spellEnd"/>
          </w:p>
        </w:tc>
        <w:tc>
          <w:tcPr>
            <w:tcW w:w="696" w:type="dxa"/>
          </w:tcPr>
          <w:p w14:paraId="3B429CAD"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µg/l</w:t>
            </w:r>
          </w:p>
        </w:tc>
        <w:tc>
          <w:tcPr>
            <w:tcW w:w="596" w:type="dxa"/>
            <w:vAlign w:val="center"/>
          </w:tcPr>
          <w:p w14:paraId="05816414" w14:textId="77777777" w:rsidR="00722A47" w:rsidRPr="00722A47" w:rsidRDefault="00722A47" w:rsidP="00722A47">
            <w:pPr>
              <w:spacing w:before="0" w:after="0"/>
              <w:jc w:val="center"/>
              <w:rPr>
                <w:rFonts w:eastAsia="Times New Roman"/>
                <w:sz w:val="18"/>
                <w:szCs w:val="18"/>
                <w:lang w:val="en-GB" w:eastAsia="de-DE"/>
              </w:rPr>
            </w:pPr>
          </w:p>
        </w:tc>
        <w:tc>
          <w:tcPr>
            <w:tcW w:w="373" w:type="dxa"/>
            <w:vAlign w:val="center"/>
          </w:tcPr>
          <w:p w14:paraId="4FE914D4" w14:textId="77777777" w:rsidR="00722A47" w:rsidRPr="00722A47" w:rsidRDefault="00722A47" w:rsidP="00722A47">
            <w:pPr>
              <w:spacing w:before="0" w:after="0"/>
              <w:jc w:val="center"/>
              <w:rPr>
                <w:rFonts w:eastAsia="Times New Roman"/>
                <w:sz w:val="18"/>
                <w:szCs w:val="18"/>
                <w:lang w:val="en-GB" w:eastAsia="de-DE"/>
              </w:rPr>
            </w:pPr>
          </w:p>
        </w:tc>
        <w:tc>
          <w:tcPr>
            <w:tcW w:w="635" w:type="dxa"/>
            <w:gridSpan w:val="2"/>
            <w:vAlign w:val="center"/>
          </w:tcPr>
          <w:p w14:paraId="3BD0E062" w14:textId="77777777" w:rsidR="00722A47" w:rsidRPr="00722A47" w:rsidRDefault="00722A47" w:rsidP="00722A47">
            <w:pPr>
              <w:spacing w:before="0" w:after="0"/>
              <w:jc w:val="center"/>
              <w:rPr>
                <w:rFonts w:eastAsia="Times New Roman"/>
                <w:sz w:val="18"/>
                <w:szCs w:val="18"/>
                <w:lang w:val="en-GB" w:eastAsia="de-DE"/>
              </w:rPr>
            </w:pPr>
          </w:p>
        </w:tc>
        <w:tc>
          <w:tcPr>
            <w:tcW w:w="561" w:type="dxa"/>
            <w:vAlign w:val="center"/>
          </w:tcPr>
          <w:p w14:paraId="573CE17F" w14:textId="77777777" w:rsidR="00722A47" w:rsidRPr="00722A47" w:rsidRDefault="00722A47" w:rsidP="00722A47">
            <w:pPr>
              <w:spacing w:before="0" w:after="0"/>
              <w:jc w:val="center"/>
              <w:rPr>
                <w:rFonts w:eastAsia="Times New Roman"/>
                <w:sz w:val="18"/>
                <w:szCs w:val="18"/>
                <w:lang w:val="en-GB" w:eastAsia="de-DE"/>
              </w:rPr>
            </w:pPr>
          </w:p>
        </w:tc>
        <w:tc>
          <w:tcPr>
            <w:tcW w:w="694" w:type="dxa"/>
            <w:vAlign w:val="center"/>
          </w:tcPr>
          <w:p w14:paraId="55A3B36E" w14:textId="77777777" w:rsidR="00722A47" w:rsidRPr="00722A47" w:rsidRDefault="00722A47" w:rsidP="00722A47">
            <w:pPr>
              <w:spacing w:before="0" w:after="0"/>
              <w:jc w:val="center"/>
              <w:rPr>
                <w:rFonts w:eastAsia="Times New Roman"/>
                <w:sz w:val="18"/>
                <w:szCs w:val="18"/>
                <w:lang w:val="en-GB" w:eastAsia="de-DE"/>
              </w:rPr>
            </w:pPr>
          </w:p>
        </w:tc>
        <w:tc>
          <w:tcPr>
            <w:tcW w:w="540" w:type="dxa"/>
            <w:vAlign w:val="center"/>
          </w:tcPr>
          <w:p w14:paraId="04276B31" w14:textId="77777777" w:rsidR="00722A47" w:rsidRPr="00722A47" w:rsidRDefault="00722A47" w:rsidP="00722A47">
            <w:pPr>
              <w:spacing w:before="0" w:after="0"/>
              <w:jc w:val="center"/>
              <w:rPr>
                <w:rFonts w:eastAsia="Times New Roman"/>
                <w:sz w:val="18"/>
                <w:szCs w:val="18"/>
                <w:lang w:val="en-GB" w:eastAsia="de-DE"/>
              </w:rPr>
            </w:pPr>
          </w:p>
        </w:tc>
        <w:tc>
          <w:tcPr>
            <w:tcW w:w="538" w:type="dxa"/>
            <w:vAlign w:val="center"/>
          </w:tcPr>
          <w:p w14:paraId="7747DD50" w14:textId="77777777" w:rsidR="00722A47" w:rsidRPr="00722A47" w:rsidRDefault="00722A47" w:rsidP="00722A47">
            <w:pPr>
              <w:spacing w:before="0" w:after="0"/>
              <w:jc w:val="center"/>
              <w:rPr>
                <w:rFonts w:eastAsia="Times New Roman"/>
                <w:sz w:val="18"/>
                <w:szCs w:val="18"/>
                <w:lang w:val="en-GB" w:eastAsia="de-DE"/>
              </w:rPr>
            </w:pPr>
          </w:p>
        </w:tc>
        <w:tc>
          <w:tcPr>
            <w:tcW w:w="572" w:type="dxa"/>
            <w:vAlign w:val="center"/>
          </w:tcPr>
          <w:p w14:paraId="1B022DD7" w14:textId="77777777" w:rsidR="00722A47" w:rsidRPr="00722A47" w:rsidRDefault="00722A47" w:rsidP="00722A47">
            <w:pPr>
              <w:spacing w:before="0" w:after="0"/>
              <w:jc w:val="center"/>
              <w:rPr>
                <w:rFonts w:eastAsia="Times New Roman"/>
                <w:sz w:val="18"/>
                <w:szCs w:val="18"/>
                <w:lang w:val="en-GB" w:eastAsia="de-DE"/>
              </w:rPr>
            </w:pPr>
          </w:p>
        </w:tc>
        <w:tc>
          <w:tcPr>
            <w:tcW w:w="566" w:type="dxa"/>
            <w:vAlign w:val="center"/>
          </w:tcPr>
          <w:p w14:paraId="3DA55A9C" w14:textId="77777777" w:rsidR="00722A47" w:rsidRPr="00722A47" w:rsidRDefault="00722A47" w:rsidP="00722A47">
            <w:pPr>
              <w:spacing w:before="0" w:after="0"/>
              <w:jc w:val="center"/>
              <w:rPr>
                <w:rFonts w:eastAsia="Times New Roman"/>
                <w:sz w:val="18"/>
                <w:szCs w:val="18"/>
                <w:lang w:val="en-GB" w:eastAsia="de-DE"/>
              </w:rPr>
            </w:pPr>
          </w:p>
        </w:tc>
        <w:tc>
          <w:tcPr>
            <w:tcW w:w="740" w:type="dxa"/>
            <w:vAlign w:val="center"/>
          </w:tcPr>
          <w:p w14:paraId="0B91F3C8" w14:textId="77777777" w:rsidR="00722A47" w:rsidRPr="00722A47" w:rsidRDefault="00722A47" w:rsidP="00722A47">
            <w:pPr>
              <w:spacing w:before="0" w:after="0"/>
              <w:jc w:val="center"/>
              <w:rPr>
                <w:rFonts w:eastAsia="Times New Roman"/>
                <w:sz w:val="18"/>
                <w:szCs w:val="18"/>
                <w:lang w:val="en-GB" w:eastAsia="de-DE"/>
              </w:rPr>
            </w:pPr>
          </w:p>
        </w:tc>
        <w:tc>
          <w:tcPr>
            <w:tcW w:w="502" w:type="dxa"/>
            <w:vAlign w:val="center"/>
          </w:tcPr>
          <w:p w14:paraId="794202B7"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02" w:type="dxa"/>
            <w:vAlign w:val="center"/>
          </w:tcPr>
          <w:p w14:paraId="746F161F"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02" w:type="dxa"/>
            <w:vAlign w:val="center"/>
          </w:tcPr>
          <w:p w14:paraId="64B095FA"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r>
      <w:tr w:rsidR="00722A47" w:rsidRPr="00722A47" w14:paraId="3456414E" w14:textId="77777777" w:rsidTr="004954C9">
        <w:trPr>
          <w:cantSplit/>
        </w:trPr>
        <w:tc>
          <w:tcPr>
            <w:tcW w:w="1118" w:type="dxa"/>
          </w:tcPr>
          <w:p w14:paraId="0C7D2BDD" w14:textId="77777777" w:rsidR="00722A47" w:rsidRPr="00722A47" w:rsidRDefault="00722A47" w:rsidP="00722A47">
            <w:pPr>
              <w:spacing w:before="0" w:after="0"/>
              <w:jc w:val="left"/>
              <w:rPr>
                <w:rFonts w:eastAsia="Times New Roman"/>
                <w:b/>
                <w:sz w:val="18"/>
                <w:szCs w:val="18"/>
                <w:lang w:val="en-GB" w:eastAsia="de-DE"/>
              </w:rPr>
            </w:pPr>
            <w:proofErr w:type="spellStart"/>
            <w:r w:rsidRPr="00722A47">
              <w:rPr>
                <w:rFonts w:eastAsia="Times New Roman"/>
                <w:b/>
                <w:sz w:val="18"/>
                <w:szCs w:val="18"/>
                <w:lang w:val="en-GB" w:eastAsia="de-DE"/>
              </w:rPr>
              <w:t>Antimon</w:t>
            </w:r>
            <w:proofErr w:type="spellEnd"/>
          </w:p>
        </w:tc>
        <w:tc>
          <w:tcPr>
            <w:tcW w:w="696" w:type="dxa"/>
          </w:tcPr>
          <w:p w14:paraId="39086A51"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µg/l</w:t>
            </w:r>
          </w:p>
        </w:tc>
        <w:tc>
          <w:tcPr>
            <w:tcW w:w="596" w:type="dxa"/>
            <w:vAlign w:val="center"/>
          </w:tcPr>
          <w:p w14:paraId="12E385A3"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373" w:type="dxa"/>
            <w:vAlign w:val="center"/>
          </w:tcPr>
          <w:p w14:paraId="3D8A7A62"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635" w:type="dxa"/>
            <w:gridSpan w:val="2"/>
            <w:vAlign w:val="center"/>
          </w:tcPr>
          <w:p w14:paraId="0485D5FA"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61" w:type="dxa"/>
            <w:vAlign w:val="center"/>
          </w:tcPr>
          <w:p w14:paraId="1D6E792A"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694" w:type="dxa"/>
            <w:vAlign w:val="center"/>
          </w:tcPr>
          <w:p w14:paraId="322B1394"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40" w:type="dxa"/>
            <w:vAlign w:val="center"/>
          </w:tcPr>
          <w:p w14:paraId="399AEE02"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38" w:type="dxa"/>
            <w:vAlign w:val="center"/>
          </w:tcPr>
          <w:p w14:paraId="07A98305"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72" w:type="dxa"/>
            <w:vAlign w:val="center"/>
          </w:tcPr>
          <w:p w14:paraId="0D140474"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66" w:type="dxa"/>
            <w:vAlign w:val="center"/>
          </w:tcPr>
          <w:p w14:paraId="53FB7B01"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740" w:type="dxa"/>
            <w:vAlign w:val="center"/>
          </w:tcPr>
          <w:p w14:paraId="71AABD49"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02" w:type="dxa"/>
            <w:vAlign w:val="center"/>
          </w:tcPr>
          <w:p w14:paraId="3E2C9740"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02" w:type="dxa"/>
            <w:vAlign w:val="center"/>
          </w:tcPr>
          <w:p w14:paraId="4FB3444C"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02" w:type="dxa"/>
            <w:vAlign w:val="center"/>
          </w:tcPr>
          <w:p w14:paraId="2B4FED7B"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r>
      <w:tr w:rsidR="00722A47" w:rsidRPr="00722A47" w14:paraId="43380EF4" w14:textId="77777777" w:rsidTr="004954C9">
        <w:trPr>
          <w:cantSplit/>
        </w:trPr>
        <w:tc>
          <w:tcPr>
            <w:tcW w:w="1118" w:type="dxa"/>
          </w:tcPr>
          <w:p w14:paraId="6C141AF6" w14:textId="77777777" w:rsidR="00722A47" w:rsidRPr="00722A47" w:rsidRDefault="00722A47" w:rsidP="00722A47">
            <w:pPr>
              <w:spacing w:before="0" w:after="0"/>
              <w:jc w:val="left"/>
              <w:rPr>
                <w:rFonts w:eastAsia="Times New Roman"/>
                <w:b/>
                <w:sz w:val="18"/>
                <w:szCs w:val="18"/>
                <w:lang w:eastAsia="de-DE"/>
              </w:rPr>
            </w:pPr>
            <w:r w:rsidRPr="00722A47">
              <w:rPr>
                <w:rFonts w:eastAsia="Times New Roman"/>
                <w:b/>
                <w:sz w:val="18"/>
                <w:szCs w:val="18"/>
                <w:lang w:eastAsia="de-DE"/>
              </w:rPr>
              <w:t>Arsen</w:t>
            </w:r>
          </w:p>
        </w:tc>
        <w:tc>
          <w:tcPr>
            <w:tcW w:w="696" w:type="dxa"/>
          </w:tcPr>
          <w:p w14:paraId="5A5B3019"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µg/l</w:t>
            </w:r>
          </w:p>
        </w:tc>
        <w:tc>
          <w:tcPr>
            <w:tcW w:w="596" w:type="dxa"/>
            <w:vAlign w:val="center"/>
          </w:tcPr>
          <w:p w14:paraId="77511C1A"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373" w:type="dxa"/>
            <w:vAlign w:val="center"/>
          </w:tcPr>
          <w:p w14:paraId="7DAFF64C"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35" w:type="dxa"/>
            <w:gridSpan w:val="2"/>
            <w:vAlign w:val="center"/>
          </w:tcPr>
          <w:p w14:paraId="6288AE54"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1" w:type="dxa"/>
            <w:vAlign w:val="center"/>
          </w:tcPr>
          <w:p w14:paraId="3094BBEF"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94" w:type="dxa"/>
            <w:vAlign w:val="center"/>
          </w:tcPr>
          <w:p w14:paraId="54FA9D7C"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40" w:type="dxa"/>
            <w:vAlign w:val="center"/>
          </w:tcPr>
          <w:p w14:paraId="2D7879D6"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38" w:type="dxa"/>
            <w:vAlign w:val="center"/>
          </w:tcPr>
          <w:p w14:paraId="01E6CDC7"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72" w:type="dxa"/>
            <w:vAlign w:val="center"/>
          </w:tcPr>
          <w:p w14:paraId="0E710644"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6" w:type="dxa"/>
            <w:vAlign w:val="center"/>
          </w:tcPr>
          <w:p w14:paraId="210A104F"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740" w:type="dxa"/>
            <w:vAlign w:val="center"/>
          </w:tcPr>
          <w:p w14:paraId="1A207A9F"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6B0CEA05"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697AADDC"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226CCE6E"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r>
      <w:tr w:rsidR="00722A47" w:rsidRPr="00722A47" w14:paraId="47CF810A" w14:textId="77777777" w:rsidTr="004954C9">
        <w:trPr>
          <w:cantSplit/>
        </w:trPr>
        <w:tc>
          <w:tcPr>
            <w:tcW w:w="1118" w:type="dxa"/>
          </w:tcPr>
          <w:p w14:paraId="58A27AEF" w14:textId="77777777" w:rsidR="00722A47" w:rsidRPr="00722A47" w:rsidRDefault="00722A47" w:rsidP="00722A47">
            <w:pPr>
              <w:spacing w:before="0" w:after="0"/>
              <w:jc w:val="left"/>
              <w:rPr>
                <w:rFonts w:eastAsia="Times New Roman"/>
                <w:b/>
                <w:sz w:val="18"/>
                <w:szCs w:val="18"/>
                <w:lang w:eastAsia="de-DE"/>
              </w:rPr>
            </w:pPr>
            <w:r w:rsidRPr="00722A47">
              <w:rPr>
                <w:rFonts w:eastAsia="Times New Roman"/>
                <w:b/>
                <w:sz w:val="18"/>
                <w:szCs w:val="18"/>
                <w:lang w:eastAsia="de-DE"/>
              </w:rPr>
              <w:t>Blei</w:t>
            </w:r>
          </w:p>
        </w:tc>
        <w:tc>
          <w:tcPr>
            <w:tcW w:w="696" w:type="dxa"/>
          </w:tcPr>
          <w:p w14:paraId="6C5309EC"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µg/l</w:t>
            </w:r>
          </w:p>
        </w:tc>
        <w:tc>
          <w:tcPr>
            <w:tcW w:w="596" w:type="dxa"/>
            <w:vAlign w:val="center"/>
          </w:tcPr>
          <w:p w14:paraId="48B0A08A"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373" w:type="dxa"/>
            <w:vAlign w:val="center"/>
          </w:tcPr>
          <w:p w14:paraId="3B0BA713"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35" w:type="dxa"/>
            <w:gridSpan w:val="2"/>
            <w:vAlign w:val="center"/>
          </w:tcPr>
          <w:p w14:paraId="49154EAE"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1" w:type="dxa"/>
            <w:vAlign w:val="center"/>
          </w:tcPr>
          <w:p w14:paraId="51784DB0"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94" w:type="dxa"/>
            <w:vAlign w:val="center"/>
          </w:tcPr>
          <w:p w14:paraId="0F494909"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40" w:type="dxa"/>
            <w:vAlign w:val="center"/>
          </w:tcPr>
          <w:p w14:paraId="0983878F"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38" w:type="dxa"/>
            <w:vAlign w:val="center"/>
          </w:tcPr>
          <w:p w14:paraId="15F42FA6"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72" w:type="dxa"/>
            <w:vAlign w:val="center"/>
          </w:tcPr>
          <w:p w14:paraId="53D4BDB5"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6" w:type="dxa"/>
            <w:vAlign w:val="center"/>
          </w:tcPr>
          <w:p w14:paraId="237EB0C2"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740" w:type="dxa"/>
            <w:vAlign w:val="center"/>
          </w:tcPr>
          <w:p w14:paraId="4E4FBA73"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63B09B8D"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094C5EE5"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51E13588" w14:textId="77777777" w:rsidR="00722A47" w:rsidRPr="00722A47" w:rsidRDefault="00722A47" w:rsidP="00722A47">
            <w:pPr>
              <w:spacing w:before="0" w:after="0"/>
              <w:jc w:val="center"/>
              <w:rPr>
                <w:rFonts w:eastAsia="Times New Roman"/>
                <w:strike/>
                <w:sz w:val="18"/>
                <w:szCs w:val="18"/>
                <w:lang w:eastAsia="de-DE"/>
              </w:rPr>
            </w:pPr>
            <w:r w:rsidRPr="00722A47">
              <w:rPr>
                <w:rFonts w:eastAsia="Times New Roman"/>
                <w:sz w:val="18"/>
                <w:szCs w:val="18"/>
                <w:lang w:eastAsia="de-DE"/>
              </w:rPr>
              <w:t>X</w:t>
            </w:r>
          </w:p>
        </w:tc>
      </w:tr>
      <w:tr w:rsidR="00722A47" w:rsidRPr="00722A47" w14:paraId="44BE14F6" w14:textId="77777777" w:rsidTr="004954C9">
        <w:trPr>
          <w:cantSplit/>
        </w:trPr>
        <w:tc>
          <w:tcPr>
            <w:tcW w:w="1118" w:type="dxa"/>
          </w:tcPr>
          <w:p w14:paraId="7E964647" w14:textId="77777777" w:rsidR="00722A47" w:rsidRPr="00722A47" w:rsidRDefault="00722A47" w:rsidP="00722A47">
            <w:pPr>
              <w:spacing w:before="0" w:after="0"/>
              <w:jc w:val="left"/>
              <w:rPr>
                <w:rFonts w:eastAsia="Times New Roman"/>
                <w:b/>
                <w:sz w:val="18"/>
                <w:szCs w:val="18"/>
                <w:lang w:eastAsia="de-DE"/>
              </w:rPr>
            </w:pPr>
            <w:r w:rsidRPr="00722A47">
              <w:rPr>
                <w:rFonts w:eastAsia="Times New Roman"/>
                <w:b/>
                <w:sz w:val="18"/>
                <w:szCs w:val="18"/>
                <w:lang w:eastAsia="de-DE"/>
              </w:rPr>
              <w:t>Cadmium</w:t>
            </w:r>
          </w:p>
        </w:tc>
        <w:tc>
          <w:tcPr>
            <w:tcW w:w="696" w:type="dxa"/>
          </w:tcPr>
          <w:p w14:paraId="66131657"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µg/l</w:t>
            </w:r>
          </w:p>
        </w:tc>
        <w:tc>
          <w:tcPr>
            <w:tcW w:w="596" w:type="dxa"/>
            <w:vAlign w:val="center"/>
          </w:tcPr>
          <w:p w14:paraId="054CEDE3"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373" w:type="dxa"/>
            <w:vAlign w:val="center"/>
          </w:tcPr>
          <w:p w14:paraId="734ECE9D"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35" w:type="dxa"/>
            <w:gridSpan w:val="2"/>
            <w:vAlign w:val="center"/>
          </w:tcPr>
          <w:p w14:paraId="3159633C"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1" w:type="dxa"/>
            <w:vAlign w:val="center"/>
          </w:tcPr>
          <w:p w14:paraId="4D40B48F"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94" w:type="dxa"/>
            <w:vAlign w:val="center"/>
          </w:tcPr>
          <w:p w14:paraId="465BC1E4"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40" w:type="dxa"/>
            <w:vAlign w:val="center"/>
          </w:tcPr>
          <w:p w14:paraId="492A2FE7"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38" w:type="dxa"/>
            <w:vAlign w:val="center"/>
          </w:tcPr>
          <w:p w14:paraId="727C9638"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72" w:type="dxa"/>
            <w:vAlign w:val="center"/>
          </w:tcPr>
          <w:p w14:paraId="309BD25D"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6" w:type="dxa"/>
            <w:vAlign w:val="center"/>
          </w:tcPr>
          <w:p w14:paraId="64E2028A"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740" w:type="dxa"/>
            <w:vAlign w:val="center"/>
          </w:tcPr>
          <w:p w14:paraId="4D885048"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017CC66F"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2AD52F7F"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4F8BE431" w14:textId="77777777" w:rsidR="00722A47" w:rsidRPr="00722A47" w:rsidRDefault="00722A47" w:rsidP="00722A47">
            <w:pPr>
              <w:spacing w:before="0" w:after="0"/>
              <w:jc w:val="center"/>
              <w:rPr>
                <w:rFonts w:eastAsia="Times New Roman"/>
                <w:strike/>
                <w:sz w:val="18"/>
                <w:szCs w:val="18"/>
                <w:lang w:eastAsia="de-DE"/>
              </w:rPr>
            </w:pPr>
            <w:r w:rsidRPr="00722A47">
              <w:rPr>
                <w:rFonts w:eastAsia="Times New Roman"/>
                <w:sz w:val="18"/>
                <w:szCs w:val="18"/>
                <w:lang w:eastAsia="de-DE"/>
              </w:rPr>
              <w:t>X</w:t>
            </w:r>
          </w:p>
        </w:tc>
      </w:tr>
      <w:tr w:rsidR="00722A47" w:rsidRPr="00722A47" w14:paraId="5A33840A" w14:textId="77777777" w:rsidTr="004954C9">
        <w:trPr>
          <w:cantSplit/>
        </w:trPr>
        <w:tc>
          <w:tcPr>
            <w:tcW w:w="1118" w:type="dxa"/>
          </w:tcPr>
          <w:p w14:paraId="4B370BC4" w14:textId="77777777" w:rsidR="00722A47" w:rsidRPr="00722A47" w:rsidRDefault="00722A47" w:rsidP="00722A47">
            <w:pPr>
              <w:spacing w:before="0" w:after="0"/>
              <w:jc w:val="left"/>
              <w:rPr>
                <w:rFonts w:eastAsia="Times New Roman"/>
                <w:b/>
                <w:sz w:val="18"/>
                <w:szCs w:val="18"/>
                <w:lang w:eastAsia="de-DE"/>
              </w:rPr>
            </w:pPr>
            <w:r w:rsidRPr="00722A47">
              <w:rPr>
                <w:rFonts w:eastAsia="Times New Roman"/>
                <w:b/>
                <w:sz w:val="18"/>
                <w:szCs w:val="18"/>
                <w:lang w:eastAsia="de-DE"/>
              </w:rPr>
              <w:t>Chrom, ges.</w:t>
            </w:r>
          </w:p>
        </w:tc>
        <w:tc>
          <w:tcPr>
            <w:tcW w:w="696" w:type="dxa"/>
          </w:tcPr>
          <w:p w14:paraId="19CB3559"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µg/l</w:t>
            </w:r>
          </w:p>
        </w:tc>
        <w:tc>
          <w:tcPr>
            <w:tcW w:w="596" w:type="dxa"/>
            <w:vAlign w:val="center"/>
          </w:tcPr>
          <w:p w14:paraId="23CA5453"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373" w:type="dxa"/>
            <w:vAlign w:val="center"/>
          </w:tcPr>
          <w:p w14:paraId="2411C873"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35" w:type="dxa"/>
            <w:gridSpan w:val="2"/>
            <w:vAlign w:val="center"/>
          </w:tcPr>
          <w:p w14:paraId="5943A484"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1" w:type="dxa"/>
            <w:vAlign w:val="center"/>
          </w:tcPr>
          <w:p w14:paraId="130B3366"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94" w:type="dxa"/>
            <w:vAlign w:val="center"/>
          </w:tcPr>
          <w:p w14:paraId="2FBF828F"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40" w:type="dxa"/>
            <w:vAlign w:val="center"/>
          </w:tcPr>
          <w:p w14:paraId="61006BC2"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38" w:type="dxa"/>
            <w:vAlign w:val="center"/>
          </w:tcPr>
          <w:p w14:paraId="6832DA13"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72" w:type="dxa"/>
            <w:vAlign w:val="center"/>
          </w:tcPr>
          <w:p w14:paraId="01E4FAA0"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6" w:type="dxa"/>
            <w:vAlign w:val="center"/>
          </w:tcPr>
          <w:p w14:paraId="486F78EF"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740" w:type="dxa"/>
            <w:vAlign w:val="center"/>
          </w:tcPr>
          <w:p w14:paraId="777F3420"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65FFB585"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1DE39FF0"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407B6DE3"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r>
      <w:tr w:rsidR="00722A47" w:rsidRPr="00722A47" w14:paraId="18778411" w14:textId="77777777" w:rsidTr="004954C9">
        <w:trPr>
          <w:cantSplit/>
        </w:trPr>
        <w:tc>
          <w:tcPr>
            <w:tcW w:w="1118" w:type="dxa"/>
          </w:tcPr>
          <w:p w14:paraId="055D6707" w14:textId="77777777" w:rsidR="00722A47" w:rsidRPr="00722A47" w:rsidRDefault="00722A47" w:rsidP="00722A47">
            <w:pPr>
              <w:spacing w:before="0" w:after="0"/>
              <w:jc w:val="left"/>
              <w:rPr>
                <w:rFonts w:eastAsia="Times New Roman"/>
                <w:b/>
                <w:sz w:val="18"/>
                <w:szCs w:val="18"/>
                <w:lang w:eastAsia="de-DE"/>
              </w:rPr>
            </w:pPr>
            <w:r w:rsidRPr="00722A47">
              <w:rPr>
                <w:rFonts w:eastAsia="Times New Roman"/>
                <w:b/>
                <w:sz w:val="18"/>
                <w:szCs w:val="18"/>
                <w:lang w:eastAsia="de-DE"/>
              </w:rPr>
              <w:t>Kupfer</w:t>
            </w:r>
          </w:p>
        </w:tc>
        <w:tc>
          <w:tcPr>
            <w:tcW w:w="696" w:type="dxa"/>
          </w:tcPr>
          <w:p w14:paraId="6B462087"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µg/l</w:t>
            </w:r>
          </w:p>
        </w:tc>
        <w:tc>
          <w:tcPr>
            <w:tcW w:w="596" w:type="dxa"/>
            <w:vAlign w:val="center"/>
          </w:tcPr>
          <w:p w14:paraId="7C5AC297"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373" w:type="dxa"/>
            <w:vAlign w:val="center"/>
          </w:tcPr>
          <w:p w14:paraId="40E81C42"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35" w:type="dxa"/>
            <w:gridSpan w:val="2"/>
            <w:vAlign w:val="center"/>
          </w:tcPr>
          <w:p w14:paraId="2390DE21"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1" w:type="dxa"/>
            <w:vAlign w:val="center"/>
          </w:tcPr>
          <w:p w14:paraId="07A65CC7"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94" w:type="dxa"/>
            <w:vAlign w:val="center"/>
          </w:tcPr>
          <w:p w14:paraId="1441E808"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40" w:type="dxa"/>
            <w:vAlign w:val="center"/>
          </w:tcPr>
          <w:p w14:paraId="3F6F350D"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38" w:type="dxa"/>
            <w:vAlign w:val="center"/>
          </w:tcPr>
          <w:p w14:paraId="28530BC4"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72" w:type="dxa"/>
            <w:vAlign w:val="center"/>
          </w:tcPr>
          <w:p w14:paraId="14F72217"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6" w:type="dxa"/>
            <w:vAlign w:val="center"/>
          </w:tcPr>
          <w:p w14:paraId="67E3958F"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740" w:type="dxa"/>
            <w:vAlign w:val="center"/>
          </w:tcPr>
          <w:p w14:paraId="20ED7A8C"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51832067"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2E7EFD90"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58D2579A"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r>
      <w:tr w:rsidR="00722A47" w:rsidRPr="00722A47" w14:paraId="6F088D95" w14:textId="77777777" w:rsidTr="004954C9">
        <w:trPr>
          <w:cantSplit/>
        </w:trPr>
        <w:tc>
          <w:tcPr>
            <w:tcW w:w="1118" w:type="dxa"/>
          </w:tcPr>
          <w:p w14:paraId="3C1240D7" w14:textId="77777777" w:rsidR="00722A47" w:rsidRPr="00722A47" w:rsidRDefault="00722A47" w:rsidP="00722A47">
            <w:pPr>
              <w:spacing w:before="0" w:after="0"/>
              <w:jc w:val="left"/>
              <w:rPr>
                <w:rFonts w:eastAsia="Times New Roman"/>
                <w:b/>
                <w:sz w:val="18"/>
                <w:szCs w:val="18"/>
                <w:lang w:eastAsia="de-DE"/>
              </w:rPr>
            </w:pPr>
            <w:r w:rsidRPr="00722A47">
              <w:rPr>
                <w:rFonts w:eastAsia="Times New Roman"/>
                <w:b/>
                <w:sz w:val="18"/>
                <w:szCs w:val="18"/>
                <w:lang w:eastAsia="de-DE"/>
              </w:rPr>
              <w:t>Molybdän</w:t>
            </w:r>
          </w:p>
        </w:tc>
        <w:tc>
          <w:tcPr>
            <w:tcW w:w="696" w:type="dxa"/>
          </w:tcPr>
          <w:p w14:paraId="234E4895"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µg/l</w:t>
            </w:r>
          </w:p>
        </w:tc>
        <w:tc>
          <w:tcPr>
            <w:tcW w:w="596" w:type="dxa"/>
            <w:vAlign w:val="center"/>
          </w:tcPr>
          <w:p w14:paraId="0D4332C1"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373" w:type="dxa"/>
            <w:vAlign w:val="center"/>
          </w:tcPr>
          <w:p w14:paraId="65FED98C"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35" w:type="dxa"/>
            <w:gridSpan w:val="2"/>
            <w:vAlign w:val="center"/>
          </w:tcPr>
          <w:p w14:paraId="7CECBBFA"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1" w:type="dxa"/>
            <w:vAlign w:val="center"/>
          </w:tcPr>
          <w:p w14:paraId="20F46A25"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94" w:type="dxa"/>
            <w:vAlign w:val="center"/>
          </w:tcPr>
          <w:p w14:paraId="5B98DEE3"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40" w:type="dxa"/>
            <w:vAlign w:val="center"/>
          </w:tcPr>
          <w:p w14:paraId="12AB9551"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38" w:type="dxa"/>
            <w:vAlign w:val="center"/>
          </w:tcPr>
          <w:p w14:paraId="5B8BF8A6"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72" w:type="dxa"/>
            <w:vAlign w:val="center"/>
          </w:tcPr>
          <w:p w14:paraId="23CEE94C"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6" w:type="dxa"/>
            <w:vAlign w:val="center"/>
          </w:tcPr>
          <w:p w14:paraId="53D8DF27"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740" w:type="dxa"/>
            <w:vAlign w:val="center"/>
          </w:tcPr>
          <w:p w14:paraId="41F5AD24"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09000CFB"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61FEB6EC"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03BC6F5A"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r>
      <w:tr w:rsidR="00722A47" w:rsidRPr="00722A47" w14:paraId="47282588" w14:textId="77777777" w:rsidTr="004954C9">
        <w:trPr>
          <w:cantSplit/>
        </w:trPr>
        <w:tc>
          <w:tcPr>
            <w:tcW w:w="1118" w:type="dxa"/>
          </w:tcPr>
          <w:p w14:paraId="362C8EAE" w14:textId="77777777" w:rsidR="00722A47" w:rsidRPr="00722A47" w:rsidRDefault="00722A47" w:rsidP="00722A47">
            <w:pPr>
              <w:spacing w:before="0" w:after="0"/>
              <w:jc w:val="left"/>
              <w:rPr>
                <w:rFonts w:eastAsia="Times New Roman"/>
                <w:b/>
                <w:sz w:val="18"/>
                <w:szCs w:val="18"/>
                <w:lang w:eastAsia="de-DE"/>
              </w:rPr>
            </w:pPr>
            <w:r w:rsidRPr="00722A47">
              <w:rPr>
                <w:rFonts w:eastAsia="Times New Roman"/>
                <w:b/>
                <w:sz w:val="18"/>
                <w:szCs w:val="18"/>
                <w:lang w:eastAsia="de-DE"/>
              </w:rPr>
              <w:t>Nickel</w:t>
            </w:r>
          </w:p>
        </w:tc>
        <w:tc>
          <w:tcPr>
            <w:tcW w:w="696" w:type="dxa"/>
          </w:tcPr>
          <w:p w14:paraId="666A854C"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µg/l</w:t>
            </w:r>
          </w:p>
        </w:tc>
        <w:tc>
          <w:tcPr>
            <w:tcW w:w="596" w:type="dxa"/>
            <w:vAlign w:val="center"/>
          </w:tcPr>
          <w:p w14:paraId="1F889784"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373" w:type="dxa"/>
            <w:vAlign w:val="center"/>
          </w:tcPr>
          <w:p w14:paraId="562973CD"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35" w:type="dxa"/>
            <w:gridSpan w:val="2"/>
            <w:vAlign w:val="center"/>
          </w:tcPr>
          <w:p w14:paraId="0F4C58F1"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1" w:type="dxa"/>
            <w:vAlign w:val="center"/>
          </w:tcPr>
          <w:p w14:paraId="7EFCC461"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694" w:type="dxa"/>
            <w:vAlign w:val="center"/>
          </w:tcPr>
          <w:p w14:paraId="4206AB3C"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40" w:type="dxa"/>
            <w:vAlign w:val="center"/>
          </w:tcPr>
          <w:p w14:paraId="14E3E927"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38" w:type="dxa"/>
            <w:vAlign w:val="center"/>
          </w:tcPr>
          <w:p w14:paraId="0674342B"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72" w:type="dxa"/>
            <w:vAlign w:val="center"/>
          </w:tcPr>
          <w:p w14:paraId="33021589"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66" w:type="dxa"/>
            <w:vAlign w:val="center"/>
          </w:tcPr>
          <w:p w14:paraId="72010048"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740" w:type="dxa"/>
            <w:vAlign w:val="center"/>
          </w:tcPr>
          <w:p w14:paraId="2B74D05B"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3B69F2D3"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6A95523B"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c>
          <w:tcPr>
            <w:tcW w:w="502" w:type="dxa"/>
            <w:vAlign w:val="center"/>
          </w:tcPr>
          <w:p w14:paraId="7D808981"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r>
      <w:tr w:rsidR="00722A47" w:rsidRPr="00722A47" w14:paraId="1596799C" w14:textId="77777777" w:rsidTr="004954C9">
        <w:trPr>
          <w:cantSplit/>
        </w:trPr>
        <w:tc>
          <w:tcPr>
            <w:tcW w:w="1118" w:type="dxa"/>
          </w:tcPr>
          <w:p w14:paraId="6A349C0F" w14:textId="77777777" w:rsidR="00722A47" w:rsidRPr="00722A47" w:rsidRDefault="00722A47" w:rsidP="00722A47">
            <w:pPr>
              <w:spacing w:before="0" w:after="0"/>
              <w:jc w:val="left"/>
              <w:rPr>
                <w:rFonts w:eastAsia="Times New Roman"/>
                <w:b/>
                <w:sz w:val="18"/>
                <w:szCs w:val="18"/>
                <w:lang w:val="en-GB" w:eastAsia="de-DE"/>
              </w:rPr>
            </w:pPr>
            <w:r w:rsidRPr="00722A47">
              <w:rPr>
                <w:rFonts w:eastAsia="Times New Roman"/>
                <w:b/>
                <w:sz w:val="18"/>
                <w:szCs w:val="18"/>
                <w:lang w:val="en-GB" w:eastAsia="de-DE"/>
              </w:rPr>
              <w:t>Vanadium</w:t>
            </w:r>
          </w:p>
        </w:tc>
        <w:tc>
          <w:tcPr>
            <w:tcW w:w="696" w:type="dxa"/>
          </w:tcPr>
          <w:p w14:paraId="7F53DA7D"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µg/l</w:t>
            </w:r>
          </w:p>
        </w:tc>
        <w:tc>
          <w:tcPr>
            <w:tcW w:w="596" w:type="dxa"/>
            <w:vAlign w:val="center"/>
          </w:tcPr>
          <w:p w14:paraId="4EF1F4F4"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373" w:type="dxa"/>
            <w:vAlign w:val="center"/>
          </w:tcPr>
          <w:p w14:paraId="334F251C"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635" w:type="dxa"/>
            <w:gridSpan w:val="2"/>
            <w:vAlign w:val="center"/>
          </w:tcPr>
          <w:p w14:paraId="7E4F6F4C"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61" w:type="dxa"/>
            <w:vAlign w:val="center"/>
          </w:tcPr>
          <w:p w14:paraId="486DA56E"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694" w:type="dxa"/>
            <w:vAlign w:val="center"/>
          </w:tcPr>
          <w:p w14:paraId="31703950"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40" w:type="dxa"/>
            <w:vAlign w:val="center"/>
          </w:tcPr>
          <w:p w14:paraId="39538F6D"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38" w:type="dxa"/>
            <w:vAlign w:val="center"/>
          </w:tcPr>
          <w:p w14:paraId="55B20883"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72" w:type="dxa"/>
            <w:vAlign w:val="center"/>
          </w:tcPr>
          <w:p w14:paraId="29FD611C" w14:textId="77777777" w:rsidR="00722A47" w:rsidRPr="00722A47" w:rsidRDefault="00722A47" w:rsidP="00722A47">
            <w:pPr>
              <w:spacing w:before="0" w:after="0"/>
              <w:jc w:val="center"/>
              <w:rPr>
                <w:rFonts w:eastAsia="Times New Roman"/>
                <w:sz w:val="18"/>
                <w:szCs w:val="18"/>
                <w:vertAlign w:val="superscript"/>
                <w:lang w:val="en-GB" w:eastAsia="de-DE"/>
              </w:rPr>
            </w:pPr>
            <w:r w:rsidRPr="00722A47">
              <w:rPr>
                <w:rFonts w:eastAsia="Times New Roman"/>
                <w:sz w:val="18"/>
                <w:szCs w:val="18"/>
                <w:lang w:val="en-GB" w:eastAsia="de-DE"/>
              </w:rPr>
              <w:t>X</w:t>
            </w:r>
          </w:p>
        </w:tc>
        <w:tc>
          <w:tcPr>
            <w:tcW w:w="566" w:type="dxa"/>
            <w:vAlign w:val="center"/>
          </w:tcPr>
          <w:p w14:paraId="788328A4"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740" w:type="dxa"/>
            <w:vAlign w:val="center"/>
          </w:tcPr>
          <w:p w14:paraId="5ABB01A1"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02" w:type="dxa"/>
            <w:vAlign w:val="center"/>
          </w:tcPr>
          <w:p w14:paraId="533A669D"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02" w:type="dxa"/>
            <w:vAlign w:val="center"/>
          </w:tcPr>
          <w:p w14:paraId="027F68CF"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02" w:type="dxa"/>
            <w:vAlign w:val="center"/>
          </w:tcPr>
          <w:p w14:paraId="6CE48385"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r>
      <w:tr w:rsidR="00722A47" w:rsidRPr="00722A47" w14:paraId="4EDC245E" w14:textId="77777777" w:rsidTr="004954C9">
        <w:trPr>
          <w:cantSplit/>
        </w:trPr>
        <w:tc>
          <w:tcPr>
            <w:tcW w:w="1118" w:type="dxa"/>
          </w:tcPr>
          <w:p w14:paraId="48C41CA1" w14:textId="77777777" w:rsidR="00722A47" w:rsidRPr="00722A47" w:rsidRDefault="00722A47" w:rsidP="00722A47">
            <w:pPr>
              <w:spacing w:before="0" w:after="0"/>
              <w:jc w:val="left"/>
              <w:rPr>
                <w:rFonts w:eastAsia="Times New Roman"/>
                <w:b/>
                <w:sz w:val="18"/>
                <w:szCs w:val="18"/>
                <w:lang w:val="en-GB" w:eastAsia="de-DE"/>
              </w:rPr>
            </w:pPr>
            <w:r w:rsidRPr="00722A47">
              <w:rPr>
                <w:rFonts w:eastAsia="Times New Roman"/>
                <w:b/>
                <w:sz w:val="18"/>
                <w:szCs w:val="18"/>
                <w:lang w:val="en-GB" w:eastAsia="de-DE"/>
              </w:rPr>
              <w:t>Zink</w:t>
            </w:r>
          </w:p>
        </w:tc>
        <w:tc>
          <w:tcPr>
            <w:tcW w:w="696" w:type="dxa"/>
          </w:tcPr>
          <w:p w14:paraId="268B26DB"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µg/l</w:t>
            </w:r>
          </w:p>
        </w:tc>
        <w:tc>
          <w:tcPr>
            <w:tcW w:w="596" w:type="dxa"/>
            <w:vAlign w:val="center"/>
          </w:tcPr>
          <w:p w14:paraId="435E5548"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373" w:type="dxa"/>
            <w:vAlign w:val="center"/>
          </w:tcPr>
          <w:p w14:paraId="14FA8E11"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635" w:type="dxa"/>
            <w:gridSpan w:val="2"/>
            <w:vAlign w:val="center"/>
          </w:tcPr>
          <w:p w14:paraId="6B28CCA8"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61" w:type="dxa"/>
            <w:vAlign w:val="center"/>
          </w:tcPr>
          <w:p w14:paraId="174048DD"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694" w:type="dxa"/>
            <w:vAlign w:val="center"/>
          </w:tcPr>
          <w:p w14:paraId="1837F545"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40" w:type="dxa"/>
            <w:vAlign w:val="center"/>
          </w:tcPr>
          <w:p w14:paraId="35C90746"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38" w:type="dxa"/>
            <w:vAlign w:val="center"/>
          </w:tcPr>
          <w:p w14:paraId="7C28CC89"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72" w:type="dxa"/>
            <w:vAlign w:val="center"/>
          </w:tcPr>
          <w:p w14:paraId="443BA83E"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66" w:type="dxa"/>
            <w:vAlign w:val="center"/>
          </w:tcPr>
          <w:p w14:paraId="3FB231C2"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740" w:type="dxa"/>
            <w:vAlign w:val="center"/>
          </w:tcPr>
          <w:p w14:paraId="322BB426"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02" w:type="dxa"/>
            <w:vAlign w:val="center"/>
          </w:tcPr>
          <w:p w14:paraId="51AAD305"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02" w:type="dxa"/>
            <w:vAlign w:val="center"/>
          </w:tcPr>
          <w:p w14:paraId="216E5005" w14:textId="77777777" w:rsidR="00722A47" w:rsidRPr="00722A47" w:rsidRDefault="00722A47" w:rsidP="00722A47">
            <w:pPr>
              <w:spacing w:before="0" w:after="0"/>
              <w:jc w:val="center"/>
              <w:rPr>
                <w:rFonts w:eastAsia="Times New Roman"/>
                <w:sz w:val="18"/>
                <w:szCs w:val="18"/>
                <w:lang w:val="en-GB" w:eastAsia="de-DE"/>
              </w:rPr>
            </w:pPr>
            <w:r w:rsidRPr="00722A47">
              <w:rPr>
                <w:rFonts w:eastAsia="Times New Roman"/>
                <w:sz w:val="18"/>
                <w:szCs w:val="18"/>
                <w:lang w:val="en-GB" w:eastAsia="de-DE"/>
              </w:rPr>
              <w:t>X</w:t>
            </w:r>
          </w:p>
        </w:tc>
        <w:tc>
          <w:tcPr>
            <w:tcW w:w="502" w:type="dxa"/>
            <w:vAlign w:val="center"/>
          </w:tcPr>
          <w:p w14:paraId="20008432" w14:textId="77777777" w:rsidR="00722A47" w:rsidRPr="00722A47" w:rsidRDefault="00722A47" w:rsidP="00722A47">
            <w:pPr>
              <w:spacing w:before="0" w:after="0"/>
              <w:jc w:val="center"/>
              <w:rPr>
                <w:rFonts w:eastAsia="Times New Roman"/>
                <w:strike/>
                <w:sz w:val="18"/>
                <w:szCs w:val="18"/>
                <w:highlight w:val="yellow"/>
                <w:lang w:val="en-GB" w:eastAsia="de-DE"/>
              </w:rPr>
            </w:pPr>
            <w:r w:rsidRPr="00722A47">
              <w:rPr>
                <w:rFonts w:eastAsia="Times New Roman"/>
                <w:sz w:val="18"/>
                <w:szCs w:val="18"/>
                <w:lang w:val="en-GB" w:eastAsia="de-DE"/>
              </w:rPr>
              <w:t>X</w:t>
            </w:r>
          </w:p>
        </w:tc>
      </w:tr>
      <w:tr w:rsidR="00722A47" w:rsidRPr="00722A47" w14:paraId="7272E0A1" w14:textId="77777777" w:rsidTr="004954C9">
        <w:trPr>
          <w:cantSplit/>
        </w:trPr>
        <w:tc>
          <w:tcPr>
            <w:tcW w:w="1118" w:type="dxa"/>
          </w:tcPr>
          <w:p w14:paraId="6E6BF872" w14:textId="77777777" w:rsidR="00722A47" w:rsidRPr="00722A47" w:rsidRDefault="00722A47" w:rsidP="00722A47">
            <w:pPr>
              <w:spacing w:before="0" w:after="0"/>
              <w:jc w:val="left"/>
              <w:rPr>
                <w:rFonts w:eastAsia="Times New Roman"/>
                <w:b/>
                <w:sz w:val="18"/>
                <w:szCs w:val="18"/>
                <w:lang w:val="it-IT" w:eastAsia="de-DE"/>
              </w:rPr>
            </w:pPr>
            <w:proofErr w:type="spellStart"/>
            <w:r w:rsidRPr="00722A47">
              <w:rPr>
                <w:rFonts w:eastAsia="Times New Roman"/>
                <w:b/>
                <w:sz w:val="18"/>
                <w:szCs w:val="18"/>
                <w:lang w:val="it-IT" w:eastAsia="de-DE"/>
              </w:rPr>
              <w:t>Atrazin</w:t>
            </w:r>
            <w:proofErr w:type="spellEnd"/>
          </w:p>
        </w:tc>
        <w:tc>
          <w:tcPr>
            <w:tcW w:w="696" w:type="dxa"/>
          </w:tcPr>
          <w:p w14:paraId="3F272680" w14:textId="77777777" w:rsidR="00722A47" w:rsidRPr="00722A47" w:rsidRDefault="00722A47" w:rsidP="00722A47">
            <w:pPr>
              <w:spacing w:before="0" w:after="0"/>
              <w:jc w:val="center"/>
              <w:rPr>
                <w:rFonts w:eastAsia="Times New Roman"/>
                <w:sz w:val="18"/>
                <w:szCs w:val="18"/>
                <w:lang w:val="it-IT" w:eastAsia="de-DE"/>
              </w:rPr>
            </w:pPr>
            <w:r w:rsidRPr="00722A47">
              <w:rPr>
                <w:rFonts w:eastAsia="Times New Roman"/>
                <w:sz w:val="18"/>
                <w:szCs w:val="18"/>
                <w:lang w:val="it-IT" w:eastAsia="de-DE"/>
              </w:rPr>
              <w:t>µg/l</w:t>
            </w:r>
          </w:p>
        </w:tc>
        <w:tc>
          <w:tcPr>
            <w:tcW w:w="596" w:type="dxa"/>
            <w:vAlign w:val="center"/>
          </w:tcPr>
          <w:p w14:paraId="5BFCC45B" w14:textId="77777777" w:rsidR="00722A47" w:rsidRPr="00722A47" w:rsidRDefault="00722A47" w:rsidP="00722A47">
            <w:pPr>
              <w:spacing w:before="0" w:after="0"/>
              <w:jc w:val="center"/>
              <w:rPr>
                <w:rFonts w:eastAsia="Times New Roman"/>
                <w:sz w:val="18"/>
                <w:szCs w:val="18"/>
                <w:lang w:val="it-IT" w:eastAsia="de-DE"/>
              </w:rPr>
            </w:pPr>
          </w:p>
        </w:tc>
        <w:tc>
          <w:tcPr>
            <w:tcW w:w="373" w:type="dxa"/>
            <w:vAlign w:val="center"/>
          </w:tcPr>
          <w:p w14:paraId="0B05B852" w14:textId="77777777" w:rsidR="00722A47" w:rsidRPr="00722A47" w:rsidRDefault="00722A47" w:rsidP="00722A47">
            <w:pPr>
              <w:spacing w:before="0" w:after="0"/>
              <w:jc w:val="center"/>
              <w:rPr>
                <w:rFonts w:eastAsia="Times New Roman"/>
                <w:sz w:val="18"/>
                <w:szCs w:val="18"/>
                <w:lang w:val="it-IT" w:eastAsia="de-DE"/>
              </w:rPr>
            </w:pPr>
          </w:p>
        </w:tc>
        <w:tc>
          <w:tcPr>
            <w:tcW w:w="635" w:type="dxa"/>
            <w:gridSpan w:val="2"/>
            <w:vAlign w:val="center"/>
          </w:tcPr>
          <w:p w14:paraId="757CCC6C" w14:textId="77777777" w:rsidR="00722A47" w:rsidRPr="00722A47" w:rsidRDefault="00722A47" w:rsidP="00722A47">
            <w:pPr>
              <w:spacing w:before="0" w:after="0"/>
              <w:jc w:val="center"/>
              <w:rPr>
                <w:rFonts w:eastAsia="Times New Roman"/>
                <w:sz w:val="18"/>
                <w:szCs w:val="18"/>
                <w:lang w:val="it-IT" w:eastAsia="de-DE"/>
              </w:rPr>
            </w:pPr>
          </w:p>
        </w:tc>
        <w:tc>
          <w:tcPr>
            <w:tcW w:w="561" w:type="dxa"/>
            <w:vAlign w:val="center"/>
          </w:tcPr>
          <w:p w14:paraId="4FBB32A3" w14:textId="77777777" w:rsidR="00722A47" w:rsidRPr="00722A47" w:rsidRDefault="00722A47" w:rsidP="00722A47">
            <w:pPr>
              <w:spacing w:before="0" w:after="0"/>
              <w:jc w:val="center"/>
              <w:rPr>
                <w:rFonts w:eastAsia="Times New Roman"/>
                <w:sz w:val="18"/>
                <w:szCs w:val="18"/>
                <w:lang w:val="it-IT" w:eastAsia="de-DE"/>
              </w:rPr>
            </w:pPr>
          </w:p>
        </w:tc>
        <w:tc>
          <w:tcPr>
            <w:tcW w:w="694" w:type="dxa"/>
            <w:vAlign w:val="center"/>
          </w:tcPr>
          <w:p w14:paraId="5B92642A" w14:textId="77777777" w:rsidR="00722A47" w:rsidRPr="00722A47" w:rsidRDefault="00722A47" w:rsidP="00722A47">
            <w:pPr>
              <w:spacing w:before="0" w:after="0"/>
              <w:jc w:val="center"/>
              <w:rPr>
                <w:rFonts w:eastAsia="Times New Roman"/>
                <w:sz w:val="18"/>
                <w:szCs w:val="18"/>
                <w:lang w:val="it-IT" w:eastAsia="de-DE"/>
              </w:rPr>
            </w:pPr>
          </w:p>
        </w:tc>
        <w:tc>
          <w:tcPr>
            <w:tcW w:w="540" w:type="dxa"/>
            <w:vAlign w:val="center"/>
          </w:tcPr>
          <w:p w14:paraId="1A198E01" w14:textId="77777777" w:rsidR="00722A47" w:rsidRPr="00722A47" w:rsidRDefault="00722A47" w:rsidP="00722A47">
            <w:pPr>
              <w:spacing w:before="0" w:after="0"/>
              <w:jc w:val="center"/>
              <w:rPr>
                <w:rFonts w:eastAsia="Times New Roman"/>
                <w:sz w:val="18"/>
                <w:szCs w:val="18"/>
                <w:lang w:val="it-IT" w:eastAsia="de-DE"/>
              </w:rPr>
            </w:pPr>
          </w:p>
        </w:tc>
        <w:tc>
          <w:tcPr>
            <w:tcW w:w="538" w:type="dxa"/>
            <w:vAlign w:val="center"/>
          </w:tcPr>
          <w:p w14:paraId="616981AC" w14:textId="77777777" w:rsidR="00722A47" w:rsidRPr="00722A47" w:rsidRDefault="00722A47" w:rsidP="00722A47">
            <w:pPr>
              <w:spacing w:before="0" w:after="0"/>
              <w:jc w:val="center"/>
              <w:rPr>
                <w:rFonts w:eastAsia="Times New Roman"/>
                <w:sz w:val="18"/>
                <w:szCs w:val="18"/>
                <w:lang w:val="it-IT" w:eastAsia="de-DE"/>
              </w:rPr>
            </w:pPr>
          </w:p>
        </w:tc>
        <w:tc>
          <w:tcPr>
            <w:tcW w:w="572" w:type="dxa"/>
            <w:vAlign w:val="center"/>
          </w:tcPr>
          <w:p w14:paraId="27A07E00" w14:textId="77777777" w:rsidR="00722A47" w:rsidRPr="00722A47" w:rsidRDefault="00722A47" w:rsidP="00722A47">
            <w:pPr>
              <w:spacing w:before="0" w:after="0"/>
              <w:jc w:val="center"/>
              <w:rPr>
                <w:rFonts w:eastAsia="Times New Roman"/>
                <w:sz w:val="18"/>
                <w:szCs w:val="18"/>
                <w:lang w:val="it-IT" w:eastAsia="de-DE"/>
              </w:rPr>
            </w:pPr>
          </w:p>
        </w:tc>
        <w:tc>
          <w:tcPr>
            <w:tcW w:w="566" w:type="dxa"/>
            <w:vAlign w:val="center"/>
          </w:tcPr>
          <w:p w14:paraId="530E89A9" w14:textId="77777777" w:rsidR="00722A47" w:rsidRPr="00722A47" w:rsidRDefault="00722A47" w:rsidP="00722A47">
            <w:pPr>
              <w:spacing w:before="0" w:after="0"/>
              <w:jc w:val="center"/>
              <w:rPr>
                <w:rFonts w:eastAsia="Times New Roman"/>
                <w:sz w:val="18"/>
                <w:szCs w:val="18"/>
                <w:lang w:val="it-IT" w:eastAsia="de-DE"/>
              </w:rPr>
            </w:pPr>
          </w:p>
        </w:tc>
        <w:tc>
          <w:tcPr>
            <w:tcW w:w="740" w:type="dxa"/>
            <w:vAlign w:val="center"/>
          </w:tcPr>
          <w:p w14:paraId="6FC3F30E" w14:textId="77777777" w:rsidR="00722A47" w:rsidRPr="00722A47" w:rsidRDefault="00722A47" w:rsidP="00722A47">
            <w:pPr>
              <w:spacing w:before="0" w:after="0"/>
              <w:jc w:val="center"/>
              <w:rPr>
                <w:rFonts w:eastAsia="Times New Roman"/>
                <w:sz w:val="18"/>
                <w:szCs w:val="18"/>
                <w:lang w:val="it-IT" w:eastAsia="de-DE"/>
              </w:rPr>
            </w:pPr>
          </w:p>
        </w:tc>
        <w:tc>
          <w:tcPr>
            <w:tcW w:w="502" w:type="dxa"/>
            <w:vAlign w:val="center"/>
          </w:tcPr>
          <w:p w14:paraId="4B50580C" w14:textId="77777777" w:rsidR="00722A47" w:rsidRPr="00722A47" w:rsidRDefault="00722A47" w:rsidP="00722A47">
            <w:pPr>
              <w:spacing w:before="0" w:after="0"/>
              <w:jc w:val="center"/>
              <w:rPr>
                <w:rFonts w:eastAsia="Times New Roman"/>
                <w:sz w:val="18"/>
                <w:szCs w:val="18"/>
                <w:lang w:val="it-IT" w:eastAsia="de-DE"/>
              </w:rPr>
            </w:pPr>
          </w:p>
        </w:tc>
        <w:tc>
          <w:tcPr>
            <w:tcW w:w="502" w:type="dxa"/>
            <w:vAlign w:val="center"/>
          </w:tcPr>
          <w:p w14:paraId="644E96DB" w14:textId="77777777" w:rsidR="00722A47" w:rsidRPr="00722A47" w:rsidRDefault="00722A47" w:rsidP="00722A47">
            <w:pPr>
              <w:spacing w:before="0" w:after="0"/>
              <w:jc w:val="center"/>
              <w:rPr>
                <w:rFonts w:eastAsia="Times New Roman"/>
                <w:sz w:val="18"/>
                <w:szCs w:val="18"/>
                <w:lang w:val="it-IT" w:eastAsia="de-DE"/>
              </w:rPr>
            </w:pPr>
          </w:p>
        </w:tc>
        <w:tc>
          <w:tcPr>
            <w:tcW w:w="502" w:type="dxa"/>
            <w:vAlign w:val="center"/>
          </w:tcPr>
          <w:p w14:paraId="35FE28E0" w14:textId="77777777" w:rsidR="00722A47" w:rsidRPr="00722A47" w:rsidRDefault="00722A47" w:rsidP="00722A47">
            <w:pPr>
              <w:spacing w:before="0" w:after="0"/>
              <w:jc w:val="center"/>
              <w:rPr>
                <w:rFonts w:eastAsia="Times New Roman"/>
                <w:sz w:val="18"/>
                <w:szCs w:val="18"/>
                <w:lang w:val="it-IT" w:eastAsia="de-DE"/>
              </w:rPr>
            </w:pPr>
            <w:r w:rsidRPr="00722A47">
              <w:rPr>
                <w:rFonts w:eastAsia="Times New Roman"/>
                <w:sz w:val="18"/>
                <w:szCs w:val="18"/>
                <w:lang w:val="it-IT" w:eastAsia="de-DE"/>
              </w:rPr>
              <w:t>X</w:t>
            </w:r>
          </w:p>
        </w:tc>
      </w:tr>
      <w:tr w:rsidR="00722A47" w:rsidRPr="00722A47" w14:paraId="26F53369" w14:textId="77777777" w:rsidTr="004954C9">
        <w:trPr>
          <w:cantSplit/>
        </w:trPr>
        <w:tc>
          <w:tcPr>
            <w:tcW w:w="1118" w:type="dxa"/>
          </w:tcPr>
          <w:p w14:paraId="3C2076BA" w14:textId="77777777" w:rsidR="00722A47" w:rsidRPr="00722A47" w:rsidRDefault="00722A47" w:rsidP="00722A47">
            <w:pPr>
              <w:spacing w:before="0" w:after="0"/>
              <w:jc w:val="left"/>
              <w:rPr>
                <w:rFonts w:eastAsia="Times New Roman"/>
                <w:b/>
                <w:sz w:val="18"/>
                <w:szCs w:val="18"/>
                <w:lang w:val="it-IT" w:eastAsia="de-DE"/>
              </w:rPr>
            </w:pPr>
            <w:proofErr w:type="spellStart"/>
            <w:r w:rsidRPr="00722A47">
              <w:rPr>
                <w:rFonts w:eastAsia="Times New Roman"/>
                <w:b/>
                <w:sz w:val="18"/>
                <w:szCs w:val="18"/>
                <w:lang w:val="it-IT" w:eastAsia="de-DE"/>
              </w:rPr>
              <w:t>Bromacil</w:t>
            </w:r>
            <w:proofErr w:type="spellEnd"/>
          </w:p>
        </w:tc>
        <w:tc>
          <w:tcPr>
            <w:tcW w:w="696" w:type="dxa"/>
          </w:tcPr>
          <w:p w14:paraId="44778953" w14:textId="77777777" w:rsidR="00722A47" w:rsidRPr="00722A47" w:rsidRDefault="00722A47" w:rsidP="00722A47">
            <w:pPr>
              <w:spacing w:before="0" w:after="0"/>
              <w:jc w:val="center"/>
              <w:rPr>
                <w:rFonts w:eastAsia="Times New Roman"/>
                <w:sz w:val="18"/>
                <w:szCs w:val="18"/>
                <w:lang w:val="it-IT" w:eastAsia="de-DE"/>
              </w:rPr>
            </w:pPr>
            <w:r w:rsidRPr="00722A47">
              <w:rPr>
                <w:rFonts w:eastAsia="Times New Roman"/>
                <w:sz w:val="18"/>
                <w:szCs w:val="18"/>
                <w:lang w:eastAsia="de-DE"/>
              </w:rPr>
              <w:t>µg/l</w:t>
            </w:r>
          </w:p>
        </w:tc>
        <w:tc>
          <w:tcPr>
            <w:tcW w:w="596" w:type="dxa"/>
            <w:vAlign w:val="center"/>
          </w:tcPr>
          <w:p w14:paraId="38DC0121" w14:textId="77777777" w:rsidR="00722A47" w:rsidRPr="00722A47" w:rsidRDefault="00722A47" w:rsidP="00722A47">
            <w:pPr>
              <w:spacing w:before="0" w:after="0"/>
              <w:jc w:val="center"/>
              <w:rPr>
                <w:rFonts w:eastAsia="Times New Roman"/>
                <w:sz w:val="18"/>
                <w:szCs w:val="18"/>
                <w:lang w:val="it-IT" w:eastAsia="de-DE"/>
              </w:rPr>
            </w:pPr>
          </w:p>
        </w:tc>
        <w:tc>
          <w:tcPr>
            <w:tcW w:w="373" w:type="dxa"/>
            <w:vAlign w:val="center"/>
          </w:tcPr>
          <w:p w14:paraId="6B242FDE" w14:textId="77777777" w:rsidR="00722A47" w:rsidRPr="00722A47" w:rsidRDefault="00722A47" w:rsidP="00722A47">
            <w:pPr>
              <w:spacing w:before="0" w:after="0"/>
              <w:jc w:val="center"/>
              <w:rPr>
                <w:rFonts w:eastAsia="Times New Roman"/>
                <w:sz w:val="18"/>
                <w:szCs w:val="18"/>
                <w:lang w:val="it-IT" w:eastAsia="de-DE"/>
              </w:rPr>
            </w:pPr>
          </w:p>
        </w:tc>
        <w:tc>
          <w:tcPr>
            <w:tcW w:w="635" w:type="dxa"/>
            <w:gridSpan w:val="2"/>
            <w:vAlign w:val="center"/>
          </w:tcPr>
          <w:p w14:paraId="664D5287" w14:textId="77777777" w:rsidR="00722A47" w:rsidRPr="00722A47" w:rsidRDefault="00722A47" w:rsidP="00722A47">
            <w:pPr>
              <w:spacing w:before="0" w:after="0"/>
              <w:jc w:val="center"/>
              <w:rPr>
                <w:rFonts w:eastAsia="Times New Roman"/>
                <w:sz w:val="18"/>
                <w:szCs w:val="18"/>
                <w:lang w:val="it-IT" w:eastAsia="de-DE"/>
              </w:rPr>
            </w:pPr>
          </w:p>
        </w:tc>
        <w:tc>
          <w:tcPr>
            <w:tcW w:w="561" w:type="dxa"/>
            <w:vAlign w:val="center"/>
          </w:tcPr>
          <w:p w14:paraId="3F64010D" w14:textId="77777777" w:rsidR="00722A47" w:rsidRPr="00722A47" w:rsidRDefault="00722A47" w:rsidP="00722A47">
            <w:pPr>
              <w:spacing w:before="0" w:after="0"/>
              <w:jc w:val="center"/>
              <w:rPr>
                <w:rFonts w:eastAsia="Times New Roman"/>
                <w:sz w:val="18"/>
                <w:szCs w:val="18"/>
                <w:lang w:val="it-IT" w:eastAsia="de-DE"/>
              </w:rPr>
            </w:pPr>
          </w:p>
        </w:tc>
        <w:tc>
          <w:tcPr>
            <w:tcW w:w="694" w:type="dxa"/>
            <w:vAlign w:val="center"/>
          </w:tcPr>
          <w:p w14:paraId="7A891ACC" w14:textId="77777777" w:rsidR="00722A47" w:rsidRPr="00722A47" w:rsidRDefault="00722A47" w:rsidP="00722A47">
            <w:pPr>
              <w:spacing w:before="0" w:after="0"/>
              <w:jc w:val="center"/>
              <w:rPr>
                <w:rFonts w:eastAsia="Times New Roman"/>
                <w:sz w:val="18"/>
                <w:szCs w:val="18"/>
                <w:lang w:val="it-IT" w:eastAsia="de-DE"/>
              </w:rPr>
            </w:pPr>
          </w:p>
        </w:tc>
        <w:tc>
          <w:tcPr>
            <w:tcW w:w="540" w:type="dxa"/>
            <w:vAlign w:val="center"/>
          </w:tcPr>
          <w:p w14:paraId="78D60475" w14:textId="77777777" w:rsidR="00722A47" w:rsidRPr="00722A47" w:rsidRDefault="00722A47" w:rsidP="00722A47">
            <w:pPr>
              <w:spacing w:before="0" w:after="0"/>
              <w:jc w:val="center"/>
              <w:rPr>
                <w:rFonts w:eastAsia="Times New Roman"/>
                <w:sz w:val="18"/>
                <w:szCs w:val="18"/>
                <w:lang w:val="it-IT" w:eastAsia="de-DE"/>
              </w:rPr>
            </w:pPr>
          </w:p>
        </w:tc>
        <w:tc>
          <w:tcPr>
            <w:tcW w:w="538" w:type="dxa"/>
            <w:vAlign w:val="center"/>
          </w:tcPr>
          <w:p w14:paraId="4576028D" w14:textId="77777777" w:rsidR="00722A47" w:rsidRPr="00722A47" w:rsidRDefault="00722A47" w:rsidP="00722A47">
            <w:pPr>
              <w:spacing w:before="0" w:after="0"/>
              <w:jc w:val="center"/>
              <w:rPr>
                <w:rFonts w:eastAsia="Times New Roman"/>
                <w:sz w:val="18"/>
                <w:szCs w:val="18"/>
                <w:lang w:val="it-IT" w:eastAsia="de-DE"/>
              </w:rPr>
            </w:pPr>
          </w:p>
        </w:tc>
        <w:tc>
          <w:tcPr>
            <w:tcW w:w="572" w:type="dxa"/>
            <w:vAlign w:val="center"/>
          </w:tcPr>
          <w:p w14:paraId="5B4CB369" w14:textId="77777777" w:rsidR="00722A47" w:rsidRPr="00722A47" w:rsidRDefault="00722A47" w:rsidP="00722A47">
            <w:pPr>
              <w:spacing w:before="0" w:after="0"/>
              <w:jc w:val="center"/>
              <w:rPr>
                <w:rFonts w:eastAsia="Times New Roman"/>
                <w:sz w:val="18"/>
                <w:szCs w:val="18"/>
                <w:lang w:val="it-IT" w:eastAsia="de-DE"/>
              </w:rPr>
            </w:pPr>
          </w:p>
        </w:tc>
        <w:tc>
          <w:tcPr>
            <w:tcW w:w="566" w:type="dxa"/>
            <w:vAlign w:val="center"/>
          </w:tcPr>
          <w:p w14:paraId="288BBB55" w14:textId="77777777" w:rsidR="00722A47" w:rsidRPr="00722A47" w:rsidRDefault="00722A47" w:rsidP="00722A47">
            <w:pPr>
              <w:spacing w:before="0" w:after="0"/>
              <w:jc w:val="center"/>
              <w:rPr>
                <w:rFonts w:eastAsia="Times New Roman"/>
                <w:sz w:val="18"/>
                <w:szCs w:val="18"/>
                <w:lang w:val="it-IT" w:eastAsia="de-DE"/>
              </w:rPr>
            </w:pPr>
          </w:p>
        </w:tc>
        <w:tc>
          <w:tcPr>
            <w:tcW w:w="740" w:type="dxa"/>
            <w:vAlign w:val="center"/>
          </w:tcPr>
          <w:p w14:paraId="139E6CD8" w14:textId="77777777" w:rsidR="00722A47" w:rsidRPr="00722A47" w:rsidRDefault="00722A47" w:rsidP="00722A47">
            <w:pPr>
              <w:spacing w:before="0" w:after="0"/>
              <w:jc w:val="center"/>
              <w:rPr>
                <w:rFonts w:eastAsia="Times New Roman"/>
                <w:sz w:val="18"/>
                <w:szCs w:val="18"/>
                <w:lang w:val="it-IT" w:eastAsia="de-DE"/>
              </w:rPr>
            </w:pPr>
          </w:p>
        </w:tc>
        <w:tc>
          <w:tcPr>
            <w:tcW w:w="502" w:type="dxa"/>
            <w:vAlign w:val="center"/>
          </w:tcPr>
          <w:p w14:paraId="3FC26074" w14:textId="77777777" w:rsidR="00722A47" w:rsidRPr="00722A47" w:rsidRDefault="00722A47" w:rsidP="00722A47">
            <w:pPr>
              <w:spacing w:before="0" w:after="0"/>
              <w:jc w:val="center"/>
              <w:rPr>
                <w:rFonts w:eastAsia="Times New Roman"/>
                <w:sz w:val="18"/>
                <w:szCs w:val="18"/>
                <w:lang w:val="it-IT" w:eastAsia="de-DE"/>
              </w:rPr>
            </w:pPr>
          </w:p>
        </w:tc>
        <w:tc>
          <w:tcPr>
            <w:tcW w:w="502" w:type="dxa"/>
            <w:vAlign w:val="center"/>
          </w:tcPr>
          <w:p w14:paraId="1EFB0EA5" w14:textId="77777777" w:rsidR="00722A47" w:rsidRPr="00722A47" w:rsidRDefault="00722A47" w:rsidP="00722A47">
            <w:pPr>
              <w:spacing w:before="0" w:after="0"/>
              <w:jc w:val="center"/>
              <w:rPr>
                <w:rFonts w:eastAsia="Times New Roman"/>
                <w:sz w:val="18"/>
                <w:szCs w:val="18"/>
                <w:lang w:val="it-IT" w:eastAsia="de-DE"/>
              </w:rPr>
            </w:pPr>
          </w:p>
        </w:tc>
        <w:tc>
          <w:tcPr>
            <w:tcW w:w="502" w:type="dxa"/>
            <w:vAlign w:val="center"/>
          </w:tcPr>
          <w:p w14:paraId="206D94E1" w14:textId="77777777" w:rsidR="00722A47" w:rsidRPr="00722A47" w:rsidRDefault="00722A47" w:rsidP="00722A47">
            <w:pPr>
              <w:spacing w:before="0" w:after="0"/>
              <w:jc w:val="center"/>
              <w:rPr>
                <w:rFonts w:eastAsia="Times New Roman"/>
                <w:sz w:val="18"/>
                <w:szCs w:val="18"/>
                <w:lang w:val="it-IT" w:eastAsia="de-DE"/>
              </w:rPr>
            </w:pPr>
            <w:r w:rsidRPr="00722A47">
              <w:rPr>
                <w:rFonts w:eastAsia="Times New Roman"/>
                <w:sz w:val="18"/>
                <w:szCs w:val="18"/>
                <w:lang w:val="it-IT" w:eastAsia="de-DE"/>
              </w:rPr>
              <w:t>X</w:t>
            </w:r>
          </w:p>
        </w:tc>
      </w:tr>
      <w:tr w:rsidR="00722A47" w:rsidRPr="00722A47" w14:paraId="56CDADD6" w14:textId="77777777" w:rsidTr="004954C9">
        <w:trPr>
          <w:cantSplit/>
        </w:trPr>
        <w:tc>
          <w:tcPr>
            <w:tcW w:w="1118" w:type="dxa"/>
          </w:tcPr>
          <w:p w14:paraId="27C21B69" w14:textId="77777777" w:rsidR="00722A47" w:rsidRPr="00722A47" w:rsidRDefault="00722A47" w:rsidP="00722A47">
            <w:pPr>
              <w:spacing w:before="0" w:after="0"/>
              <w:jc w:val="left"/>
              <w:rPr>
                <w:rFonts w:eastAsia="Times New Roman"/>
                <w:b/>
                <w:sz w:val="18"/>
                <w:szCs w:val="18"/>
                <w:lang w:val="it-IT" w:eastAsia="de-DE"/>
              </w:rPr>
            </w:pPr>
            <w:proofErr w:type="spellStart"/>
            <w:r w:rsidRPr="00722A47">
              <w:rPr>
                <w:rFonts w:eastAsia="Times New Roman"/>
                <w:b/>
                <w:sz w:val="18"/>
                <w:szCs w:val="18"/>
                <w:lang w:val="it-IT" w:eastAsia="de-DE"/>
              </w:rPr>
              <w:t>Diuron</w:t>
            </w:r>
            <w:proofErr w:type="spellEnd"/>
          </w:p>
        </w:tc>
        <w:tc>
          <w:tcPr>
            <w:tcW w:w="696" w:type="dxa"/>
          </w:tcPr>
          <w:p w14:paraId="5CA263EF" w14:textId="77777777" w:rsidR="00722A47" w:rsidRPr="00722A47" w:rsidRDefault="00722A47" w:rsidP="00722A47">
            <w:pPr>
              <w:spacing w:before="0" w:after="0"/>
              <w:jc w:val="center"/>
              <w:rPr>
                <w:rFonts w:eastAsia="Times New Roman"/>
                <w:sz w:val="18"/>
                <w:szCs w:val="18"/>
                <w:lang w:val="it-IT" w:eastAsia="de-DE"/>
              </w:rPr>
            </w:pPr>
            <w:r w:rsidRPr="00722A47">
              <w:rPr>
                <w:rFonts w:eastAsia="Times New Roman"/>
                <w:sz w:val="18"/>
                <w:szCs w:val="18"/>
                <w:lang w:eastAsia="de-DE"/>
              </w:rPr>
              <w:t>µg/l</w:t>
            </w:r>
          </w:p>
        </w:tc>
        <w:tc>
          <w:tcPr>
            <w:tcW w:w="596" w:type="dxa"/>
            <w:vAlign w:val="center"/>
          </w:tcPr>
          <w:p w14:paraId="5CE0AB07" w14:textId="77777777" w:rsidR="00722A47" w:rsidRPr="00722A47" w:rsidRDefault="00722A47" w:rsidP="00722A47">
            <w:pPr>
              <w:spacing w:before="0" w:after="0"/>
              <w:jc w:val="center"/>
              <w:rPr>
                <w:rFonts w:eastAsia="Times New Roman"/>
                <w:sz w:val="18"/>
                <w:szCs w:val="18"/>
                <w:lang w:val="it-IT" w:eastAsia="de-DE"/>
              </w:rPr>
            </w:pPr>
          </w:p>
        </w:tc>
        <w:tc>
          <w:tcPr>
            <w:tcW w:w="373" w:type="dxa"/>
            <w:vAlign w:val="center"/>
          </w:tcPr>
          <w:p w14:paraId="320E1844" w14:textId="77777777" w:rsidR="00722A47" w:rsidRPr="00722A47" w:rsidRDefault="00722A47" w:rsidP="00722A47">
            <w:pPr>
              <w:spacing w:before="0" w:after="0"/>
              <w:jc w:val="center"/>
              <w:rPr>
                <w:rFonts w:eastAsia="Times New Roman"/>
                <w:sz w:val="18"/>
                <w:szCs w:val="18"/>
                <w:lang w:val="it-IT" w:eastAsia="de-DE"/>
              </w:rPr>
            </w:pPr>
          </w:p>
        </w:tc>
        <w:tc>
          <w:tcPr>
            <w:tcW w:w="635" w:type="dxa"/>
            <w:gridSpan w:val="2"/>
            <w:vAlign w:val="center"/>
          </w:tcPr>
          <w:p w14:paraId="61C5B1AE" w14:textId="77777777" w:rsidR="00722A47" w:rsidRPr="00722A47" w:rsidRDefault="00722A47" w:rsidP="00722A47">
            <w:pPr>
              <w:spacing w:before="0" w:after="0"/>
              <w:jc w:val="center"/>
              <w:rPr>
                <w:rFonts w:eastAsia="Times New Roman"/>
                <w:sz w:val="18"/>
                <w:szCs w:val="18"/>
                <w:lang w:val="it-IT" w:eastAsia="de-DE"/>
              </w:rPr>
            </w:pPr>
          </w:p>
        </w:tc>
        <w:tc>
          <w:tcPr>
            <w:tcW w:w="561" w:type="dxa"/>
            <w:vAlign w:val="center"/>
          </w:tcPr>
          <w:p w14:paraId="783E5D43" w14:textId="77777777" w:rsidR="00722A47" w:rsidRPr="00722A47" w:rsidRDefault="00722A47" w:rsidP="00722A47">
            <w:pPr>
              <w:spacing w:before="0" w:after="0"/>
              <w:jc w:val="center"/>
              <w:rPr>
                <w:rFonts w:eastAsia="Times New Roman"/>
                <w:sz w:val="18"/>
                <w:szCs w:val="18"/>
                <w:lang w:val="it-IT" w:eastAsia="de-DE"/>
              </w:rPr>
            </w:pPr>
          </w:p>
        </w:tc>
        <w:tc>
          <w:tcPr>
            <w:tcW w:w="694" w:type="dxa"/>
            <w:vAlign w:val="center"/>
          </w:tcPr>
          <w:p w14:paraId="0B8CD99D" w14:textId="77777777" w:rsidR="00722A47" w:rsidRPr="00722A47" w:rsidRDefault="00722A47" w:rsidP="00722A47">
            <w:pPr>
              <w:spacing w:before="0" w:after="0"/>
              <w:jc w:val="center"/>
              <w:rPr>
                <w:rFonts w:eastAsia="Times New Roman"/>
                <w:sz w:val="18"/>
                <w:szCs w:val="18"/>
                <w:lang w:val="it-IT" w:eastAsia="de-DE"/>
              </w:rPr>
            </w:pPr>
          </w:p>
        </w:tc>
        <w:tc>
          <w:tcPr>
            <w:tcW w:w="540" w:type="dxa"/>
            <w:vAlign w:val="center"/>
          </w:tcPr>
          <w:p w14:paraId="358522B2" w14:textId="77777777" w:rsidR="00722A47" w:rsidRPr="00722A47" w:rsidRDefault="00722A47" w:rsidP="00722A47">
            <w:pPr>
              <w:spacing w:before="0" w:after="0"/>
              <w:jc w:val="center"/>
              <w:rPr>
                <w:rFonts w:eastAsia="Times New Roman"/>
                <w:sz w:val="18"/>
                <w:szCs w:val="18"/>
                <w:lang w:val="it-IT" w:eastAsia="de-DE"/>
              </w:rPr>
            </w:pPr>
          </w:p>
        </w:tc>
        <w:tc>
          <w:tcPr>
            <w:tcW w:w="538" w:type="dxa"/>
            <w:vAlign w:val="center"/>
          </w:tcPr>
          <w:p w14:paraId="4F90C527" w14:textId="77777777" w:rsidR="00722A47" w:rsidRPr="00722A47" w:rsidRDefault="00722A47" w:rsidP="00722A47">
            <w:pPr>
              <w:spacing w:before="0" w:after="0"/>
              <w:jc w:val="center"/>
              <w:rPr>
                <w:rFonts w:eastAsia="Times New Roman"/>
                <w:sz w:val="18"/>
                <w:szCs w:val="18"/>
                <w:lang w:val="it-IT" w:eastAsia="de-DE"/>
              </w:rPr>
            </w:pPr>
          </w:p>
        </w:tc>
        <w:tc>
          <w:tcPr>
            <w:tcW w:w="572" w:type="dxa"/>
            <w:vAlign w:val="center"/>
          </w:tcPr>
          <w:p w14:paraId="7FE855BC" w14:textId="77777777" w:rsidR="00722A47" w:rsidRPr="00722A47" w:rsidRDefault="00722A47" w:rsidP="00722A47">
            <w:pPr>
              <w:spacing w:before="0" w:after="0"/>
              <w:jc w:val="center"/>
              <w:rPr>
                <w:rFonts w:eastAsia="Times New Roman"/>
                <w:sz w:val="18"/>
                <w:szCs w:val="18"/>
                <w:lang w:val="it-IT" w:eastAsia="de-DE"/>
              </w:rPr>
            </w:pPr>
          </w:p>
        </w:tc>
        <w:tc>
          <w:tcPr>
            <w:tcW w:w="566" w:type="dxa"/>
            <w:vAlign w:val="center"/>
          </w:tcPr>
          <w:p w14:paraId="0F2E1512" w14:textId="77777777" w:rsidR="00722A47" w:rsidRPr="00722A47" w:rsidRDefault="00722A47" w:rsidP="00722A47">
            <w:pPr>
              <w:spacing w:before="0" w:after="0"/>
              <w:jc w:val="center"/>
              <w:rPr>
                <w:rFonts w:eastAsia="Times New Roman"/>
                <w:sz w:val="18"/>
                <w:szCs w:val="18"/>
                <w:lang w:val="it-IT" w:eastAsia="de-DE"/>
              </w:rPr>
            </w:pPr>
          </w:p>
        </w:tc>
        <w:tc>
          <w:tcPr>
            <w:tcW w:w="740" w:type="dxa"/>
            <w:vAlign w:val="center"/>
          </w:tcPr>
          <w:p w14:paraId="75EB0C1B" w14:textId="77777777" w:rsidR="00722A47" w:rsidRPr="00722A47" w:rsidRDefault="00722A47" w:rsidP="00722A47">
            <w:pPr>
              <w:spacing w:before="0" w:after="0"/>
              <w:jc w:val="center"/>
              <w:rPr>
                <w:rFonts w:eastAsia="Times New Roman"/>
                <w:sz w:val="18"/>
                <w:szCs w:val="18"/>
                <w:lang w:val="it-IT" w:eastAsia="de-DE"/>
              </w:rPr>
            </w:pPr>
          </w:p>
        </w:tc>
        <w:tc>
          <w:tcPr>
            <w:tcW w:w="502" w:type="dxa"/>
            <w:vAlign w:val="center"/>
          </w:tcPr>
          <w:p w14:paraId="553C6D54" w14:textId="77777777" w:rsidR="00722A47" w:rsidRPr="00722A47" w:rsidRDefault="00722A47" w:rsidP="00722A47">
            <w:pPr>
              <w:spacing w:before="0" w:after="0"/>
              <w:jc w:val="center"/>
              <w:rPr>
                <w:rFonts w:eastAsia="Times New Roman"/>
                <w:sz w:val="18"/>
                <w:szCs w:val="18"/>
                <w:lang w:val="it-IT" w:eastAsia="de-DE"/>
              </w:rPr>
            </w:pPr>
          </w:p>
        </w:tc>
        <w:tc>
          <w:tcPr>
            <w:tcW w:w="502" w:type="dxa"/>
            <w:vAlign w:val="center"/>
          </w:tcPr>
          <w:p w14:paraId="0A3B23BC" w14:textId="77777777" w:rsidR="00722A47" w:rsidRPr="00722A47" w:rsidRDefault="00722A47" w:rsidP="00722A47">
            <w:pPr>
              <w:spacing w:before="0" w:after="0"/>
              <w:jc w:val="center"/>
              <w:rPr>
                <w:rFonts w:eastAsia="Times New Roman"/>
                <w:sz w:val="18"/>
                <w:szCs w:val="18"/>
                <w:lang w:val="it-IT" w:eastAsia="de-DE"/>
              </w:rPr>
            </w:pPr>
          </w:p>
        </w:tc>
        <w:tc>
          <w:tcPr>
            <w:tcW w:w="502" w:type="dxa"/>
            <w:vAlign w:val="center"/>
          </w:tcPr>
          <w:p w14:paraId="19D68C36" w14:textId="77777777" w:rsidR="00722A47" w:rsidRPr="00722A47" w:rsidRDefault="00722A47" w:rsidP="00722A47">
            <w:pPr>
              <w:spacing w:before="0" w:after="0"/>
              <w:jc w:val="center"/>
              <w:rPr>
                <w:rFonts w:eastAsia="Times New Roman"/>
                <w:sz w:val="18"/>
                <w:szCs w:val="18"/>
                <w:lang w:val="it-IT" w:eastAsia="de-DE"/>
              </w:rPr>
            </w:pPr>
            <w:r w:rsidRPr="00722A47">
              <w:rPr>
                <w:rFonts w:eastAsia="Times New Roman"/>
                <w:sz w:val="18"/>
                <w:szCs w:val="18"/>
                <w:lang w:val="it-IT" w:eastAsia="de-DE"/>
              </w:rPr>
              <w:t>X</w:t>
            </w:r>
          </w:p>
        </w:tc>
      </w:tr>
      <w:tr w:rsidR="00722A47" w:rsidRPr="00722A47" w14:paraId="72134A0F" w14:textId="77777777" w:rsidTr="004954C9">
        <w:trPr>
          <w:cantSplit/>
        </w:trPr>
        <w:tc>
          <w:tcPr>
            <w:tcW w:w="1118" w:type="dxa"/>
          </w:tcPr>
          <w:p w14:paraId="2B92C9C1" w14:textId="77777777" w:rsidR="00722A47" w:rsidRPr="00722A47" w:rsidRDefault="00722A47" w:rsidP="00722A47">
            <w:pPr>
              <w:spacing w:before="0" w:after="0"/>
              <w:jc w:val="left"/>
              <w:rPr>
                <w:rFonts w:eastAsia="Times New Roman"/>
                <w:b/>
                <w:sz w:val="18"/>
                <w:szCs w:val="18"/>
                <w:lang w:eastAsia="de-DE"/>
              </w:rPr>
            </w:pPr>
            <w:proofErr w:type="spellStart"/>
            <w:r w:rsidRPr="00722A47">
              <w:rPr>
                <w:rFonts w:eastAsia="Times New Roman"/>
                <w:b/>
                <w:sz w:val="18"/>
                <w:szCs w:val="18"/>
                <w:lang w:eastAsia="de-DE"/>
              </w:rPr>
              <w:t>Glysophat</w:t>
            </w:r>
            <w:proofErr w:type="spellEnd"/>
          </w:p>
        </w:tc>
        <w:tc>
          <w:tcPr>
            <w:tcW w:w="696" w:type="dxa"/>
          </w:tcPr>
          <w:p w14:paraId="3952B0E1"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µg/l</w:t>
            </w:r>
          </w:p>
        </w:tc>
        <w:tc>
          <w:tcPr>
            <w:tcW w:w="596" w:type="dxa"/>
            <w:vAlign w:val="center"/>
          </w:tcPr>
          <w:p w14:paraId="34587152" w14:textId="77777777" w:rsidR="00722A47" w:rsidRPr="00722A47" w:rsidRDefault="00722A47" w:rsidP="00722A47">
            <w:pPr>
              <w:spacing w:before="0" w:after="0"/>
              <w:jc w:val="center"/>
              <w:rPr>
                <w:rFonts w:eastAsia="Times New Roman"/>
                <w:sz w:val="18"/>
                <w:szCs w:val="18"/>
                <w:lang w:eastAsia="de-DE"/>
              </w:rPr>
            </w:pPr>
          </w:p>
        </w:tc>
        <w:tc>
          <w:tcPr>
            <w:tcW w:w="373" w:type="dxa"/>
            <w:vAlign w:val="center"/>
          </w:tcPr>
          <w:p w14:paraId="40001880" w14:textId="77777777" w:rsidR="00722A47" w:rsidRPr="00722A47" w:rsidRDefault="00722A47" w:rsidP="00722A47">
            <w:pPr>
              <w:spacing w:before="0" w:after="0"/>
              <w:jc w:val="center"/>
              <w:rPr>
                <w:rFonts w:eastAsia="Times New Roman"/>
                <w:sz w:val="18"/>
                <w:szCs w:val="18"/>
                <w:lang w:eastAsia="de-DE"/>
              </w:rPr>
            </w:pPr>
          </w:p>
        </w:tc>
        <w:tc>
          <w:tcPr>
            <w:tcW w:w="635" w:type="dxa"/>
            <w:gridSpan w:val="2"/>
            <w:vAlign w:val="center"/>
          </w:tcPr>
          <w:p w14:paraId="5EB8CBCD" w14:textId="77777777" w:rsidR="00722A47" w:rsidRPr="00722A47" w:rsidRDefault="00722A47" w:rsidP="00722A47">
            <w:pPr>
              <w:spacing w:before="0" w:after="0"/>
              <w:jc w:val="center"/>
              <w:rPr>
                <w:rFonts w:eastAsia="Times New Roman"/>
                <w:sz w:val="18"/>
                <w:szCs w:val="18"/>
                <w:lang w:eastAsia="de-DE"/>
              </w:rPr>
            </w:pPr>
          </w:p>
        </w:tc>
        <w:tc>
          <w:tcPr>
            <w:tcW w:w="561" w:type="dxa"/>
            <w:vAlign w:val="center"/>
          </w:tcPr>
          <w:p w14:paraId="726F677D" w14:textId="77777777" w:rsidR="00722A47" w:rsidRPr="00722A47" w:rsidRDefault="00722A47" w:rsidP="00722A47">
            <w:pPr>
              <w:spacing w:before="0" w:after="0"/>
              <w:jc w:val="center"/>
              <w:rPr>
                <w:rFonts w:eastAsia="Times New Roman"/>
                <w:sz w:val="18"/>
                <w:szCs w:val="18"/>
                <w:lang w:eastAsia="de-DE"/>
              </w:rPr>
            </w:pPr>
          </w:p>
        </w:tc>
        <w:tc>
          <w:tcPr>
            <w:tcW w:w="694" w:type="dxa"/>
            <w:vAlign w:val="center"/>
          </w:tcPr>
          <w:p w14:paraId="36E21574" w14:textId="77777777" w:rsidR="00722A47" w:rsidRPr="00722A47" w:rsidRDefault="00722A47" w:rsidP="00722A47">
            <w:pPr>
              <w:spacing w:before="0" w:after="0"/>
              <w:jc w:val="center"/>
              <w:rPr>
                <w:rFonts w:eastAsia="Times New Roman"/>
                <w:sz w:val="18"/>
                <w:szCs w:val="18"/>
                <w:lang w:eastAsia="de-DE"/>
              </w:rPr>
            </w:pPr>
          </w:p>
        </w:tc>
        <w:tc>
          <w:tcPr>
            <w:tcW w:w="540" w:type="dxa"/>
            <w:vAlign w:val="center"/>
          </w:tcPr>
          <w:p w14:paraId="1A5DE47A" w14:textId="77777777" w:rsidR="00722A47" w:rsidRPr="00722A47" w:rsidRDefault="00722A47" w:rsidP="00722A47">
            <w:pPr>
              <w:spacing w:before="0" w:after="0"/>
              <w:jc w:val="center"/>
              <w:rPr>
                <w:rFonts w:eastAsia="Times New Roman"/>
                <w:sz w:val="18"/>
                <w:szCs w:val="18"/>
                <w:lang w:eastAsia="de-DE"/>
              </w:rPr>
            </w:pPr>
          </w:p>
        </w:tc>
        <w:tc>
          <w:tcPr>
            <w:tcW w:w="538" w:type="dxa"/>
            <w:vAlign w:val="center"/>
          </w:tcPr>
          <w:p w14:paraId="1F12CDED" w14:textId="77777777" w:rsidR="00722A47" w:rsidRPr="00722A47" w:rsidRDefault="00722A47" w:rsidP="00722A47">
            <w:pPr>
              <w:spacing w:before="0" w:after="0"/>
              <w:jc w:val="center"/>
              <w:rPr>
                <w:rFonts w:eastAsia="Times New Roman"/>
                <w:sz w:val="18"/>
                <w:szCs w:val="18"/>
                <w:lang w:eastAsia="de-DE"/>
              </w:rPr>
            </w:pPr>
          </w:p>
        </w:tc>
        <w:tc>
          <w:tcPr>
            <w:tcW w:w="572" w:type="dxa"/>
            <w:vAlign w:val="center"/>
          </w:tcPr>
          <w:p w14:paraId="2F72BA04" w14:textId="77777777" w:rsidR="00722A47" w:rsidRPr="00722A47" w:rsidRDefault="00722A47" w:rsidP="00722A47">
            <w:pPr>
              <w:spacing w:before="0" w:after="0"/>
              <w:jc w:val="center"/>
              <w:rPr>
                <w:rFonts w:eastAsia="Times New Roman"/>
                <w:sz w:val="18"/>
                <w:szCs w:val="18"/>
                <w:lang w:eastAsia="de-DE"/>
              </w:rPr>
            </w:pPr>
          </w:p>
        </w:tc>
        <w:tc>
          <w:tcPr>
            <w:tcW w:w="566" w:type="dxa"/>
            <w:vAlign w:val="center"/>
          </w:tcPr>
          <w:p w14:paraId="5F56F8C7" w14:textId="77777777" w:rsidR="00722A47" w:rsidRPr="00722A47" w:rsidRDefault="00722A47" w:rsidP="00722A47">
            <w:pPr>
              <w:spacing w:before="0" w:after="0"/>
              <w:jc w:val="center"/>
              <w:rPr>
                <w:rFonts w:eastAsia="Times New Roman"/>
                <w:sz w:val="18"/>
                <w:szCs w:val="18"/>
                <w:lang w:eastAsia="de-DE"/>
              </w:rPr>
            </w:pPr>
          </w:p>
        </w:tc>
        <w:tc>
          <w:tcPr>
            <w:tcW w:w="740" w:type="dxa"/>
            <w:vAlign w:val="center"/>
          </w:tcPr>
          <w:p w14:paraId="2692D584" w14:textId="77777777" w:rsidR="00722A47" w:rsidRPr="00722A47" w:rsidRDefault="00722A47" w:rsidP="00722A47">
            <w:pPr>
              <w:spacing w:before="0" w:after="0"/>
              <w:jc w:val="center"/>
              <w:rPr>
                <w:rFonts w:eastAsia="Times New Roman"/>
                <w:sz w:val="18"/>
                <w:szCs w:val="18"/>
                <w:lang w:eastAsia="de-DE"/>
              </w:rPr>
            </w:pPr>
          </w:p>
        </w:tc>
        <w:tc>
          <w:tcPr>
            <w:tcW w:w="502" w:type="dxa"/>
            <w:vAlign w:val="center"/>
          </w:tcPr>
          <w:p w14:paraId="6A160004" w14:textId="77777777" w:rsidR="00722A47" w:rsidRPr="00722A47" w:rsidRDefault="00722A47" w:rsidP="00722A47">
            <w:pPr>
              <w:spacing w:before="0" w:after="0"/>
              <w:jc w:val="center"/>
              <w:rPr>
                <w:rFonts w:eastAsia="Times New Roman"/>
                <w:sz w:val="18"/>
                <w:szCs w:val="18"/>
                <w:lang w:eastAsia="de-DE"/>
              </w:rPr>
            </w:pPr>
          </w:p>
        </w:tc>
        <w:tc>
          <w:tcPr>
            <w:tcW w:w="502" w:type="dxa"/>
            <w:vAlign w:val="center"/>
          </w:tcPr>
          <w:p w14:paraId="690B9C33" w14:textId="77777777" w:rsidR="00722A47" w:rsidRPr="00722A47" w:rsidRDefault="00722A47" w:rsidP="00722A47">
            <w:pPr>
              <w:spacing w:before="0" w:after="0"/>
              <w:jc w:val="center"/>
              <w:rPr>
                <w:rFonts w:eastAsia="Times New Roman"/>
                <w:sz w:val="18"/>
                <w:szCs w:val="18"/>
                <w:lang w:eastAsia="de-DE"/>
              </w:rPr>
            </w:pPr>
          </w:p>
        </w:tc>
        <w:tc>
          <w:tcPr>
            <w:tcW w:w="502" w:type="dxa"/>
            <w:vAlign w:val="center"/>
          </w:tcPr>
          <w:p w14:paraId="7D744F4D"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r>
      <w:tr w:rsidR="00722A47" w:rsidRPr="00722A47" w14:paraId="666C1EF5" w14:textId="77777777" w:rsidTr="004954C9">
        <w:trPr>
          <w:cantSplit/>
        </w:trPr>
        <w:tc>
          <w:tcPr>
            <w:tcW w:w="1118" w:type="dxa"/>
          </w:tcPr>
          <w:p w14:paraId="690D22D9" w14:textId="77777777" w:rsidR="00722A47" w:rsidRPr="00722A47" w:rsidRDefault="00722A47" w:rsidP="00722A47">
            <w:pPr>
              <w:spacing w:before="0" w:after="0"/>
              <w:jc w:val="left"/>
              <w:rPr>
                <w:rFonts w:eastAsia="Times New Roman"/>
                <w:b/>
                <w:sz w:val="18"/>
                <w:szCs w:val="18"/>
                <w:lang w:eastAsia="de-DE"/>
              </w:rPr>
            </w:pPr>
            <w:r w:rsidRPr="00722A47">
              <w:rPr>
                <w:rFonts w:eastAsia="Times New Roman"/>
                <w:b/>
                <w:sz w:val="18"/>
                <w:szCs w:val="18"/>
                <w:lang w:eastAsia="de-DE"/>
              </w:rPr>
              <w:t>AMPA</w:t>
            </w:r>
          </w:p>
        </w:tc>
        <w:tc>
          <w:tcPr>
            <w:tcW w:w="696" w:type="dxa"/>
          </w:tcPr>
          <w:p w14:paraId="37FED359"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µg/l</w:t>
            </w:r>
          </w:p>
        </w:tc>
        <w:tc>
          <w:tcPr>
            <w:tcW w:w="596" w:type="dxa"/>
            <w:vAlign w:val="center"/>
          </w:tcPr>
          <w:p w14:paraId="45FEC21E" w14:textId="77777777" w:rsidR="00722A47" w:rsidRPr="00722A47" w:rsidRDefault="00722A47" w:rsidP="00722A47">
            <w:pPr>
              <w:spacing w:before="0" w:after="0"/>
              <w:jc w:val="center"/>
              <w:rPr>
                <w:rFonts w:eastAsia="Times New Roman"/>
                <w:sz w:val="18"/>
                <w:szCs w:val="18"/>
                <w:lang w:eastAsia="de-DE"/>
              </w:rPr>
            </w:pPr>
          </w:p>
        </w:tc>
        <w:tc>
          <w:tcPr>
            <w:tcW w:w="373" w:type="dxa"/>
            <w:vAlign w:val="center"/>
          </w:tcPr>
          <w:p w14:paraId="5969C8FF" w14:textId="77777777" w:rsidR="00722A47" w:rsidRPr="00722A47" w:rsidRDefault="00722A47" w:rsidP="00722A47">
            <w:pPr>
              <w:spacing w:before="0" w:after="0"/>
              <w:jc w:val="center"/>
              <w:rPr>
                <w:rFonts w:eastAsia="Times New Roman"/>
                <w:sz w:val="18"/>
                <w:szCs w:val="18"/>
                <w:lang w:eastAsia="de-DE"/>
              </w:rPr>
            </w:pPr>
          </w:p>
        </w:tc>
        <w:tc>
          <w:tcPr>
            <w:tcW w:w="635" w:type="dxa"/>
            <w:gridSpan w:val="2"/>
            <w:vAlign w:val="center"/>
          </w:tcPr>
          <w:p w14:paraId="4A50BF25" w14:textId="77777777" w:rsidR="00722A47" w:rsidRPr="00722A47" w:rsidRDefault="00722A47" w:rsidP="00722A47">
            <w:pPr>
              <w:spacing w:before="0" w:after="0"/>
              <w:jc w:val="center"/>
              <w:rPr>
                <w:rFonts w:eastAsia="Times New Roman"/>
                <w:sz w:val="18"/>
                <w:szCs w:val="18"/>
                <w:lang w:eastAsia="de-DE"/>
              </w:rPr>
            </w:pPr>
          </w:p>
        </w:tc>
        <w:tc>
          <w:tcPr>
            <w:tcW w:w="561" w:type="dxa"/>
            <w:vAlign w:val="center"/>
          </w:tcPr>
          <w:p w14:paraId="16C1C67C" w14:textId="77777777" w:rsidR="00722A47" w:rsidRPr="00722A47" w:rsidRDefault="00722A47" w:rsidP="00722A47">
            <w:pPr>
              <w:spacing w:before="0" w:after="0"/>
              <w:jc w:val="center"/>
              <w:rPr>
                <w:rFonts w:eastAsia="Times New Roman"/>
                <w:sz w:val="18"/>
                <w:szCs w:val="18"/>
                <w:lang w:eastAsia="de-DE"/>
              </w:rPr>
            </w:pPr>
          </w:p>
        </w:tc>
        <w:tc>
          <w:tcPr>
            <w:tcW w:w="694" w:type="dxa"/>
            <w:vAlign w:val="center"/>
          </w:tcPr>
          <w:p w14:paraId="22E846EF" w14:textId="77777777" w:rsidR="00722A47" w:rsidRPr="00722A47" w:rsidRDefault="00722A47" w:rsidP="00722A47">
            <w:pPr>
              <w:spacing w:before="0" w:after="0"/>
              <w:jc w:val="center"/>
              <w:rPr>
                <w:rFonts w:eastAsia="Times New Roman"/>
                <w:sz w:val="18"/>
                <w:szCs w:val="18"/>
                <w:lang w:eastAsia="de-DE"/>
              </w:rPr>
            </w:pPr>
          </w:p>
        </w:tc>
        <w:tc>
          <w:tcPr>
            <w:tcW w:w="540" w:type="dxa"/>
            <w:vAlign w:val="center"/>
          </w:tcPr>
          <w:p w14:paraId="43F60807" w14:textId="77777777" w:rsidR="00722A47" w:rsidRPr="00722A47" w:rsidRDefault="00722A47" w:rsidP="00722A47">
            <w:pPr>
              <w:spacing w:before="0" w:after="0"/>
              <w:jc w:val="center"/>
              <w:rPr>
                <w:rFonts w:eastAsia="Times New Roman"/>
                <w:sz w:val="18"/>
                <w:szCs w:val="18"/>
                <w:lang w:eastAsia="de-DE"/>
              </w:rPr>
            </w:pPr>
          </w:p>
        </w:tc>
        <w:tc>
          <w:tcPr>
            <w:tcW w:w="538" w:type="dxa"/>
            <w:vAlign w:val="center"/>
          </w:tcPr>
          <w:p w14:paraId="509EE024" w14:textId="77777777" w:rsidR="00722A47" w:rsidRPr="00722A47" w:rsidRDefault="00722A47" w:rsidP="00722A47">
            <w:pPr>
              <w:spacing w:before="0" w:after="0"/>
              <w:jc w:val="center"/>
              <w:rPr>
                <w:rFonts w:eastAsia="Times New Roman"/>
                <w:sz w:val="18"/>
                <w:szCs w:val="18"/>
                <w:lang w:eastAsia="de-DE"/>
              </w:rPr>
            </w:pPr>
          </w:p>
        </w:tc>
        <w:tc>
          <w:tcPr>
            <w:tcW w:w="572" w:type="dxa"/>
            <w:vAlign w:val="center"/>
          </w:tcPr>
          <w:p w14:paraId="7A09989F" w14:textId="77777777" w:rsidR="00722A47" w:rsidRPr="00722A47" w:rsidRDefault="00722A47" w:rsidP="00722A47">
            <w:pPr>
              <w:spacing w:before="0" w:after="0"/>
              <w:jc w:val="center"/>
              <w:rPr>
                <w:rFonts w:eastAsia="Times New Roman"/>
                <w:sz w:val="18"/>
                <w:szCs w:val="18"/>
                <w:lang w:eastAsia="de-DE"/>
              </w:rPr>
            </w:pPr>
          </w:p>
        </w:tc>
        <w:tc>
          <w:tcPr>
            <w:tcW w:w="566" w:type="dxa"/>
            <w:vAlign w:val="center"/>
          </w:tcPr>
          <w:p w14:paraId="5D30F9E8" w14:textId="77777777" w:rsidR="00722A47" w:rsidRPr="00722A47" w:rsidRDefault="00722A47" w:rsidP="00722A47">
            <w:pPr>
              <w:spacing w:before="0" w:after="0"/>
              <w:jc w:val="center"/>
              <w:rPr>
                <w:rFonts w:eastAsia="Times New Roman"/>
                <w:sz w:val="18"/>
                <w:szCs w:val="18"/>
                <w:lang w:eastAsia="de-DE"/>
              </w:rPr>
            </w:pPr>
          </w:p>
        </w:tc>
        <w:tc>
          <w:tcPr>
            <w:tcW w:w="740" w:type="dxa"/>
            <w:vAlign w:val="center"/>
          </w:tcPr>
          <w:p w14:paraId="3AF013B8" w14:textId="77777777" w:rsidR="00722A47" w:rsidRPr="00722A47" w:rsidRDefault="00722A47" w:rsidP="00722A47">
            <w:pPr>
              <w:spacing w:before="0" w:after="0"/>
              <w:jc w:val="center"/>
              <w:rPr>
                <w:rFonts w:eastAsia="Times New Roman"/>
                <w:sz w:val="18"/>
                <w:szCs w:val="18"/>
                <w:lang w:eastAsia="de-DE"/>
              </w:rPr>
            </w:pPr>
          </w:p>
        </w:tc>
        <w:tc>
          <w:tcPr>
            <w:tcW w:w="502" w:type="dxa"/>
            <w:vAlign w:val="center"/>
          </w:tcPr>
          <w:p w14:paraId="27315CE7" w14:textId="77777777" w:rsidR="00722A47" w:rsidRPr="00722A47" w:rsidRDefault="00722A47" w:rsidP="00722A47">
            <w:pPr>
              <w:spacing w:before="0" w:after="0"/>
              <w:jc w:val="center"/>
              <w:rPr>
                <w:rFonts w:eastAsia="Times New Roman"/>
                <w:sz w:val="18"/>
                <w:szCs w:val="18"/>
                <w:lang w:eastAsia="de-DE"/>
              </w:rPr>
            </w:pPr>
          </w:p>
        </w:tc>
        <w:tc>
          <w:tcPr>
            <w:tcW w:w="502" w:type="dxa"/>
            <w:vAlign w:val="center"/>
          </w:tcPr>
          <w:p w14:paraId="2BC5C257" w14:textId="77777777" w:rsidR="00722A47" w:rsidRPr="00722A47" w:rsidRDefault="00722A47" w:rsidP="00722A47">
            <w:pPr>
              <w:spacing w:before="0" w:after="0"/>
              <w:jc w:val="center"/>
              <w:rPr>
                <w:rFonts w:eastAsia="Times New Roman"/>
                <w:sz w:val="18"/>
                <w:szCs w:val="18"/>
                <w:lang w:eastAsia="de-DE"/>
              </w:rPr>
            </w:pPr>
          </w:p>
        </w:tc>
        <w:tc>
          <w:tcPr>
            <w:tcW w:w="502" w:type="dxa"/>
            <w:vAlign w:val="center"/>
          </w:tcPr>
          <w:p w14:paraId="5CBD54D4"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r>
      <w:tr w:rsidR="00722A47" w:rsidRPr="00722A47" w14:paraId="258070BD" w14:textId="77777777" w:rsidTr="004954C9">
        <w:trPr>
          <w:cantSplit/>
        </w:trPr>
        <w:tc>
          <w:tcPr>
            <w:tcW w:w="1118" w:type="dxa"/>
          </w:tcPr>
          <w:p w14:paraId="5CEC83F4" w14:textId="77777777" w:rsidR="00722A47" w:rsidRPr="00722A47" w:rsidRDefault="00722A47" w:rsidP="00722A47">
            <w:pPr>
              <w:spacing w:before="0" w:after="0"/>
              <w:jc w:val="left"/>
              <w:rPr>
                <w:rFonts w:eastAsia="Times New Roman"/>
                <w:b/>
                <w:sz w:val="18"/>
                <w:szCs w:val="18"/>
                <w:lang w:eastAsia="de-DE"/>
              </w:rPr>
            </w:pPr>
            <w:proofErr w:type="spellStart"/>
            <w:r w:rsidRPr="00722A47">
              <w:rPr>
                <w:rFonts w:eastAsia="Times New Roman"/>
                <w:b/>
                <w:sz w:val="18"/>
                <w:szCs w:val="18"/>
                <w:lang w:eastAsia="de-DE"/>
              </w:rPr>
              <w:t>Simazin</w:t>
            </w:r>
            <w:proofErr w:type="spellEnd"/>
          </w:p>
        </w:tc>
        <w:tc>
          <w:tcPr>
            <w:tcW w:w="696" w:type="dxa"/>
          </w:tcPr>
          <w:p w14:paraId="788F1781"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µg/l</w:t>
            </w:r>
          </w:p>
        </w:tc>
        <w:tc>
          <w:tcPr>
            <w:tcW w:w="596" w:type="dxa"/>
            <w:vAlign w:val="center"/>
          </w:tcPr>
          <w:p w14:paraId="2485B756" w14:textId="77777777" w:rsidR="00722A47" w:rsidRPr="00722A47" w:rsidRDefault="00722A47" w:rsidP="00722A47">
            <w:pPr>
              <w:spacing w:before="0" w:after="0"/>
              <w:jc w:val="center"/>
              <w:rPr>
                <w:rFonts w:eastAsia="Times New Roman"/>
                <w:sz w:val="18"/>
                <w:szCs w:val="18"/>
                <w:lang w:eastAsia="de-DE"/>
              </w:rPr>
            </w:pPr>
          </w:p>
        </w:tc>
        <w:tc>
          <w:tcPr>
            <w:tcW w:w="373" w:type="dxa"/>
            <w:vAlign w:val="center"/>
          </w:tcPr>
          <w:p w14:paraId="38D7214E" w14:textId="77777777" w:rsidR="00722A47" w:rsidRPr="00722A47" w:rsidRDefault="00722A47" w:rsidP="00722A47">
            <w:pPr>
              <w:spacing w:before="0" w:after="0"/>
              <w:jc w:val="center"/>
              <w:rPr>
                <w:rFonts w:eastAsia="Times New Roman"/>
                <w:sz w:val="18"/>
                <w:szCs w:val="18"/>
                <w:lang w:eastAsia="de-DE"/>
              </w:rPr>
            </w:pPr>
          </w:p>
        </w:tc>
        <w:tc>
          <w:tcPr>
            <w:tcW w:w="635" w:type="dxa"/>
            <w:gridSpan w:val="2"/>
            <w:vAlign w:val="center"/>
          </w:tcPr>
          <w:p w14:paraId="3025769E" w14:textId="77777777" w:rsidR="00722A47" w:rsidRPr="00722A47" w:rsidRDefault="00722A47" w:rsidP="00722A47">
            <w:pPr>
              <w:spacing w:before="0" w:after="0"/>
              <w:jc w:val="center"/>
              <w:rPr>
                <w:rFonts w:eastAsia="Times New Roman"/>
                <w:sz w:val="18"/>
                <w:szCs w:val="18"/>
                <w:lang w:eastAsia="de-DE"/>
              </w:rPr>
            </w:pPr>
          </w:p>
        </w:tc>
        <w:tc>
          <w:tcPr>
            <w:tcW w:w="561" w:type="dxa"/>
            <w:vAlign w:val="center"/>
          </w:tcPr>
          <w:p w14:paraId="2844579A" w14:textId="77777777" w:rsidR="00722A47" w:rsidRPr="00722A47" w:rsidRDefault="00722A47" w:rsidP="00722A47">
            <w:pPr>
              <w:spacing w:before="0" w:after="0"/>
              <w:jc w:val="center"/>
              <w:rPr>
                <w:rFonts w:eastAsia="Times New Roman"/>
                <w:sz w:val="18"/>
                <w:szCs w:val="18"/>
                <w:lang w:eastAsia="de-DE"/>
              </w:rPr>
            </w:pPr>
          </w:p>
        </w:tc>
        <w:tc>
          <w:tcPr>
            <w:tcW w:w="694" w:type="dxa"/>
            <w:vAlign w:val="center"/>
          </w:tcPr>
          <w:p w14:paraId="60E17E5E" w14:textId="77777777" w:rsidR="00722A47" w:rsidRPr="00722A47" w:rsidRDefault="00722A47" w:rsidP="00722A47">
            <w:pPr>
              <w:spacing w:before="0" w:after="0"/>
              <w:jc w:val="center"/>
              <w:rPr>
                <w:rFonts w:eastAsia="Times New Roman"/>
                <w:sz w:val="18"/>
                <w:szCs w:val="18"/>
                <w:lang w:eastAsia="de-DE"/>
              </w:rPr>
            </w:pPr>
          </w:p>
        </w:tc>
        <w:tc>
          <w:tcPr>
            <w:tcW w:w="540" w:type="dxa"/>
            <w:vAlign w:val="center"/>
          </w:tcPr>
          <w:p w14:paraId="45B9CAAB" w14:textId="77777777" w:rsidR="00722A47" w:rsidRPr="00722A47" w:rsidRDefault="00722A47" w:rsidP="00722A47">
            <w:pPr>
              <w:spacing w:before="0" w:after="0"/>
              <w:jc w:val="center"/>
              <w:rPr>
                <w:rFonts w:eastAsia="Times New Roman"/>
                <w:sz w:val="18"/>
                <w:szCs w:val="18"/>
                <w:lang w:eastAsia="de-DE"/>
              </w:rPr>
            </w:pPr>
          </w:p>
        </w:tc>
        <w:tc>
          <w:tcPr>
            <w:tcW w:w="538" w:type="dxa"/>
            <w:vAlign w:val="center"/>
          </w:tcPr>
          <w:p w14:paraId="03A0D8E4" w14:textId="77777777" w:rsidR="00722A47" w:rsidRPr="00722A47" w:rsidRDefault="00722A47" w:rsidP="00722A47">
            <w:pPr>
              <w:spacing w:before="0" w:after="0"/>
              <w:jc w:val="center"/>
              <w:rPr>
                <w:rFonts w:eastAsia="Times New Roman"/>
                <w:sz w:val="18"/>
                <w:szCs w:val="18"/>
                <w:lang w:eastAsia="de-DE"/>
              </w:rPr>
            </w:pPr>
          </w:p>
        </w:tc>
        <w:tc>
          <w:tcPr>
            <w:tcW w:w="572" w:type="dxa"/>
            <w:vAlign w:val="center"/>
          </w:tcPr>
          <w:p w14:paraId="4CAD6357" w14:textId="77777777" w:rsidR="00722A47" w:rsidRPr="00722A47" w:rsidRDefault="00722A47" w:rsidP="00722A47">
            <w:pPr>
              <w:spacing w:before="0" w:after="0"/>
              <w:jc w:val="center"/>
              <w:rPr>
                <w:rFonts w:eastAsia="Times New Roman"/>
                <w:sz w:val="18"/>
                <w:szCs w:val="18"/>
                <w:lang w:eastAsia="de-DE"/>
              </w:rPr>
            </w:pPr>
          </w:p>
        </w:tc>
        <w:tc>
          <w:tcPr>
            <w:tcW w:w="566" w:type="dxa"/>
            <w:vAlign w:val="center"/>
          </w:tcPr>
          <w:p w14:paraId="32C8E982" w14:textId="77777777" w:rsidR="00722A47" w:rsidRPr="00722A47" w:rsidRDefault="00722A47" w:rsidP="00722A47">
            <w:pPr>
              <w:spacing w:before="0" w:after="0"/>
              <w:jc w:val="center"/>
              <w:rPr>
                <w:rFonts w:eastAsia="Times New Roman"/>
                <w:sz w:val="18"/>
                <w:szCs w:val="18"/>
                <w:lang w:eastAsia="de-DE"/>
              </w:rPr>
            </w:pPr>
          </w:p>
        </w:tc>
        <w:tc>
          <w:tcPr>
            <w:tcW w:w="740" w:type="dxa"/>
            <w:vAlign w:val="center"/>
          </w:tcPr>
          <w:p w14:paraId="60B2DF17" w14:textId="77777777" w:rsidR="00722A47" w:rsidRPr="00722A47" w:rsidRDefault="00722A47" w:rsidP="00722A47">
            <w:pPr>
              <w:spacing w:before="0" w:after="0"/>
              <w:jc w:val="center"/>
              <w:rPr>
                <w:rFonts w:eastAsia="Times New Roman"/>
                <w:sz w:val="18"/>
                <w:szCs w:val="18"/>
                <w:lang w:eastAsia="de-DE"/>
              </w:rPr>
            </w:pPr>
          </w:p>
        </w:tc>
        <w:tc>
          <w:tcPr>
            <w:tcW w:w="502" w:type="dxa"/>
            <w:vAlign w:val="center"/>
          </w:tcPr>
          <w:p w14:paraId="49255E68" w14:textId="77777777" w:rsidR="00722A47" w:rsidRPr="00722A47" w:rsidRDefault="00722A47" w:rsidP="00722A47">
            <w:pPr>
              <w:spacing w:before="0" w:after="0"/>
              <w:jc w:val="center"/>
              <w:rPr>
                <w:rFonts w:eastAsia="Times New Roman"/>
                <w:sz w:val="18"/>
                <w:szCs w:val="18"/>
                <w:lang w:eastAsia="de-DE"/>
              </w:rPr>
            </w:pPr>
          </w:p>
        </w:tc>
        <w:tc>
          <w:tcPr>
            <w:tcW w:w="502" w:type="dxa"/>
            <w:vAlign w:val="center"/>
          </w:tcPr>
          <w:p w14:paraId="39A38895" w14:textId="77777777" w:rsidR="00722A47" w:rsidRPr="00722A47" w:rsidRDefault="00722A47" w:rsidP="00722A47">
            <w:pPr>
              <w:spacing w:before="0" w:after="0"/>
              <w:jc w:val="center"/>
              <w:rPr>
                <w:rFonts w:eastAsia="Times New Roman"/>
                <w:sz w:val="18"/>
                <w:szCs w:val="18"/>
                <w:lang w:eastAsia="de-DE"/>
              </w:rPr>
            </w:pPr>
          </w:p>
        </w:tc>
        <w:tc>
          <w:tcPr>
            <w:tcW w:w="502" w:type="dxa"/>
            <w:vAlign w:val="center"/>
          </w:tcPr>
          <w:p w14:paraId="51BB9CEF"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r>
      <w:tr w:rsidR="00722A47" w:rsidRPr="00722A47" w14:paraId="3B069760" w14:textId="77777777" w:rsidTr="004954C9">
        <w:trPr>
          <w:cantSplit/>
        </w:trPr>
        <w:tc>
          <w:tcPr>
            <w:tcW w:w="1118" w:type="dxa"/>
          </w:tcPr>
          <w:p w14:paraId="4B71DC6D" w14:textId="77777777" w:rsidR="00722A47" w:rsidRPr="00722A47" w:rsidRDefault="00722A47" w:rsidP="00722A47">
            <w:pPr>
              <w:spacing w:before="0" w:after="0"/>
              <w:jc w:val="left"/>
              <w:rPr>
                <w:rFonts w:eastAsia="Times New Roman"/>
                <w:b/>
                <w:sz w:val="18"/>
                <w:szCs w:val="18"/>
                <w:lang w:eastAsia="de-DE"/>
              </w:rPr>
            </w:pPr>
            <w:r w:rsidRPr="00722A47">
              <w:rPr>
                <w:rFonts w:eastAsia="Times New Roman"/>
                <w:b/>
                <w:sz w:val="18"/>
                <w:szCs w:val="18"/>
                <w:lang w:eastAsia="de-DE"/>
              </w:rPr>
              <w:t>sonstige</w:t>
            </w:r>
            <w:r w:rsidRPr="00722A47">
              <w:rPr>
                <w:rFonts w:eastAsia="Times New Roman"/>
                <w:b/>
                <w:sz w:val="18"/>
                <w:szCs w:val="18"/>
                <w:lang w:eastAsia="de-DE"/>
              </w:rPr>
              <w:br/>
              <w:t>Herbizide</w:t>
            </w:r>
            <w:r w:rsidRPr="00722A47">
              <w:rPr>
                <w:rFonts w:eastAsia="Times New Roman"/>
                <w:b/>
                <w:sz w:val="18"/>
                <w:szCs w:val="18"/>
                <w:vertAlign w:val="superscript"/>
                <w:lang w:eastAsia="de-DE"/>
              </w:rPr>
              <w:t>1</w:t>
            </w:r>
            <w:r w:rsidRPr="00722A47">
              <w:rPr>
                <w:rFonts w:eastAsia="Times New Roman"/>
                <w:b/>
                <w:sz w:val="18"/>
                <w:szCs w:val="18"/>
                <w:lang w:eastAsia="de-DE"/>
              </w:rPr>
              <w:t xml:space="preserve"> </w:t>
            </w:r>
          </w:p>
        </w:tc>
        <w:tc>
          <w:tcPr>
            <w:tcW w:w="696" w:type="dxa"/>
          </w:tcPr>
          <w:p w14:paraId="6A220C4D"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µg/l</w:t>
            </w:r>
          </w:p>
        </w:tc>
        <w:tc>
          <w:tcPr>
            <w:tcW w:w="596" w:type="dxa"/>
            <w:vAlign w:val="center"/>
          </w:tcPr>
          <w:p w14:paraId="373EC37C" w14:textId="77777777" w:rsidR="00722A47" w:rsidRPr="00722A47" w:rsidRDefault="00722A47" w:rsidP="00722A47">
            <w:pPr>
              <w:spacing w:before="0" w:after="0"/>
              <w:jc w:val="center"/>
              <w:rPr>
                <w:rFonts w:eastAsia="Times New Roman"/>
                <w:sz w:val="18"/>
                <w:szCs w:val="18"/>
                <w:lang w:eastAsia="de-DE"/>
              </w:rPr>
            </w:pPr>
          </w:p>
        </w:tc>
        <w:tc>
          <w:tcPr>
            <w:tcW w:w="373" w:type="dxa"/>
            <w:vAlign w:val="center"/>
          </w:tcPr>
          <w:p w14:paraId="7DDE39E5" w14:textId="77777777" w:rsidR="00722A47" w:rsidRPr="00722A47" w:rsidRDefault="00722A47" w:rsidP="00722A47">
            <w:pPr>
              <w:spacing w:before="0" w:after="0"/>
              <w:jc w:val="center"/>
              <w:rPr>
                <w:rFonts w:eastAsia="Times New Roman"/>
                <w:sz w:val="18"/>
                <w:szCs w:val="18"/>
                <w:lang w:eastAsia="de-DE"/>
              </w:rPr>
            </w:pPr>
          </w:p>
        </w:tc>
        <w:tc>
          <w:tcPr>
            <w:tcW w:w="635" w:type="dxa"/>
            <w:gridSpan w:val="2"/>
            <w:vAlign w:val="center"/>
          </w:tcPr>
          <w:p w14:paraId="515FFBD4" w14:textId="77777777" w:rsidR="00722A47" w:rsidRPr="00722A47" w:rsidRDefault="00722A47" w:rsidP="00722A47">
            <w:pPr>
              <w:spacing w:before="0" w:after="0"/>
              <w:jc w:val="center"/>
              <w:rPr>
                <w:rFonts w:eastAsia="Times New Roman"/>
                <w:sz w:val="18"/>
                <w:szCs w:val="18"/>
                <w:lang w:eastAsia="de-DE"/>
              </w:rPr>
            </w:pPr>
          </w:p>
        </w:tc>
        <w:tc>
          <w:tcPr>
            <w:tcW w:w="561" w:type="dxa"/>
            <w:vAlign w:val="center"/>
          </w:tcPr>
          <w:p w14:paraId="6A4CD4BF" w14:textId="77777777" w:rsidR="00722A47" w:rsidRPr="00722A47" w:rsidRDefault="00722A47" w:rsidP="00722A47">
            <w:pPr>
              <w:spacing w:before="0" w:after="0"/>
              <w:jc w:val="center"/>
              <w:rPr>
                <w:rFonts w:eastAsia="Times New Roman"/>
                <w:sz w:val="18"/>
                <w:szCs w:val="18"/>
                <w:lang w:eastAsia="de-DE"/>
              </w:rPr>
            </w:pPr>
          </w:p>
        </w:tc>
        <w:tc>
          <w:tcPr>
            <w:tcW w:w="694" w:type="dxa"/>
            <w:vAlign w:val="center"/>
          </w:tcPr>
          <w:p w14:paraId="208A9056" w14:textId="77777777" w:rsidR="00722A47" w:rsidRPr="00722A47" w:rsidRDefault="00722A47" w:rsidP="00722A47">
            <w:pPr>
              <w:spacing w:before="0" w:after="0"/>
              <w:jc w:val="center"/>
              <w:rPr>
                <w:rFonts w:eastAsia="Times New Roman"/>
                <w:sz w:val="18"/>
                <w:szCs w:val="18"/>
                <w:lang w:eastAsia="de-DE"/>
              </w:rPr>
            </w:pPr>
          </w:p>
        </w:tc>
        <w:tc>
          <w:tcPr>
            <w:tcW w:w="540" w:type="dxa"/>
            <w:vAlign w:val="center"/>
          </w:tcPr>
          <w:p w14:paraId="7ECFEAC3" w14:textId="77777777" w:rsidR="00722A47" w:rsidRPr="00722A47" w:rsidRDefault="00722A47" w:rsidP="00722A47">
            <w:pPr>
              <w:spacing w:before="0" w:after="0"/>
              <w:jc w:val="center"/>
              <w:rPr>
                <w:rFonts w:eastAsia="Times New Roman"/>
                <w:sz w:val="18"/>
                <w:szCs w:val="18"/>
                <w:lang w:eastAsia="de-DE"/>
              </w:rPr>
            </w:pPr>
          </w:p>
        </w:tc>
        <w:tc>
          <w:tcPr>
            <w:tcW w:w="538" w:type="dxa"/>
            <w:vAlign w:val="center"/>
          </w:tcPr>
          <w:p w14:paraId="096E2B89" w14:textId="77777777" w:rsidR="00722A47" w:rsidRPr="00722A47" w:rsidRDefault="00722A47" w:rsidP="00722A47">
            <w:pPr>
              <w:spacing w:before="0" w:after="0"/>
              <w:jc w:val="center"/>
              <w:rPr>
                <w:rFonts w:eastAsia="Times New Roman"/>
                <w:sz w:val="18"/>
                <w:szCs w:val="18"/>
                <w:lang w:eastAsia="de-DE"/>
              </w:rPr>
            </w:pPr>
          </w:p>
        </w:tc>
        <w:tc>
          <w:tcPr>
            <w:tcW w:w="572" w:type="dxa"/>
            <w:vAlign w:val="center"/>
          </w:tcPr>
          <w:p w14:paraId="6288E170" w14:textId="77777777" w:rsidR="00722A47" w:rsidRPr="00722A47" w:rsidRDefault="00722A47" w:rsidP="00722A47">
            <w:pPr>
              <w:spacing w:before="0" w:after="0"/>
              <w:jc w:val="center"/>
              <w:rPr>
                <w:rFonts w:eastAsia="Times New Roman"/>
                <w:sz w:val="18"/>
                <w:szCs w:val="18"/>
                <w:lang w:eastAsia="de-DE"/>
              </w:rPr>
            </w:pPr>
          </w:p>
        </w:tc>
        <w:tc>
          <w:tcPr>
            <w:tcW w:w="566" w:type="dxa"/>
            <w:vAlign w:val="center"/>
          </w:tcPr>
          <w:p w14:paraId="383D6825" w14:textId="77777777" w:rsidR="00722A47" w:rsidRPr="00722A47" w:rsidRDefault="00722A47" w:rsidP="00722A47">
            <w:pPr>
              <w:spacing w:before="0" w:after="0"/>
              <w:jc w:val="center"/>
              <w:rPr>
                <w:rFonts w:eastAsia="Times New Roman"/>
                <w:sz w:val="18"/>
                <w:szCs w:val="18"/>
                <w:lang w:eastAsia="de-DE"/>
              </w:rPr>
            </w:pPr>
          </w:p>
        </w:tc>
        <w:tc>
          <w:tcPr>
            <w:tcW w:w="740" w:type="dxa"/>
            <w:vAlign w:val="center"/>
          </w:tcPr>
          <w:p w14:paraId="26D120D8" w14:textId="77777777" w:rsidR="00722A47" w:rsidRPr="00722A47" w:rsidRDefault="00722A47" w:rsidP="00722A47">
            <w:pPr>
              <w:spacing w:before="0" w:after="0"/>
              <w:jc w:val="center"/>
              <w:rPr>
                <w:rFonts w:eastAsia="Times New Roman"/>
                <w:sz w:val="18"/>
                <w:szCs w:val="18"/>
                <w:lang w:eastAsia="de-DE"/>
              </w:rPr>
            </w:pPr>
          </w:p>
        </w:tc>
        <w:tc>
          <w:tcPr>
            <w:tcW w:w="502" w:type="dxa"/>
            <w:vAlign w:val="center"/>
          </w:tcPr>
          <w:p w14:paraId="3FE5CA4C" w14:textId="77777777" w:rsidR="00722A47" w:rsidRPr="00722A47" w:rsidRDefault="00722A47" w:rsidP="00722A47">
            <w:pPr>
              <w:spacing w:before="0" w:after="0"/>
              <w:jc w:val="center"/>
              <w:rPr>
                <w:rFonts w:eastAsia="Times New Roman"/>
                <w:sz w:val="18"/>
                <w:szCs w:val="18"/>
                <w:lang w:eastAsia="de-DE"/>
              </w:rPr>
            </w:pPr>
          </w:p>
        </w:tc>
        <w:tc>
          <w:tcPr>
            <w:tcW w:w="502" w:type="dxa"/>
            <w:vAlign w:val="center"/>
          </w:tcPr>
          <w:p w14:paraId="6D8E988D" w14:textId="77777777" w:rsidR="00722A47" w:rsidRPr="00722A47" w:rsidRDefault="00722A47" w:rsidP="00722A47">
            <w:pPr>
              <w:spacing w:before="0" w:after="0"/>
              <w:jc w:val="center"/>
              <w:rPr>
                <w:rFonts w:eastAsia="Times New Roman"/>
                <w:sz w:val="18"/>
                <w:szCs w:val="18"/>
                <w:lang w:eastAsia="de-DE"/>
              </w:rPr>
            </w:pPr>
          </w:p>
        </w:tc>
        <w:tc>
          <w:tcPr>
            <w:tcW w:w="502" w:type="dxa"/>
            <w:vAlign w:val="center"/>
          </w:tcPr>
          <w:p w14:paraId="127F5C5A" w14:textId="77777777" w:rsidR="00722A47" w:rsidRPr="00722A47" w:rsidRDefault="00722A47" w:rsidP="00722A47">
            <w:pPr>
              <w:spacing w:before="0" w:after="0"/>
              <w:jc w:val="center"/>
              <w:rPr>
                <w:rFonts w:eastAsia="Times New Roman"/>
                <w:sz w:val="18"/>
                <w:szCs w:val="18"/>
                <w:lang w:eastAsia="de-DE"/>
              </w:rPr>
            </w:pPr>
            <w:r w:rsidRPr="00722A47">
              <w:rPr>
                <w:rFonts w:eastAsia="Times New Roman"/>
                <w:sz w:val="18"/>
                <w:szCs w:val="18"/>
                <w:lang w:eastAsia="de-DE"/>
              </w:rPr>
              <w:t>X</w:t>
            </w:r>
          </w:p>
        </w:tc>
      </w:tr>
    </w:tbl>
    <w:p w14:paraId="06EA1DF0" w14:textId="77777777" w:rsidR="00722A47" w:rsidRPr="00722A47" w:rsidRDefault="00722A47" w:rsidP="00722A47">
      <w:pPr>
        <w:spacing w:before="0" w:after="0"/>
        <w:jc w:val="left"/>
        <w:rPr>
          <w:rFonts w:eastAsia="Times New Roman"/>
          <w:bCs/>
          <w:lang w:eastAsia="de-DE"/>
        </w:rPr>
      </w:pPr>
    </w:p>
    <w:p w14:paraId="5E8B2E6B" w14:textId="77777777" w:rsidR="00722A47" w:rsidRPr="00722A47" w:rsidRDefault="00722A47" w:rsidP="00722A47">
      <w:pPr>
        <w:spacing w:before="0" w:after="0"/>
        <w:jc w:val="left"/>
        <w:rPr>
          <w:rFonts w:eastAsia="Times New Roman"/>
          <w:bCs/>
          <w:lang w:eastAsia="de-DE"/>
        </w:rPr>
      </w:pPr>
      <w:r w:rsidRPr="00722A47">
        <w:rPr>
          <w:rFonts w:eastAsia="Times New Roman"/>
          <w:b/>
          <w:sz w:val="16"/>
          <w:szCs w:val="16"/>
          <w:vertAlign w:val="superscript"/>
          <w:lang w:eastAsia="de-DE"/>
        </w:rPr>
        <w:t>1</w:t>
      </w:r>
      <w:r w:rsidRPr="00722A47">
        <w:rPr>
          <w:rFonts w:eastAsia="Times New Roman"/>
          <w:bCs/>
          <w:sz w:val="16"/>
          <w:szCs w:val="16"/>
          <w:lang w:eastAsia="de-DE"/>
        </w:rPr>
        <w:t xml:space="preserve">Dimefuron, </w:t>
      </w:r>
      <w:proofErr w:type="spellStart"/>
      <w:r w:rsidRPr="00722A47">
        <w:rPr>
          <w:rFonts w:eastAsia="Times New Roman"/>
          <w:bCs/>
          <w:sz w:val="16"/>
          <w:szCs w:val="16"/>
          <w:lang w:eastAsia="de-DE"/>
        </w:rPr>
        <w:t>Flazasulfuron</w:t>
      </w:r>
      <w:proofErr w:type="spellEnd"/>
      <w:r w:rsidRPr="00722A47">
        <w:rPr>
          <w:rFonts w:eastAsia="Times New Roman"/>
          <w:bCs/>
          <w:sz w:val="16"/>
          <w:szCs w:val="16"/>
          <w:lang w:eastAsia="de-DE"/>
        </w:rPr>
        <w:t xml:space="preserve">, </w:t>
      </w:r>
      <w:proofErr w:type="spellStart"/>
      <w:r w:rsidRPr="00722A47">
        <w:rPr>
          <w:rFonts w:eastAsia="Times New Roman"/>
          <w:bCs/>
          <w:sz w:val="16"/>
          <w:szCs w:val="16"/>
          <w:lang w:eastAsia="de-DE"/>
        </w:rPr>
        <w:t>Flumioxazin</w:t>
      </w:r>
      <w:proofErr w:type="spellEnd"/>
      <w:r w:rsidRPr="00722A47">
        <w:rPr>
          <w:rFonts w:eastAsia="Times New Roman"/>
          <w:bCs/>
          <w:sz w:val="16"/>
          <w:szCs w:val="16"/>
          <w:lang w:eastAsia="de-DE"/>
        </w:rPr>
        <w:t xml:space="preserve">, </w:t>
      </w:r>
      <w:proofErr w:type="spellStart"/>
      <w:r w:rsidRPr="00722A47">
        <w:rPr>
          <w:rFonts w:eastAsia="Times New Roman"/>
          <w:bCs/>
          <w:sz w:val="16"/>
          <w:szCs w:val="16"/>
          <w:lang w:eastAsia="de-DE"/>
        </w:rPr>
        <w:t>Ethidimuron</w:t>
      </w:r>
      <w:proofErr w:type="spellEnd"/>
      <w:r w:rsidRPr="00722A47">
        <w:rPr>
          <w:rFonts w:eastAsia="Times New Roman"/>
          <w:bCs/>
          <w:sz w:val="16"/>
          <w:szCs w:val="16"/>
          <w:lang w:eastAsia="de-DE"/>
        </w:rPr>
        <w:t xml:space="preserve">, </w:t>
      </w:r>
      <w:proofErr w:type="spellStart"/>
      <w:r w:rsidRPr="00722A47">
        <w:rPr>
          <w:rFonts w:eastAsia="Times New Roman"/>
          <w:bCs/>
          <w:sz w:val="16"/>
          <w:szCs w:val="16"/>
          <w:lang w:eastAsia="de-DE"/>
        </w:rPr>
        <w:t>Thiazafluron</w:t>
      </w:r>
      <w:proofErr w:type="spellEnd"/>
      <w:r w:rsidRPr="00722A47">
        <w:rPr>
          <w:rFonts w:eastAsia="Times New Roman"/>
          <w:bCs/>
          <w:sz w:val="16"/>
          <w:szCs w:val="16"/>
          <w:lang w:eastAsia="de-DE"/>
        </w:rPr>
        <w:t xml:space="preserve"> sowie neu zugelassene Wirkstoffe.</w:t>
      </w:r>
      <w:r w:rsidRPr="00722A47">
        <w:rPr>
          <w:rFonts w:eastAsia="Times New Roman"/>
          <w:bCs/>
          <w:lang w:eastAsia="de-DE"/>
        </w:rPr>
        <w:br/>
      </w:r>
      <w:r w:rsidRPr="00722A47">
        <w:rPr>
          <w:rFonts w:eastAsia="Times New Roman"/>
          <w:bCs/>
          <w:lang w:eastAsia="de-DE"/>
        </w:rPr>
        <w:br/>
      </w:r>
      <w:r w:rsidRPr="00722A47">
        <w:rPr>
          <w:rFonts w:eastAsia="Times New Roman"/>
          <w:b/>
          <w:lang w:eastAsia="de-DE"/>
        </w:rPr>
        <w:t>2.2 Überwachungswerte (Feststoffwerte)</w:t>
      </w:r>
      <w:r w:rsidRPr="00722A47">
        <w:rPr>
          <w:rFonts w:eastAsia="Times New Roman"/>
          <w:bCs/>
          <w:lang w:eastAsia="de-DE"/>
        </w:rPr>
        <w:t xml:space="preserve"> </w:t>
      </w:r>
      <w:r w:rsidRPr="00722A47">
        <w:rPr>
          <w:rFonts w:eastAsia="Times New Roman"/>
          <w:b/>
          <w:bCs/>
          <w:lang w:eastAsia="de-DE"/>
        </w:rPr>
        <w:t>bei RC-Baustoffen</w:t>
      </w:r>
      <w:r w:rsidRPr="00722A47">
        <w:rPr>
          <w:rFonts w:eastAsia="Times New Roman"/>
          <w:bCs/>
          <w:lang w:eastAsia="de-DE"/>
        </w:rPr>
        <w:t xml:space="preserve"> </w:t>
      </w:r>
    </w:p>
    <w:p w14:paraId="1C809B7C" w14:textId="77777777" w:rsidR="00722A47" w:rsidRPr="00722A47" w:rsidRDefault="00722A47" w:rsidP="00722A47">
      <w:pPr>
        <w:spacing w:before="0" w:after="0"/>
        <w:jc w:val="left"/>
        <w:rPr>
          <w:rFonts w:eastAsia="Times New Roman"/>
          <w:bCs/>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1"/>
        <w:gridCol w:w="1097"/>
      </w:tblGrid>
      <w:tr w:rsidR="00722A47" w:rsidRPr="00722A47" w14:paraId="19C155F0" w14:textId="77777777" w:rsidTr="004954C9">
        <w:tc>
          <w:tcPr>
            <w:tcW w:w="1384" w:type="dxa"/>
            <w:shd w:val="clear" w:color="auto" w:fill="auto"/>
          </w:tcPr>
          <w:p w14:paraId="0CD9AB02" w14:textId="77777777" w:rsidR="00722A47" w:rsidRPr="00722A47" w:rsidRDefault="00722A47" w:rsidP="00722A47">
            <w:pPr>
              <w:overflowPunct w:val="0"/>
              <w:autoSpaceDE w:val="0"/>
              <w:autoSpaceDN w:val="0"/>
              <w:adjustRightInd w:val="0"/>
              <w:spacing w:before="0" w:after="0"/>
              <w:jc w:val="center"/>
              <w:textAlignment w:val="baseline"/>
              <w:rPr>
                <w:rFonts w:eastAsia="Times New Roman"/>
                <w:b/>
                <w:lang w:val="en-US" w:eastAsia="de-DE"/>
              </w:rPr>
            </w:pPr>
            <w:r w:rsidRPr="00722A47">
              <w:rPr>
                <w:rFonts w:eastAsia="Times New Roman"/>
                <w:b/>
                <w:lang w:val="en-US" w:eastAsia="de-DE"/>
              </w:rPr>
              <w:t>Parameter</w:t>
            </w:r>
          </w:p>
        </w:tc>
        <w:tc>
          <w:tcPr>
            <w:tcW w:w="851" w:type="dxa"/>
            <w:shd w:val="clear" w:color="auto" w:fill="auto"/>
          </w:tcPr>
          <w:p w14:paraId="15821FBB" w14:textId="77777777" w:rsidR="00722A47" w:rsidRPr="00722A47" w:rsidRDefault="00722A47" w:rsidP="00722A47">
            <w:pPr>
              <w:overflowPunct w:val="0"/>
              <w:autoSpaceDE w:val="0"/>
              <w:autoSpaceDN w:val="0"/>
              <w:adjustRightInd w:val="0"/>
              <w:spacing w:before="0" w:after="0"/>
              <w:jc w:val="center"/>
              <w:textAlignment w:val="baseline"/>
              <w:rPr>
                <w:rFonts w:eastAsia="Times New Roman"/>
                <w:b/>
                <w:bCs/>
                <w:lang w:eastAsia="de-DE"/>
              </w:rPr>
            </w:pPr>
            <w:r w:rsidRPr="00722A47">
              <w:rPr>
                <w:rFonts w:eastAsia="Times New Roman"/>
                <w:b/>
                <w:bCs/>
                <w:lang w:eastAsia="de-DE"/>
              </w:rPr>
              <w:t>Dim.</w:t>
            </w:r>
          </w:p>
        </w:tc>
        <w:tc>
          <w:tcPr>
            <w:tcW w:w="851" w:type="dxa"/>
          </w:tcPr>
          <w:p w14:paraId="3C07FEA8" w14:textId="77777777" w:rsidR="00722A47" w:rsidRPr="00722A47" w:rsidRDefault="00722A47" w:rsidP="00722A47">
            <w:pPr>
              <w:overflowPunct w:val="0"/>
              <w:autoSpaceDE w:val="0"/>
              <w:autoSpaceDN w:val="0"/>
              <w:adjustRightInd w:val="0"/>
              <w:spacing w:before="0" w:after="0"/>
              <w:jc w:val="center"/>
              <w:textAlignment w:val="baseline"/>
              <w:rPr>
                <w:rFonts w:eastAsia="Times New Roman"/>
                <w:b/>
                <w:bCs/>
                <w:lang w:eastAsia="de-DE"/>
              </w:rPr>
            </w:pPr>
          </w:p>
        </w:tc>
      </w:tr>
      <w:tr w:rsidR="00722A47" w:rsidRPr="00722A47" w14:paraId="02779569" w14:textId="77777777" w:rsidTr="004954C9">
        <w:tc>
          <w:tcPr>
            <w:tcW w:w="1384" w:type="dxa"/>
            <w:shd w:val="clear" w:color="auto" w:fill="auto"/>
          </w:tcPr>
          <w:p w14:paraId="290AA909"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
                <w:lang w:val="en-US" w:eastAsia="de-DE"/>
              </w:rPr>
            </w:pPr>
            <w:proofErr w:type="spellStart"/>
            <w:r w:rsidRPr="00722A47">
              <w:rPr>
                <w:rFonts w:eastAsia="Times New Roman"/>
                <w:b/>
                <w:lang w:val="en-US" w:eastAsia="de-DE"/>
              </w:rPr>
              <w:t>Arsen</w:t>
            </w:r>
            <w:proofErr w:type="spellEnd"/>
          </w:p>
        </w:tc>
        <w:tc>
          <w:tcPr>
            <w:tcW w:w="851" w:type="dxa"/>
            <w:shd w:val="clear" w:color="auto" w:fill="auto"/>
          </w:tcPr>
          <w:p w14:paraId="190397BD"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mg/kg</w:t>
            </w:r>
          </w:p>
        </w:tc>
        <w:tc>
          <w:tcPr>
            <w:tcW w:w="851" w:type="dxa"/>
          </w:tcPr>
          <w:p w14:paraId="39E0DC7E"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40</w:t>
            </w:r>
          </w:p>
        </w:tc>
      </w:tr>
      <w:tr w:rsidR="00722A47" w:rsidRPr="00722A47" w14:paraId="7B5A5A80" w14:textId="77777777" w:rsidTr="004954C9">
        <w:tc>
          <w:tcPr>
            <w:tcW w:w="1384" w:type="dxa"/>
            <w:shd w:val="clear" w:color="auto" w:fill="auto"/>
          </w:tcPr>
          <w:p w14:paraId="40AB8322"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
                <w:lang w:val="en-US" w:eastAsia="de-DE"/>
              </w:rPr>
            </w:pPr>
            <w:proofErr w:type="spellStart"/>
            <w:r w:rsidRPr="00722A47">
              <w:rPr>
                <w:rFonts w:eastAsia="Times New Roman"/>
                <w:b/>
                <w:lang w:val="en-US" w:eastAsia="de-DE"/>
              </w:rPr>
              <w:t>Blei</w:t>
            </w:r>
            <w:proofErr w:type="spellEnd"/>
          </w:p>
        </w:tc>
        <w:tc>
          <w:tcPr>
            <w:tcW w:w="851" w:type="dxa"/>
            <w:shd w:val="clear" w:color="auto" w:fill="auto"/>
          </w:tcPr>
          <w:p w14:paraId="0ED28CB8"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mg/kg</w:t>
            </w:r>
          </w:p>
        </w:tc>
        <w:tc>
          <w:tcPr>
            <w:tcW w:w="851" w:type="dxa"/>
          </w:tcPr>
          <w:p w14:paraId="3E6D1F66"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140</w:t>
            </w:r>
          </w:p>
        </w:tc>
      </w:tr>
      <w:tr w:rsidR="00722A47" w:rsidRPr="00722A47" w14:paraId="484D9580" w14:textId="77777777" w:rsidTr="004954C9">
        <w:tc>
          <w:tcPr>
            <w:tcW w:w="1384" w:type="dxa"/>
            <w:shd w:val="clear" w:color="auto" w:fill="auto"/>
          </w:tcPr>
          <w:p w14:paraId="544EE785"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
                <w:lang w:val="en-US" w:eastAsia="de-DE"/>
              </w:rPr>
            </w:pPr>
            <w:proofErr w:type="spellStart"/>
            <w:r w:rsidRPr="00722A47">
              <w:rPr>
                <w:rFonts w:eastAsia="Times New Roman"/>
                <w:b/>
                <w:lang w:val="en-US" w:eastAsia="de-DE"/>
              </w:rPr>
              <w:t>Chrom</w:t>
            </w:r>
            <w:proofErr w:type="spellEnd"/>
          </w:p>
        </w:tc>
        <w:tc>
          <w:tcPr>
            <w:tcW w:w="851" w:type="dxa"/>
            <w:shd w:val="clear" w:color="auto" w:fill="auto"/>
          </w:tcPr>
          <w:p w14:paraId="7214BF71"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mg/kg</w:t>
            </w:r>
          </w:p>
        </w:tc>
        <w:tc>
          <w:tcPr>
            <w:tcW w:w="851" w:type="dxa"/>
          </w:tcPr>
          <w:p w14:paraId="210141FF"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120</w:t>
            </w:r>
          </w:p>
        </w:tc>
      </w:tr>
      <w:tr w:rsidR="00722A47" w:rsidRPr="00722A47" w14:paraId="7BBDCF38" w14:textId="77777777" w:rsidTr="004954C9">
        <w:tc>
          <w:tcPr>
            <w:tcW w:w="1384" w:type="dxa"/>
            <w:shd w:val="clear" w:color="auto" w:fill="auto"/>
          </w:tcPr>
          <w:p w14:paraId="636D1C60"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
                <w:lang w:val="en-US" w:eastAsia="de-DE"/>
              </w:rPr>
            </w:pPr>
            <w:r w:rsidRPr="00722A47">
              <w:rPr>
                <w:rFonts w:eastAsia="Times New Roman"/>
                <w:b/>
                <w:lang w:val="en-US" w:eastAsia="de-DE"/>
              </w:rPr>
              <w:t>Cadmium</w:t>
            </w:r>
          </w:p>
        </w:tc>
        <w:tc>
          <w:tcPr>
            <w:tcW w:w="851" w:type="dxa"/>
            <w:shd w:val="clear" w:color="auto" w:fill="auto"/>
          </w:tcPr>
          <w:p w14:paraId="6BE676A6"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mg/kg</w:t>
            </w:r>
          </w:p>
        </w:tc>
        <w:tc>
          <w:tcPr>
            <w:tcW w:w="851" w:type="dxa"/>
          </w:tcPr>
          <w:p w14:paraId="0362AE1A"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2</w:t>
            </w:r>
          </w:p>
        </w:tc>
      </w:tr>
      <w:tr w:rsidR="00722A47" w:rsidRPr="00722A47" w14:paraId="6F1B62A0" w14:textId="77777777" w:rsidTr="004954C9">
        <w:tc>
          <w:tcPr>
            <w:tcW w:w="1384" w:type="dxa"/>
            <w:shd w:val="clear" w:color="auto" w:fill="auto"/>
          </w:tcPr>
          <w:p w14:paraId="3BC384E4"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
                <w:lang w:val="en-US" w:eastAsia="de-DE"/>
              </w:rPr>
            </w:pPr>
            <w:r w:rsidRPr="00722A47">
              <w:rPr>
                <w:rFonts w:eastAsia="Times New Roman"/>
                <w:b/>
                <w:lang w:val="en-US" w:eastAsia="de-DE"/>
              </w:rPr>
              <w:t>Kupfer</w:t>
            </w:r>
          </w:p>
        </w:tc>
        <w:tc>
          <w:tcPr>
            <w:tcW w:w="851" w:type="dxa"/>
            <w:shd w:val="clear" w:color="auto" w:fill="auto"/>
          </w:tcPr>
          <w:p w14:paraId="56CDE7E2"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mg/kg</w:t>
            </w:r>
          </w:p>
        </w:tc>
        <w:tc>
          <w:tcPr>
            <w:tcW w:w="851" w:type="dxa"/>
          </w:tcPr>
          <w:p w14:paraId="3445A6C3"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80</w:t>
            </w:r>
          </w:p>
        </w:tc>
      </w:tr>
      <w:tr w:rsidR="00722A47" w:rsidRPr="00722A47" w14:paraId="42AA1E59" w14:textId="77777777" w:rsidTr="004954C9">
        <w:tc>
          <w:tcPr>
            <w:tcW w:w="1384" w:type="dxa"/>
            <w:shd w:val="clear" w:color="auto" w:fill="auto"/>
          </w:tcPr>
          <w:p w14:paraId="08A38186"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
                <w:lang w:val="en-US" w:eastAsia="de-DE"/>
              </w:rPr>
            </w:pPr>
            <w:proofErr w:type="spellStart"/>
            <w:r w:rsidRPr="00722A47">
              <w:rPr>
                <w:rFonts w:eastAsia="Times New Roman"/>
                <w:b/>
                <w:lang w:val="en-US" w:eastAsia="de-DE"/>
              </w:rPr>
              <w:t>Quecksilber</w:t>
            </w:r>
            <w:proofErr w:type="spellEnd"/>
          </w:p>
        </w:tc>
        <w:tc>
          <w:tcPr>
            <w:tcW w:w="851" w:type="dxa"/>
            <w:shd w:val="clear" w:color="auto" w:fill="auto"/>
          </w:tcPr>
          <w:p w14:paraId="03ACACA7"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mg/kg</w:t>
            </w:r>
          </w:p>
        </w:tc>
        <w:tc>
          <w:tcPr>
            <w:tcW w:w="851" w:type="dxa"/>
          </w:tcPr>
          <w:p w14:paraId="12683446"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0,6</w:t>
            </w:r>
          </w:p>
        </w:tc>
      </w:tr>
      <w:tr w:rsidR="00722A47" w:rsidRPr="00722A47" w14:paraId="0FC2B89A" w14:textId="77777777" w:rsidTr="004954C9">
        <w:tc>
          <w:tcPr>
            <w:tcW w:w="1384" w:type="dxa"/>
            <w:shd w:val="clear" w:color="auto" w:fill="auto"/>
          </w:tcPr>
          <w:p w14:paraId="135B09A9"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
                <w:lang w:val="en-US" w:eastAsia="de-DE"/>
              </w:rPr>
            </w:pPr>
            <w:r w:rsidRPr="00722A47">
              <w:rPr>
                <w:rFonts w:eastAsia="Times New Roman"/>
                <w:b/>
                <w:lang w:val="en-US" w:eastAsia="de-DE"/>
              </w:rPr>
              <w:t>Nickel</w:t>
            </w:r>
          </w:p>
        </w:tc>
        <w:tc>
          <w:tcPr>
            <w:tcW w:w="851" w:type="dxa"/>
            <w:shd w:val="clear" w:color="auto" w:fill="auto"/>
          </w:tcPr>
          <w:p w14:paraId="268E5D41"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mg/kg</w:t>
            </w:r>
          </w:p>
        </w:tc>
        <w:tc>
          <w:tcPr>
            <w:tcW w:w="851" w:type="dxa"/>
          </w:tcPr>
          <w:p w14:paraId="3E9C5DAE"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100</w:t>
            </w:r>
          </w:p>
        </w:tc>
      </w:tr>
      <w:tr w:rsidR="00722A47" w:rsidRPr="00722A47" w14:paraId="3706C4DC" w14:textId="77777777" w:rsidTr="004954C9">
        <w:tc>
          <w:tcPr>
            <w:tcW w:w="1384" w:type="dxa"/>
            <w:shd w:val="clear" w:color="auto" w:fill="auto"/>
          </w:tcPr>
          <w:p w14:paraId="3C309DFF"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
                <w:lang w:val="en-US" w:eastAsia="de-DE"/>
              </w:rPr>
            </w:pPr>
            <w:r w:rsidRPr="00722A47">
              <w:rPr>
                <w:rFonts w:eastAsia="Times New Roman"/>
                <w:b/>
                <w:lang w:val="en-US" w:eastAsia="de-DE"/>
              </w:rPr>
              <w:t>Thallium</w:t>
            </w:r>
          </w:p>
        </w:tc>
        <w:tc>
          <w:tcPr>
            <w:tcW w:w="851" w:type="dxa"/>
            <w:shd w:val="clear" w:color="auto" w:fill="auto"/>
          </w:tcPr>
          <w:p w14:paraId="302A265D"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mg/kg</w:t>
            </w:r>
          </w:p>
        </w:tc>
        <w:tc>
          <w:tcPr>
            <w:tcW w:w="851" w:type="dxa"/>
          </w:tcPr>
          <w:p w14:paraId="5C0E98BF"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2</w:t>
            </w:r>
          </w:p>
        </w:tc>
      </w:tr>
      <w:tr w:rsidR="00722A47" w:rsidRPr="00722A47" w14:paraId="3AF5BFBA" w14:textId="77777777" w:rsidTr="004954C9">
        <w:tc>
          <w:tcPr>
            <w:tcW w:w="1384" w:type="dxa"/>
            <w:shd w:val="clear" w:color="auto" w:fill="auto"/>
          </w:tcPr>
          <w:p w14:paraId="19BAEDDD"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
                <w:lang w:val="en-US" w:eastAsia="de-DE"/>
              </w:rPr>
            </w:pPr>
            <w:r w:rsidRPr="00722A47">
              <w:rPr>
                <w:rFonts w:eastAsia="Times New Roman"/>
                <w:b/>
                <w:lang w:val="en-US" w:eastAsia="de-DE"/>
              </w:rPr>
              <w:t>Zink</w:t>
            </w:r>
          </w:p>
        </w:tc>
        <w:tc>
          <w:tcPr>
            <w:tcW w:w="851" w:type="dxa"/>
            <w:shd w:val="clear" w:color="auto" w:fill="auto"/>
          </w:tcPr>
          <w:p w14:paraId="3343E4C5"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mg/kg</w:t>
            </w:r>
          </w:p>
        </w:tc>
        <w:tc>
          <w:tcPr>
            <w:tcW w:w="851" w:type="dxa"/>
          </w:tcPr>
          <w:p w14:paraId="4EAC16DB"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300</w:t>
            </w:r>
          </w:p>
        </w:tc>
      </w:tr>
      <w:tr w:rsidR="00722A47" w:rsidRPr="00722A47" w14:paraId="41066465" w14:textId="77777777" w:rsidTr="004954C9">
        <w:tc>
          <w:tcPr>
            <w:tcW w:w="1384" w:type="dxa"/>
            <w:shd w:val="clear" w:color="auto" w:fill="auto"/>
          </w:tcPr>
          <w:p w14:paraId="00C91931"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
                <w:lang w:val="en-US" w:eastAsia="de-DE"/>
              </w:rPr>
            </w:pPr>
            <w:r w:rsidRPr="00722A47">
              <w:rPr>
                <w:rFonts w:eastAsia="Times New Roman"/>
                <w:b/>
                <w:lang w:val="en-US" w:eastAsia="de-DE"/>
              </w:rPr>
              <w:t>Kohlenwasserstoffe</w:t>
            </w:r>
            <w:r w:rsidRPr="00722A47">
              <w:rPr>
                <w:rFonts w:eastAsia="Times New Roman"/>
                <w:b/>
                <w:vertAlign w:val="superscript"/>
                <w:lang w:val="en-US" w:eastAsia="de-DE"/>
              </w:rPr>
              <w:t>1</w:t>
            </w:r>
          </w:p>
        </w:tc>
        <w:tc>
          <w:tcPr>
            <w:tcW w:w="851" w:type="dxa"/>
            <w:shd w:val="clear" w:color="auto" w:fill="auto"/>
          </w:tcPr>
          <w:p w14:paraId="3DD81F61"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mg/kg</w:t>
            </w:r>
          </w:p>
        </w:tc>
        <w:tc>
          <w:tcPr>
            <w:tcW w:w="851" w:type="dxa"/>
          </w:tcPr>
          <w:p w14:paraId="27389705"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300(600)</w:t>
            </w:r>
          </w:p>
        </w:tc>
      </w:tr>
      <w:tr w:rsidR="00722A47" w:rsidRPr="00722A47" w14:paraId="5A3294DB" w14:textId="77777777" w:rsidTr="004954C9">
        <w:tc>
          <w:tcPr>
            <w:tcW w:w="1384" w:type="dxa"/>
            <w:shd w:val="clear" w:color="auto" w:fill="auto"/>
          </w:tcPr>
          <w:p w14:paraId="2D465EC5"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
                <w:lang w:val="en-US" w:eastAsia="de-DE"/>
              </w:rPr>
            </w:pPr>
            <w:r w:rsidRPr="00722A47">
              <w:rPr>
                <w:rFonts w:eastAsia="Times New Roman"/>
                <w:b/>
                <w:lang w:val="en-US" w:eastAsia="de-DE"/>
              </w:rPr>
              <w:t>PCB</w:t>
            </w:r>
            <w:r w:rsidRPr="00722A47">
              <w:rPr>
                <w:rFonts w:eastAsia="Times New Roman"/>
                <w:b/>
                <w:vertAlign w:val="subscript"/>
                <w:lang w:val="en-US" w:eastAsia="de-DE"/>
              </w:rPr>
              <w:t>6</w:t>
            </w:r>
            <w:r w:rsidRPr="00722A47">
              <w:rPr>
                <w:rFonts w:eastAsia="Times New Roman"/>
                <w:b/>
                <w:lang w:val="en-US" w:eastAsia="de-DE"/>
              </w:rPr>
              <w:t xml:space="preserve"> und PCB-118 </w:t>
            </w:r>
          </w:p>
        </w:tc>
        <w:tc>
          <w:tcPr>
            <w:tcW w:w="851" w:type="dxa"/>
            <w:shd w:val="clear" w:color="auto" w:fill="auto"/>
          </w:tcPr>
          <w:p w14:paraId="7FAE6A81"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mg/kg</w:t>
            </w:r>
          </w:p>
        </w:tc>
        <w:tc>
          <w:tcPr>
            <w:tcW w:w="851" w:type="dxa"/>
          </w:tcPr>
          <w:p w14:paraId="6138C6E1" w14:textId="77777777" w:rsidR="00722A47" w:rsidRPr="00722A47" w:rsidRDefault="00722A47" w:rsidP="00722A47">
            <w:pPr>
              <w:overflowPunct w:val="0"/>
              <w:autoSpaceDE w:val="0"/>
              <w:autoSpaceDN w:val="0"/>
              <w:adjustRightInd w:val="0"/>
              <w:spacing w:before="0" w:after="0"/>
              <w:jc w:val="left"/>
              <w:textAlignment w:val="baseline"/>
              <w:rPr>
                <w:rFonts w:eastAsia="Times New Roman"/>
                <w:bCs/>
                <w:lang w:eastAsia="de-DE"/>
              </w:rPr>
            </w:pPr>
            <w:r w:rsidRPr="00722A47">
              <w:rPr>
                <w:rFonts w:eastAsia="Times New Roman"/>
                <w:bCs/>
                <w:lang w:eastAsia="de-DE"/>
              </w:rPr>
              <w:t>0,15</w:t>
            </w:r>
          </w:p>
        </w:tc>
      </w:tr>
    </w:tbl>
    <w:p w14:paraId="61857DB5" w14:textId="7BA3904D" w:rsidR="00722A47" w:rsidRDefault="00722A47" w:rsidP="00722A47">
      <w:pPr>
        <w:spacing w:before="0" w:after="0"/>
        <w:jc w:val="left"/>
        <w:rPr>
          <w:rFonts w:eastAsia="Times New Roman"/>
          <w:sz w:val="16"/>
          <w:szCs w:val="16"/>
          <w:lang w:eastAsia="de-DE"/>
        </w:rPr>
      </w:pPr>
      <w:r w:rsidRPr="00722A47">
        <w:rPr>
          <w:rFonts w:eastAsia="Times New Roman"/>
          <w:sz w:val="16"/>
          <w:szCs w:val="16"/>
          <w:vertAlign w:val="superscript"/>
          <w:lang w:eastAsia="de-DE"/>
        </w:rPr>
        <w:t>1</w:t>
      </w:r>
      <w:r w:rsidRPr="00722A47">
        <w:rPr>
          <w:rFonts w:eastAsia="Times New Roman"/>
          <w:sz w:val="16"/>
          <w:szCs w:val="16"/>
          <w:lang w:eastAsia="de-DE"/>
        </w:rPr>
        <w:t xml:space="preserve"> Der angegebene Wert gilt für Kohlenwasserstoffverbindung mit einer Kettenlänge von C10 bis C22. Der Gesamtgehalt (C10 – C40) bestimmt nach der DIN EN 14039, Ausgabe Januar 2005 darf insgesamt den in Klammern genannten Wert nicht überschreiten. Überschreitungen die auf Asphaltanteile zurückzuführen sind, stellen kein Ausschlusskriterium dar.</w:t>
      </w:r>
    </w:p>
    <w:p w14:paraId="4CE3C80B" w14:textId="77777777" w:rsidR="00D5621D" w:rsidRPr="00722A47" w:rsidRDefault="00D5621D" w:rsidP="00722A47">
      <w:pPr>
        <w:spacing w:before="0" w:after="0"/>
        <w:jc w:val="left"/>
        <w:rPr>
          <w:rFonts w:eastAsia="Times New Roman"/>
          <w:sz w:val="16"/>
          <w:szCs w:val="16"/>
          <w:lang w:eastAsia="de-DE"/>
        </w:rPr>
      </w:pPr>
    </w:p>
    <w:p w14:paraId="4552E991" w14:textId="34F9D64C" w:rsidR="00722A47" w:rsidRPr="00722A47" w:rsidRDefault="00722A47" w:rsidP="00722A47">
      <w:pPr>
        <w:autoSpaceDE w:val="0"/>
        <w:autoSpaceDN w:val="0"/>
        <w:spacing w:before="0" w:after="0"/>
        <w:jc w:val="left"/>
        <w:rPr>
          <w:rFonts w:eastAsia="Times New Roman"/>
          <w:b/>
          <w:lang w:eastAsia="de-DE"/>
        </w:rPr>
      </w:pPr>
      <w:r w:rsidRPr="00722A47">
        <w:rPr>
          <w:rFonts w:eastAsia="Times New Roman"/>
          <w:b/>
          <w:lang w:eastAsia="de-DE"/>
        </w:rPr>
        <w:t>2.3 CBR-Versuch, zu § 5 Absatz 2 Satz 4</w:t>
      </w:r>
    </w:p>
    <w:p w14:paraId="18D726B6" w14:textId="77777777" w:rsidR="00722A47" w:rsidRPr="00722A47" w:rsidRDefault="00722A47" w:rsidP="00722A47">
      <w:pPr>
        <w:autoSpaceDE w:val="0"/>
        <w:autoSpaceDN w:val="0"/>
        <w:spacing w:before="0" w:after="0"/>
        <w:jc w:val="left"/>
        <w:rPr>
          <w:rFonts w:eastAsia="Times New Roman"/>
          <w:i/>
          <w:iCs/>
          <w:color w:val="FF000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194"/>
      </w:tblGrid>
      <w:tr w:rsidR="00722A47" w:rsidRPr="00722A47" w14:paraId="52FB35D8" w14:textId="77777777" w:rsidTr="004954C9">
        <w:tc>
          <w:tcPr>
            <w:tcW w:w="2093" w:type="dxa"/>
            <w:shd w:val="clear" w:color="auto" w:fill="auto"/>
          </w:tcPr>
          <w:p w14:paraId="10F4CF17" w14:textId="77777777" w:rsidR="00722A47" w:rsidRPr="00722A47" w:rsidRDefault="00722A47" w:rsidP="00722A47">
            <w:pPr>
              <w:autoSpaceDE w:val="0"/>
              <w:autoSpaceDN w:val="0"/>
              <w:spacing w:before="0" w:after="0" w:line="240" w:lineRule="exact"/>
              <w:jc w:val="left"/>
              <w:rPr>
                <w:rFonts w:eastAsia="Times New Roman"/>
                <w:iCs/>
                <w:sz w:val="20"/>
                <w:szCs w:val="20"/>
                <w:lang w:eastAsia="de-DE"/>
              </w:rPr>
            </w:pPr>
            <w:r w:rsidRPr="00722A47">
              <w:rPr>
                <w:rFonts w:eastAsia="Times New Roman"/>
                <w:iCs/>
                <w:sz w:val="20"/>
                <w:szCs w:val="20"/>
                <w:lang w:eastAsia="de-DE"/>
              </w:rPr>
              <w:t>Ermittlung des CBR-Wertes</w:t>
            </w:r>
          </w:p>
        </w:tc>
        <w:tc>
          <w:tcPr>
            <w:tcW w:w="7194" w:type="dxa"/>
            <w:shd w:val="clear" w:color="auto" w:fill="auto"/>
          </w:tcPr>
          <w:p w14:paraId="1AB956F6" w14:textId="77777777" w:rsidR="00722A47" w:rsidRPr="00722A47" w:rsidRDefault="00722A47" w:rsidP="00722A47">
            <w:pPr>
              <w:autoSpaceDE w:val="0"/>
              <w:autoSpaceDN w:val="0"/>
              <w:spacing w:before="0" w:after="0" w:line="240" w:lineRule="exact"/>
              <w:jc w:val="left"/>
              <w:rPr>
                <w:rFonts w:eastAsia="Times New Roman"/>
                <w:iCs/>
                <w:sz w:val="20"/>
                <w:szCs w:val="20"/>
                <w:lang w:eastAsia="de-DE"/>
              </w:rPr>
            </w:pPr>
            <w:r w:rsidRPr="00722A47">
              <w:rPr>
                <w:rFonts w:eastAsia="Times New Roman"/>
                <w:sz w:val="20"/>
                <w:szCs w:val="20"/>
                <w:lang w:eastAsia="de-DE"/>
              </w:rPr>
              <w:t xml:space="preserve">DIN EN </w:t>
            </w:r>
            <w:r w:rsidRPr="00722A47">
              <w:rPr>
                <w:rFonts w:eastAsia="Times New Roman"/>
                <w:iCs/>
                <w:sz w:val="20"/>
                <w:szCs w:val="20"/>
                <w:lang w:eastAsia="de-DE"/>
              </w:rPr>
              <w:t xml:space="preserve">13286-47, „Ungebundene und hydraulisch gebundene Gemische - Teil 47: Prüfverfahren zur Bestimmung des CBR-Wertes (California </w:t>
            </w:r>
            <w:proofErr w:type="spellStart"/>
            <w:r w:rsidRPr="00722A47">
              <w:rPr>
                <w:rFonts w:eastAsia="Times New Roman"/>
                <w:iCs/>
                <w:sz w:val="20"/>
                <w:szCs w:val="20"/>
                <w:lang w:eastAsia="de-DE"/>
              </w:rPr>
              <w:t>bearing</w:t>
            </w:r>
            <w:proofErr w:type="spellEnd"/>
            <w:r w:rsidRPr="00722A47">
              <w:rPr>
                <w:rFonts w:eastAsia="Times New Roman"/>
                <w:iCs/>
                <w:sz w:val="20"/>
                <w:szCs w:val="20"/>
                <w:lang w:eastAsia="de-DE"/>
              </w:rPr>
              <w:t xml:space="preserve"> </w:t>
            </w:r>
            <w:proofErr w:type="spellStart"/>
            <w:r w:rsidRPr="00722A47">
              <w:rPr>
                <w:rFonts w:eastAsia="Times New Roman"/>
                <w:iCs/>
                <w:sz w:val="20"/>
                <w:szCs w:val="20"/>
                <w:lang w:eastAsia="de-DE"/>
              </w:rPr>
              <w:lastRenderedPageBreak/>
              <w:t>ratio</w:t>
            </w:r>
            <w:proofErr w:type="spellEnd"/>
            <w:r w:rsidRPr="00722A47">
              <w:rPr>
                <w:rFonts w:eastAsia="Times New Roman"/>
                <w:iCs/>
                <w:sz w:val="20"/>
                <w:szCs w:val="20"/>
                <w:lang w:eastAsia="de-DE"/>
              </w:rPr>
              <w:t>), des direkten Tragindex (IBI) und des linearen Schwellwertes“, Ausgabe Juli 2012</w:t>
            </w:r>
          </w:p>
          <w:p w14:paraId="5349D848" w14:textId="77777777" w:rsidR="00722A47" w:rsidRPr="00722A47" w:rsidRDefault="00722A47" w:rsidP="00722A47">
            <w:pPr>
              <w:autoSpaceDE w:val="0"/>
              <w:autoSpaceDN w:val="0"/>
              <w:spacing w:before="0" w:after="0" w:line="240" w:lineRule="exact"/>
              <w:jc w:val="left"/>
              <w:rPr>
                <w:rFonts w:eastAsia="Times New Roman"/>
                <w:iCs/>
                <w:sz w:val="20"/>
                <w:szCs w:val="20"/>
                <w:lang w:eastAsia="de-DE"/>
              </w:rPr>
            </w:pPr>
            <w:r w:rsidRPr="00722A47">
              <w:rPr>
                <w:rFonts w:eastAsia="Times New Roman"/>
                <w:iCs/>
                <w:sz w:val="20"/>
                <w:szCs w:val="20"/>
                <w:lang w:eastAsia="de-DE"/>
              </w:rPr>
              <w:t xml:space="preserve">Der CBR-Versuch erfolgt grundsätzlich an dem Gemisch mit der für den Einbau vorgesehenen Korngrößenverteilung, das </w:t>
            </w:r>
            <w:proofErr w:type="spellStart"/>
            <w:r w:rsidRPr="00722A47">
              <w:rPr>
                <w:rFonts w:eastAsia="Times New Roman"/>
                <w:iCs/>
                <w:sz w:val="20"/>
                <w:szCs w:val="20"/>
                <w:lang w:eastAsia="de-DE"/>
              </w:rPr>
              <w:t>Größtkorn</w:t>
            </w:r>
            <w:proofErr w:type="spellEnd"/>
            <w:r w:rsidRPr="00722A47">
              <w:rPr>
                <w:rFonts w:eastAsia="Times New Roman"/>
                <w:iCs/>
                <w:sz w:val="20"/>
                <w:szCs w:val="20"/>
                <w:lang w:eastAsia="de-DE"/>
              </w:rPr>
              <w:t xml:space="preserve"> ist dabei auf 31,5 mm zu begrenzen. Der Anteil &gt; 31,5 mm wird durch einen gewichtsmäßig gleich großen Anteil 11,2/31,5 mm ersetzt.</w:t>
            </w:r>
          </w:p>
        </w:tc>
      </w:tr>
      <w:tr w:rsidR="00722A47" w:rsidRPr="00722A47" w14:paraId="3DBC012F" w14:textId="77777777" w:rsidTr="004954C9">
        <w:tc>
          <w:tcPr>
            <w:tcW w:w="2093" w:type="dxa"/>
            <w:shd w:val="clear" w:color="auto" w:fill="auto"/>
          </w:tcPr>
          <w:p w14:paraId="0A4D8AB2" w14:textId="77777777" w:rsidR="00722A47" w:rsidRPr="00722A47" w:rsidRDefault="00722A47" w:rsidP="00722A47">
            <w:pPr>
              <w:autoSpaceDE w:val="0"/>
              <w:autoSpaceDN w:val="0"/>
              <w:spacing w:before="0" w:after="0" w:line="240" w:lineRule="exact"/>
              <w:jc w:val="left"/>
              <w:rPr>
                <w:rFonts w:eastAsia="Times New Roman"/>
                <w:iCs/>
                <w:sz w:val="20"/>
                <w:szCs w:val="20"/>
                <w:lang w:eastAsia="de-DE"/>
              </w:rPr>
            </w:pPr>
            <w:r w:rsidRPr="00722A47">
              <w:rPr>
                <w:rFonts w:eastAsia="Times New Roman"/>
                <w:iCs/>
                <w:sz w:val="20"/>
                <w:szCs w:val="20"/>
                <w:lang w:eastAsia="de-DE"/>
              </w:rPr>
              <w:lastRenderedPageBreak/>
              <w:t xml:space="preserve">Einstufung nach dem CBR-Wertes </w:t>
            </w:r>
            <w:proofErr w:type="gramStart"/>
            <w:r w:rsidRPr="00722A47">
              <w:rPr>
                <w:rFonts w:eastAsia="Times New Roman"/>
                <w:iCs/>
                <w:sz w:val="20"/>
                <w:szCs w:val="20"/>
                <w:lang w:eastAsia="de-DE"/>
              </w:rPr>
              <w:t>und  Ermittlung</w:t>
            </w:r>
            <w:proofErr w:type="gramEnd"/>
            <w:r w:rsidRPr="00722A47">
              <w:rPr>
                <w:rFonts w:eastAsia="Times New Roman"/>
                <w:iCs/>
                <w:sz w:val="20"/>
                <w:szCs w:val="20"/>
                <w:lang w:eastAsia="de-DE"/>
              </w:rPr>
              <w:t xml:space="preserve"> der CBR-Klasse</w:t>
            </w:r>
            <w:r w:rsidRPr="00722A47">
              <w:rPr>
                <w:rFonts w:eastAsia="Times New Roman"/>
                <w:sz w:val="20"/>
                <w:szCs w:val="20"/>
                <w:lang w:eastAsia="de-DE"/>
              </w:rPr>
              <w:t xml:space="preserve"> </w:t>
            </w:r>
          </w:p>
        </w:tc>
        <w:tc>
          <w:tcPr>
            <w:tcW w:w="7194" w:type="dxa"/>
            <w:shd w:val="clear" w:color="auto" w:fill="auto"/>
          </w:tcPr>
          <w:p w14:paraId="5BCE7F5E" w14:textId="77777777" w:rsidR="00722A47" w:rsidRPr="00722A47" w:rsidRDefault="00722A47" w:rsidP="00722A47">
            <w:pPr>
              <w:spacing w:before="0" w:after="0" w:line="240" w:lineRule="exact"/>
              <w:jc w:val="left"/>
              <w:rPr>
                <w:rFonts w:eastAsia="Times New Roman"/>
                <w:iCs/>
                <w:sz w:val="20"/>
                <w:szCs w:val="20"/>
                <w:lang w:eastAsia="de-DE"/>
              </w:rPr>
            </w:pPr>
            <w:r w:rsidRPr="00722A47">
              <w:rPr>
                <w:rFonts w:eastAsia="Times New Roman"/>
                <w:sz w:val="20"/>
                <w:szCs w:val="20"/>
                <w:lang w:eastAsia="de-DE"/>
              </w:rPr>
              <w:t>Abschnitt 7.2 der DIN EN 14227-2, Ausgabe August 2013</w:t>
            </w:r>
          </w:p>
          <w:p w14:paraId="1BF9158A" w14:textId="5C635D57" w:rsidR="00722A47" w:rsidRPr="00722A47" w:rsidRDefault="00722A47" w:rsidP="00722A47">
            <w:pPr>
              <w:autoSpaceDE w:val="0"/>
              <w:autoSpaceDN w:val="0"/>
              <w:spacing w:before="0" w:after="0" w:line="240" w:lineRule="exact"/>
              <w:jc w:val="left"/>
              <w:rPr>
                <w:rFonts w:eastAsia="Times New Roman"/>
                <w:iCs/>
                <w:sz w:val="20"/>
                <w:szCs w:val="20"/>
                <w:lang w:eastAsia="de-DE"/>
              </w:rPr>
            </w:pPr>
            <w:r w:rsidRPr="00722A47">
              <w:rPr>
                <w:rFonts w:eastAsia="Times New Roman"/>
                <w:iCs/>
                <w:sz w:val="20"/>
                <w:szCs w:val="20"/>
                <w:lang w:eastAsia="de-DE"/>
              </w:rPr>
              <w:t xml:space="preserve">Es sind zehn Probekörper herzustellen. An fünf Probekörpern wird unmittelbar nach der Herstellung der CBR-Wert nach </w:t>
            </w:r>
            <w:r w:rsidRPr="00722A47">
              <w:rPr>
                <w:rFonts w:eastAsia="Times New Roman"/>
                <w:sz w:val="20"/>
                <w:szCs w:val="20"/>
                <w:lang w:eastAsia="de-DE"/>
              </w:rPr>
              <w:t xml:space="preserve">DIN EN 13286-47, Ausgabe Juli 2012, </w:t>
            </w:r>
            <w:r w:rsidRPr="00722A47">
              <w:rPr>
                <w:rFonts w:eastAsia="Times New Roman"/>
                <w:iCs/>
                <w:sz w:val="20"/>
                <w:szCs w:val="20"/>
                <w:lang w:eastAsia="de-DE"/>
              </w:rPr>
              <w:t xml:space="preserve">ermittelt. Fünf weitere Probekörper (Parallelproben) werden von der Herstellung an 28 Tage lang bis zur Prüfung in einem Feuchtraum mit einer relativen Feuchte von mindestens 95 Prozent bei einer Temperatur von 20 ± 1 °C ohne Luftzirkulation gelagert und dann ebenfalls im CBR-Versuch geprüft. </w:t>
            </w:r>
          </w:p>
        </w:tc>
      </w:tr>
    </w:tbl>
    <w:p w14:paraId="70864ECC" w14:textId="77777777" w:rsidR="00722A47" w:rsidRDefault="00722A47" w:rsidP="00722A47">
      <w:pPr>
        <w:sectPr w:rsidR="00722A47" w:rsidSect="007947FE">
          <w:pgSz w:w="11907" w:h="16839"/>
          <w:pgMar w:top="1134" w:right="1417" w:bottom="1134" w:left="1701" w:header="709" w:footer="709" w:gutter="0"/>
          <w:cols w:space="708"/>
          <w:docGrid w:linePitch="360"/>
        </w:sectPr>
      </w:pPr>
    </w:p>
    <w:p w14:paraId="6B89E96F" w14:textId="77777777" w:rsidR="00722A47" w:rsidRPr="00722A47" w:rsidRDefault="00722A47" w:rsidP="00722A47">
      <w:pPr>
        <w:pStyle w:val="AnlageBezeichnernummeriert"/>
      </w:pPr>
    </w:p>
    <w:p w14:paraId="24CD34F2" w14:textId="77777777" w:rsidR="00722A47" w:rsidRPr="00722A47" w:rsidRDefault="00722A47" w:rsidP="00722A47">
      <w:pPr>
        <w:pStyle w:val="AnlageVerweis"/>
      </w:pPr>
      <w:r w:rsidRPr="008D0377">
        <w:t>(zu § 9 Absatz 5)</w:t>
      </w:r>
    </w:p>
    <w:p w14:paraId="6F74F7DC" w14:textId="77777777" w:rsidR="00722A47" w:rsidRPr="00722A47" w:rsidRDefault="00722A47" w:rsidP="00722A47">
      <w:pPr>
        <w:pStyle w:val="Anlageberschrift"/>
      </w:pPr>
      <w:bookmarkStart w:id="50" w:name="_Toc64380068"/>
      <w:r w:rsidRPr="008D0377">
        <w:t>Bestimmungsverfahren</w:t>
      </w:r>
      <w:bookmarkEnd w:id="50"/>
    </w:p>
    <w:p w14:paraId="7555ABDA" w14:textId="77777777" w:rsidR="00722A47" w:rsidRPr="008D0377" w:rsidRDefault="00722A47" w:rsidP="00722A47">
      <w:pPr>
        <w:pStyle w:val="Text"/>
      </w:pPr>
      <w:r w:rsidRPr="008D0377">
        <w:t>Die Auswahl des Untersuchungsverfahrens zur Messung der zu bestimmenden Parameter nach Anlage 1 erfolgt anhand der nachfolgenden Tabelle. In begründeten Fällen sind gleichwertige Verfahren nach dem Stand der Technik zulässig, sofern die Gleichwertigkeit durch erfolgreiche Teilnahme an Ringversuchen oder nach DIN 38402-71, „Deutsche Einheitsverfahren zur Wasser-, Abwasser-, und Schlammuntersuchung – Allgemeine Angaben (Gruppe A) – Teil 71: Gleichwertigkeit von zwei Analyseverfahren aufgrund des Vergleiches von Analyseergebnissen und deren statistischer Auswertung ; Vorgehensweise für quantitative Merkmale mit kontinuierlichem Wertespektrum“, Ausgabe November 2002, nachgewiesen werden kann.</w:t>
      </w:r>
    </w:p>
    <w:p w14:paraId="72AED0FD" w14:textId="6FAFD3B0" w:rsidR="00722A47" w:rsidRPr="008D0377" w:rsidRDefault="00722A47" w:rsidP="00722A47">
      <w:pPr>
        <w:pStyle w:val="Text"/>
      </w:pPr>
      <w:r w:rsidRPr="008D0377">
        <w:t>Die Bestimmungsgrenze eines gewählten Analysenverfahrens muss um mindestens einen Faktor von drei kleiner sein als der Materialwert des entsprechenden Parameters. Die Ermittlung der Nachweis- und Bestimmungsgrenze erfolgt nach ISO/TS 13530 (Wa</w:t>
      </w:r>
      <w:r w:rsidR="00D5621D">
        <w:t xml:space="preserve">sserbeschaffenheit – Anleitung </w:t>
      </w:r>
      <w:r w:rsidRPr="008D0377">
        <w:t>zur analytischen Qualitätssicherung für die chemische und physikalisch-chemische Wasseruntersuchung, Ausgabe März 2009) oder nach DIN 32645 „Chemische Analytik, Nachweis-, Erfassungs- und Bestimmungsgrenze, Ermittlung unter Wiederholbedingungen, Begriffe, Verfahren, Auswertung“, Ausgabe November 2008.</w:t>
      </w:r>
    </w:p>
    <w:p w14:paraId="3794716C" w14:textId="77777777" w:rsidR="00722A47" w:rsidRPr="00722A47" w:rsidRDefault="00722A47" w:rsidP="00722A47">
      <w:pPr>
        <w:pStyle w:val="Text"/>
      </w:pPr>
    </w:p>
    <w:tbl>
      <w:tblPr>
        <w:tblW w:w="5069"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122"/>
        <w:gridCol w:w="851"/>
        <w:gridCol w:w="1552"/>
        <w:gridCol w:w="1392"/>
        <w:gridCol w:w="2983"/>
      </w:tblGrid>
      <w:tr w:rsidR="00722A47" w:rsidRPr="00722A47" w14:paraId="4C9AB611" w14:textId="77777777" w:rsidTr="004954C9">
        <w:trPr>
          <w:cantSplit/>
          <w:trHeight w:val="519"/>
          <w:tblHeader/>
        </w:trPr>
        <w:tc>
          <w:tcPr>
            <w:tcW w:w="1192" w:type="pct"/>
            <w:tcBorders>
              <w:top w:val="single" w:sz="4" w:space="0" w:color="auto"/>
              <w:left w:val="single" w:sz="4" w:space="0" w:color="auto"/>
              <w:bottom w:val="single" w:sz="4" w:space="0" w:color="auto"/>
            </w:tcBorders>
          </w:tcPr>
          <w:p w14:paraId="54D00B48" w14:textId="77777777" w:rsidR="00722A47" w:rsidRPr="00722A47" w:rsidRDefault="00722A47" w:rsidP="00722A47">
            <w:pPr>
              <w:spacing w:before="0" w:after="0"/>
              <w:jc w:val="center"/>
              <w:rPr>
                <w:rFonts w:eastAsia="Times New Roman"/>
                <w:b/>
                <w:sz w:val="20"/>
                <w:szCs w:val="20"/>
                <w:lang w:eastAsia="de-DE"/>
              </w:rPr>
            </w:pPr>
            <w:r w:rsidRPr="00722A47">
              <w:rPr>
                <w:rFonts w:eastAsia="Times New Roman"/>
                <w:b/>
                <w:sz w:val="20"/>
                <w:szCs w:val="20"/>
                <w:lang w:eastAsia="de-DE"/>
              </w:rPr>
              <w:t>Parameter</w:t>
            </w:r>
          </w:p>
        </w:tc>
        <w:tc>
          <w:tcPr>
            <w:tcW w:w="478" w:type="pct"/>
            <w:tcBorders>
              <w:top w:val="single" w:sz="4" w:space="0" w:color="auto"/>
              <w:bottom w:val="single" w:sz="4" w:space="0" w:color="auto"/>
            </w:tcBorders>
          </w:tcPr>
          <w:p w14:paraId="4C4DBB32" w14:textId="77777777" w:rsidR="00722A47" w:rsidRPr="00722A47" w:rsidRDefault="00722A47" w:rsidP="00722A47">
            <w:pPr>
              <w:spacing w:before="0" w:after="0"/>
              <w:jc w:val="center"/>
              <w:rPr>
                <w:rFonts w:eastAsia="Times New Roman"/>
                <w:b/>
                <w:sz w:val="20"/>
                <w:szCs w:val="20"/>
                <w:lang w:eastAsia="de-DE"/>
              </w:rPr>
            </w:pPr>
            <w:proofErr w:type="spellStart"/>
            <w:r w:rsidRPr="00722A47">
              <w:rPr>
                <w:rFonts w:eastAsia="Times New Roman"/>
                <w:b/>
                <w:sz w:val="20"/>
                <w:szCs w:val="20"/>
                <w:lang w:eastAsia="de-DE"/>
              </w:rPr>
              <w:t>Dimen-sion</w:t>
            </w:r>
            <w:proofErr w:type="spellEnd"/>
          </w:p>
        </w:tc>
        <w:tc>
          <w:tcPr>
            <w:tcW w:w="872" w:type="pct"/>
            <w:tcBorders>
              <w:top w:val="single" w:sz="4" w:space="0" w:color="auto"/>
              <w:bottom w:val="single" w:sz="4" w:space="0" w:color="auto"/>
            </w:tcBorders>
          </w:tcPr>
          <w:p w14:paraId="5D135889" w14:textId="77777777" w:rsidR="00722A47" w:rsidRPr="00722A47" w:rsidRDefault="00722A47" w:rsidP="00722A47">
            <w:pPr>
              <w:spacing w:before="0" w:after="0"/>
              <w:jc w:val="center"/>
              <w:rPr>
                <w:rFonts w:eastAsia="Times New Roman"/>
                <w:b/>
                <w:sz w:val="20"/>
                <w:szCs w:val="20"/>
                <w:lang w:eastAsia="de-DE"/>
              </w:rPr>
            </w:pPr>
            <w:r w:rsidRPr="00722A47">
              <w:rPr>
                <w:rFonts w:eastAsia="Times New Roman"/>
                <w:b/>
                <w:sz w:val="20"/>
                <w:szCs w:val="20"/>
                <w:lang w:eastAsia="de-DE"/>
              </w:rPr>
              <w:t>Bewertungsrelevanter Bereich</w:t>
            </w:r>
          </w:p>
        </w:tc>
        <w:tc>
          <w:tcPr>
            <w:tcW w:w="782" w:type="pct"/>
            <w:tcBorders>
              <w:top w:val="single" w:sz="4" w:space="0" w:color="auto"/>
              <w:bottom w:val="single" w:sz="4" w:space="0" w:color="auto"/>
            </w:tcBorders>
          </w:tcPr>
          <w:p w14:paraId="4A3864C6" w14:textId="77777777" w:rsidR="00722A47" w:rsidRPr="00722A47" w:rsidRDefault="00722A47" w:rsidP="00722A47">
            <w:pPr>
              <w:spacing w:before="0" w:after="0"/>
              <w:jc w:val="center"/>
              <w:rPr>
                <w:rFonts w:eastAsia="Times New Roman"/>
                <w:b/>
                <w:sz w:val="20"/>
                <w:szCs w:val="20"/>
                <w:lang w:eastAsia="de-DE"/>
              </w:rPr>
            </w:pPr>
            <w:r w:rsidRPr="00722A47">
              <w:rPr>
                <w:rFonts w:eastAsia="Times New Roman"/>
                <w:b/>
                <w:sz w:val="20"/>
                <w:szCs w:val="20"/>
                <w:lang w:eastAsia="de-DE"/>
              </w:rPr>
              <w:t>Norm</w:t>
            </w:r>
          </w:p>
        </w:tc>
        <w:tc>
          <w:tcPr>
            <w:tcW w:w="1676" w:type="pct"/>
            <w:tcBorders>
              <w:top w:val="single" w:sz="4" w:space="0" w:color="auto"/>
              <w:bottom w:val="single" w:sz="4" w:space="0" w:color="auto"/>
              <w:right w:val="single" w:sz="4" w:space="0" w:color="auto"/>
            </w:tcBorders>
          </w:tcPr>
          <w:p w14:paraId="707ED412" w14:textId="77777777" w:rsidR="00722A47" w:rsidRPr="00722A47" w:rsidRDefault="00722A47" w:rsidP="00722A47">
            <w:pPr>
              <w:spacing w:before="0" w:after="0"/>
              <w:jc w:val="center"/>
              <w:rPr>
                <w:rFonts w:eastAsia="Times New Roman"/>
                <w:b/>
                <w:sz w:val="20"/>
                <w:szCs w:val="20"/>
                <w:lang w:eastAsia="de-DE"/>
              </w:rPr>
            </w:pPr>
            <w:r w:rsidRPr="00722A47">
              <w:rPr>
                <w:rFonts w:eastAsia="Times New Roman"/>
                <w:b/>
                <w:sz w:val="20"/>
                <w:szCs w:val="20"/>
                <w:lang w:eastAsia="de-DE"/>
              </w:rPr>
              <w:t>Normbezeichnung</w:t>
            </w:r>
          </w:p>
        </w:tc>
      </w:tr>
      <w:tr w:rsidR="00722A47" w:rsidRPr="00722A47" w14:paraId="00A238FF" w14:textId="77777777" w:rsidTr="004954C9">
        <w:trPr>
          <w:cantSplit/>
          <w:trHeight w:val="519"/>
        </w:trPr>
        <w:tc>
          <w:tcPr>
            <w:tcW w:w="1192" w:type="pct"/>
            <w:tcBorders>
              <w:top w:val="single" w:sz="4" w:space="0" w:color="auto"/>
              <w:left w:val="single" w:sz="4" w:space="0" w:color="auto"/>
            </w:tcBorders>
            <w:vAlign w:val="center"/>
          </w:tcPr>
          <w:p w14:paraId="66478A02"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 xml:space="preserve">pH-Wert </w:t>
            </w:r>
          </w:p>
        </w:tc>
        <w:tc>
          <w:tcPr>
            <w:tcW w:w="478" w:type="pct"/>
            <w:tcBorders>
              <w:top w:val="single" w:sz="4" w:space="0" w:color="auto"/>
            </w:tcBorders>
            <w:vAlign w:val="center"/>
          </w:tcPr>
          <w:p w14:paraId="618654C7" w14:textId="77777777" w:rsidR="00722A47" w:rsidRPr="00722A47" w:rsidRDefault="00722A47" w:rsidP="00722A47">
            <w:pPr>
              <w:spacing w:before="0" w:after="0"/>
              <w:jc w:val="center"/>
              <w:rPr>
                <w:rFonts w:eastAsia="Times New Roman"/>
                <w:sz w:val="20"/>
                <w:szCs w:val="20"/>
                <w:lang w:eastAsia="de-DE"/>
              </w:rPr>
            </w:pPr>
          </w:p>
        </w:tc>
        <w:tc>
          <w:tcPr>
            <w:tcW w:w="872" w:type="pct"/>
            <w:tcBorders>
              <w:top w:val="single" w:sz="4" w:space="0" w:color="auto"/>
            </w:tcBorders>
            <w:vAlign w:val="center"/>
          </w:tcPr>
          <w:p w14:paraId="796F3F44"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5 – 13</w:t>
            </w:r>
          </w:p>
        </w:tc>
        <w:tc>
          <w:tcPr>
            <w:tcW w:w="782" w:type="pct"/>
            <w:tcBorders>
              <w:top w:val="single" w:sz="4" w:space="0" w:color="auto"/>
            </w:tcBorders>
          </w:tcPr>
          <w:p w14:paraId="3BDAFFE6" w14:textId="77777777" w:rsidR="00722A47" w:rsidRPr="00722A47" w:rsidRDefault="00D27887" w:rsidP="00722A47">
            <w:pPr>
              <w:spacing w:before="0" w:after="0"/>
              <w:jc w:val="left"/>
              <w:rPr>
                <w:rFonts w:eastAsia="Times New Roman"/>
                <w:sz w:val="20"/>
                <w:szCs w:val="20"/>
                <w:lang w:eastAsia="de-DE"/>
              </w:rPr>
            </w:pPr>
            <w:hyperlink r:id="rId10" w:history="1">
              <w:r w:rsidR="00722A47" w:rsidRPr="00722A47">
                <w:rPr>
                  <w:rFonts w:eastAsia="Times New Roman"/>
                  <w:sz w:val="20"/>
                  <w:szCs w:val="20"/>
                  <w:lang w:eastAsia="de-DE"/>
                </w:rPr>
                <w:t>DIN EN ISO 10523</w:t>
              </w:r>
            </w:hyperlink>
          </w:p>
          <w:p w14:paraId="5B97FF7B"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(April 2012)</w:t>
            </w:r>
          </w:p>
        </w:tc>
        <w:tc>
          <w:tcPr>
            <w:tcW w:w="1676" w:type="pct"/>
            <w:tcBorders>
              <w:top w:val="single" w:sz="4" w:space="0" w:color="auto"/>
              <w:right w:val="single" w:sz="4" w:space="0" w:color="auto"/>
            </w:tcBorders>
          </w:tcPr>
          <w:p w14:paraId="71310538"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 xml:space="preserve">Wasserbeschaffenheit - Bestimmung des pH-Werts </w:t>
            </w:r>
            <w:r w:rsidRPr="00722A47">
              <w:rPr>
                <w:rFonts w:eastAsia="Times New Roman"/>
                <w:sz w:val="20"/>
                <w:szCs w:val="24"/>
                <w:lang w:eastAsia="de-DE"/>
              </w:rPr>
              <w:t>(ISO 10523:2008); Deutsche Fassung EN ISO 10523:2012</w:t>
            </w:r>
          </w:p>
        </w:tc>
      </w:tr>
      <w:tr w:rsidR="00722A47" w:rsidRPr="00722A47" w14:paraId="15CB500B" w14:textId="77777777" w:rsidTr="004954C9">
        <w:trPr>
          <w:cantSplit/>
          <w:trHeight w:val="519"/>
        </w:trPr>
        <w:tc>
          <w:tcPr>
            <w:tcW w:w="1192" w:type="pct"/>
            <w:tcBorders>
              <w:left w:val="single" w:sz="4" w:space="0" w:color="auto"/>
            </w:tcBorders>
            <w:vAlign w:val="center"/>
          </w:tcPr>
          <w:p w14:paraId="6A7147A8"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 xml:space="preserve">elektrische Leitfähigkeit </w:t>
            </w:r>
          </w:p>
        </w:tc>
        <w:tc>
          <w:tcPr>
            <w:tcW w:w="478" w:type="pct"/>
            <w:vAlign w:val="center"/>
          </w:tcPr>
          <w:p w14:paraId="16D6DAA4"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µS/cm</w:t>
            </w:r>
          </w:p>
        </w:tc>
        <w:tc>
          <w:tcPr>
            <w:tcW w:w="872" w:type="pct"/>
            <w:vAlign w:val="center"/>
          </w:tcPr>
          <w:p w14:paraId="4B8E8604"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200 – 12 500</w:t>
            </w:r>
          </w:p>
        </w:tc>
        <w:tc>
          <w:tcPr>
            <w:tcW w:w="782" w:type="pct"/>
          </w:tcPr>
          <w:p w14:paraId="35B82963"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DIN EN 27888</w:t>
            </w:r>
          </w:p>
          <w:p w14:paraId="75187DF3"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(November 1993)</w:t>
            </w:r>
          </w:p>
        </w:tc>
        <w:tc>
          <w:tcPr>
            <w:tcW w:w="1676" w:type="pct"/>
            <w:tcBorders>
              <w:right w:val="single" w:sz="4" w:space="0" w:color="auto"/>
            </w:tcBorders>
          </w:tcPr>
          <w:p w14:paraId="47A4BBF4"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4"/>
                <w:lang w:eastAsia="de-DE"/>
              </w:rPr>
              <w:t>Wasserbeschaffenheit; Bestimmung der elektrischen Leitfähigkeit (ISO 7888:1985); Deutsche Fassung EN 27888:1993</w:t>
            </w:r>
          </w:p>
        </w:tc>
      </w:tr>
      <w:tr w:rsidR="00722A47" w:rsidRPr="00722A47" w14:paraId="334F8CD0" w14:textId="77777777" w:rsidTr="004954C9">
        <w:trPr>
          <w:cantSplit/>
          <w:trHeight w:val="519"/>
        </w:trPr>
        <w:tc>
          <w:tcPr>
            <w:tcW w:w="1192" w:type="pct"/>
            <w:tcBorders>
              <w:left w:val="single" w:sz="4" w:space="0" w:color="auto"/>
            </w:tcBorders>
            <w:vAlign w:val="center"/>
          </w:tcPr>
          <w:p w14:paraId="33CA65A7" w14:textId="77777777" w:rsidR="00722A47" w:rsidRPr="00722A47" w:rsidRDefault="00722A47" w:rsidP="00722A47">
            <w:pPr>
              <w:spacing w:before="0" w:after="0"/>
              <w:jc w:val="left"/>
              <w:rPr>
                <w:rFonts w:eastAsia="Times New Roman"/>
                <w:b/>
                <w:sz w:val="20"/>
                <w:szCs w:val="20"/>
                <w:lang w:val="en-GB" w:eastAsia="de-DE"/>
              </w:rPr>
            </w:pPr>
            <w:proofErr w:type="spellStart"/>
            <w:r w:rsidRPr="00722A47">
              <w:rPr>
                <w:rFonts w:eastAsia="Times New Roman"/>
                <w:b/>
                <w:sz w:val="20"/>
                <w:szCs w:val="20"/>
                <w:lang w:val="en-GB" w:eastAsia="de-DE"/>
              </w:rPr>
              <w:t>Chlorid</w:t>
            </w:r>
            <w:proofErr w:type="spellEnd"/>
          </w:p>
          <w:p w14:paraId="76AA7F39" w14:textId="77777777" w:rsidR="00722A47" w:rsidRPr="00722A47" w:rsidRDefault="00722A47" w:rsidP="00722A47">
            <w:pPr>
              <w:spacing w:before="0" w:after="0"/>
              <w:jc w:val="left"/>
              <w:rPr>
                <w:rFonts w:eastAsia="Times New Roman"/>
                <w:b/>
                <w:sz w:val="20"/>
                <w:szCs w:val="20"/>
                <w:lang w:val="en-GB" w:eastAsia="de-DE"/>
              </w:rPr>
            </w:pPr>
            <w:proofErr w:type="spellStart"/>
            <w:r w:rsidRPr="00722A47">
              <w:rPr>
                <w:rFonts w:eastAsia="Times New Roman"/>
                <w:b/>
                <w:sz w:val="20"/>
                <w:szCs w:val="20"/>
                <w:lang w:val="en-GB" w:eastAsia="de-DE"/>
              </w:rPr>
              <w:t>Sulfat</w:t>
            </w:r>
            <w:proofErr w:type="spellEnd"/>
          </w:p>
          <w:p w14:paraId="05DF9975" w14:textId="77777777" w:rsidR="00722A47" w:rsidRPr="00722A47" w:rsidRDefault="00722A47" w:rsidP="00722A47">
            <w:pPr>
              <w:spacing w:before="0" w:after="0"/>
              <w:jc w:val="left"/>
              <w:rPr>
                <w:rFonts w:eastAsia="Times New Roman"/>
                <w:b/>
                <w:sz w:val="20"/>
                <w:szCs w:val="20"/>
                <w:lang w:val="en-GB" w:eastAsia="de-DE"/>
              </w:rPr>
            </w:pPr>
            <w:proofErr w:type="spellStart"/>
            <w:r w:rsidRPr="00722A47">
              <w:rPr>
                <w:rFonts w:eastAsia="Times New Roman"/>
                <w:b/>
                <w:sz w:val="20"/>
                <w:szCs w:val="20"/>
                <w:lang w:val="en-GB" w:eastAsia="de-DE"/>
              </w:rPr>
              <w:t>Fluorid</w:t>
            </w:r>
            <w:proofErr w:type="spellEnd"/>
          </w:p>
        </w:tc>
        <w:tc>
          <w:tcPr>
            <w:tcW w:w="478" w:type="pct"/>
            <w:vAlign w:val="center"/>
          </w:tcPr>
          <w:p w14:paraId="6E0ED8C5" w14:textId="77777777" w:rsidR="00722A47" w:rsidRPr="00722A47" w:rsidRDefault="00722A47" w:rsidP="00722A47">
            <w:pPr>
              <w:spacing w:before="0" w:after="0"/>
              <w:jc w:val="center"/>
              <w:rPr>
                <w:rFonts w:eastAsia="Times New Roman"/>
                <w:sz w:val="20"/>
                <w:szCs w:val="20"/>
                <w:lang w:val="en-GB" w:eastAsia="de-DE"/>
              </w:rPr>
            </w:pPr>
            <w:r w:rsidRPr="00722A47">
              <w:rPr>
                <w:rFonts w:eastAsia="Times New Roman"/>
                <w:sz w:val="20"/>
                <w:szCs w:val="20"/>
                <w:lang w:val="en-GB" w:eastAsia="de-DE"/>
              </w:rPr>
              <w:t>mg/l</w:t>
            </w:r>
          </w:p>
        </w:tc>
        <w:tc>
          <w:tcPr>
            <w:tcW w:w="872" w:type="pct"/>
            <w:vAlign w:val="center"/>
          </w:tcPr>
          <w:p w14:paraId="4A9EF168" w14:textId="77777777" w:rsidR="00722A47" w:rsidRPr="00722A47" w:rsidRDefault="00722A47" w:rsidP="00722A47">
            <w:pPr>
              <w:spacing w:before="0" w:after="0"/>
              <w:jc w:val="center"/>
              <w:rPr>
                <w:rFonts w:eastAsia="Times New Roman"/>
                <w:sz w:val="20"/>
                <w:szCs w:val="20"/>
                <w:lang w:val="en-GB" w:eastAsia="de-DE"/>
              </w:rPr>
            </w:pPr>
            <w:r w:rsidRPr="00722A47">
              <w:rPr>
                <w:rFonts w:eastAsia="Times New Roman"/>
                <w:sz w:val="20"/>
                <w:szCs w:val="20"/>
                <w:lang w:val="en-GB" w:eastAsia="de-DE"/>
              </w:rPr>
              <w:t>160 – 5 000</w:t>
            </w:r>
          </w:p>
          <w:p w14:paraId="4E9FF5BA" w14:textId="77777777" w:rsidR="00722A47" w:rsidRPr="00722A47" w:rsidRDefault="00722A47" w:rsidP="00722A47">
            <w:pPr>
              <w:spacing w:before="0" w:after="0"/>
              <w:jc w:val="center"/>
              <w:rPr>
                <w:rFonts w:eastAsia="Times New Roman"/>
                <w:sz w:val="20"/>
                <w:szCs w:val="20"/>
                <w:lang w:val="en-GB" w:eastAsia="de-DE"/>
              </w:rPr>
            </w:pPr>
            <w:r w:rsidRPr="00722A47">
              <w:rPr>
                <w:rFonts w:eastAsia="Times New Roman"/>
                <w:sz w:val="20"/>
                <w:szCs w:val="20"/>
                <w:lang w:val="en-GB" w:eastAsia="de-DE"/>
              </w:rPr>
              <w:t>200 – 2 500</w:t>
            </w:r>
          </w:p>
          <w:p w14:paraId="69A2BD54" w14:textId="77777777" w:rsidR="00722A47" w:rsidRPr="00722A47" w:rsidRDefault="00722A47" w:rsidP="00722A47">
            <w:pPr>
              <w:spacing w:before="0" w:after="0"/>
              <w:jc w:val="center"/>
              <w:rPr>
                <w:rFonts w:eastAsia="Times New Roman"/>
                <w:sz w:val="20"/>
                <w:szCs w:val="20"/>
                <w:lang w:val="en-GB" w:eastAsia="de-DE"/>
              </w:rPr>
            </w:pPr>
            <w:r w:rsidRPr="00722A47">
              <w:rPr>
                <w:rFonts w:eastAsia="Times New Roman"/>
                <w:sz w:val="20"/>
                <w:szCs w:val="20"/>
                <w:lang w:val="en-GB" w:eastAsia="de-DE"/>
              </w:rPr>
              <w:t>1 - 80</w:t>
            </w:r>
          </w:p>
        </w:tc>
        <w:tc>
          <w:tcPr>
            <w:tcW w:w="782" w:type="pct"/>
          </w:tcPr>
          <w:p w14:paraId="23463AC6"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DIN EN ISO 10304-1</w:t>
            </w:r>
          </w:p>
          <w:p w14:paraId="5849900D"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(Juli 2009)</w:t>
            </w:r>
          </w:p>
        </w:tc>
        <w:tc>
          <w:tcPr>
            <w:tcW w:w="1676" w:type="pct"/>
            <w:tcBorders>
              <w:right w:val="single" w:sz="4" w:space="0" w:color="auto"/>
            </w:tcBorders>
          </w:tcPr>
          <w:p w14:paraId="19281F90"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4"/>
                <w:lang w:eastAsia="de-DE"/>
              </w:rPr>
              <w:t>Wasserbeschaffenheit - Bestimmung von gelösten Anionen mittels Flüssigkeits-Ionenchromatographie - Teil 1: Bestimmung von Bromid, Chlorid, Fluorid, Nitrat, Nitrit, Phosphat und Sulfat (ISO 10304-1:2007); Deutsche Fassung EN ISO 10304-1:2009</w:t>
            </w:r>
          </w:p>
        </w:tc>
      </w:tr>
      <w:tr w:rsidR="00722A47" w:rsidRPr="00722A47" w14:paraId="6B7C4108" w14:textId="77777777" w:rsidTr="004954C9">
        <w:trPr>
          <w:cantSplit/>
          <w:trHeight w:val="519"/>
        </w:trPr>
        <w:tc>
          <w:tcPr>
            <w:tcW w:w="1192" w:type="pct"/>
            <w:tcBorders>
              <w:left w:val="single" w:sz="4" w:space="0" w:color="auto"/>
              <w:bottom w:val="single" w:sz="8" w:space="0" w:color="auto"/>
            </w:tcBorders>
            <w:vAlign w:val="center"/>
          </w:tcPr>
          <w:p w14:paraId="0DD9D591" w14:textId="77777777" w:rsidR="00722A47" w:rsidRPr="00722A47" w:rsidRDefault="00722A47" w:rsidP="00722A47">
            <w:pPr>
              <w:spacing w:before="0" w:after="0"/>
              <w:jc w:val="left"/>
              <w:rPr>
                <w:rFonts w:eastAsia="Times New Roman"/>
                <w:b/>
                <w:sz w:val="20"/>
                <w:szCs w:val="20"/>
                <w:lang w:val="en-GB" w:eastAsia="de-DE"/>
              </w:rPr>
            </w:pPr>
            <w:proofErr w:type="spellStart"/>
            <w:r w:rsidRPr="00722A47">
              <w:rPr>
                <w:rFonts w:eastAsia="Times New Roman"/>
                <w:b/>
                <w:sz w:val="20"/>
                <w:szCs w:val="20"/>
                <w:lang w:val="en-GB" w:eastAsia="de-DE"/>
              </w:rPr>
              <w:t>Fluorid</w:t>
            </w:r>
            <w:proofErr w:type="spellEnd"/>
          </w:p>
        </w:tc>
        <w:tc>
          <w:tcPr>
            <w:tcW w:w="478" w:type="pct"/>
            <w:tcBorders>
              <w:bottom w:val="single" w:sz="8" w:space="0" w:color="auto"/>
            </w:tcBorders>
            <w:vAlign w:val="center"/>
          </w:tcPr>
          <w:p w14:paraId="78E2D285" w14:textId="77777777" w:rsidR="00722A47" w:rsidRPr="00722A47" w:rsidRDefault="00722A47" w:rsidP="00722A47">
            <w:pPr>
              <w:spacing w:before="0" w:after="0"/>
              <w:jc w:val="center"/>
              <w:rPr>
                <w:rFonts w:eastAsia="Times New Roman"/>
                <w:sz w:val="20"/>
                <w:szCs w:val="20"/>
                <w:lang w:val="en-GB" w:eastAsia="de-DE"/>
              </w:rPr>
            </w:pPr>
            <w:r w:rsidRPr="00722A47">
              <w:rPr>
                <w:rFonts w:eastAsia="Times New Roman"/>
                <w:sz w:val="20"/>
                <w:szCs w:val="20"/>
                <w:lang w:val="en-GB" w:eastAsia="de-DE"/>
              </w:rPr>
              <w:t>mg/l</w:t>
            </w:r>
          </w:p>
        </w:tc>
        <w:tc>
          <w:tcPr>
            <w:tcW w:w="872" w:type="pct"/>
            <w:tcBorders>
              <w:bottom w:val="single" w:sz="8" w:space="0" w:color="auto"/>
            </w:tcBorders>
            <w:vAlign w:val="center"/>
          </w:tcPr>
          <w:p w14:paraId="30B33705" w14:textId="77777777" w:rsidR="00722A47" w:rsidRPr="00722A47" w:rsidRDefault="00722A47" w:rsidP="00722A47">
            <w:pPr>
              <w:spacing w:before="0" w:after="0"/>
              <w:jc w:val="center"/>
              <w:rPr>
                <w:rFonts w:eastAsia="Times New Roman"/>
                <w:sz w:val="20"/>
                <w:szCs w:val="20"/>
                <w:lang w:val="en-GB" w:eastAsia="de-DE"/>
              </w:rPr>
            </w:pPr>
            <w:r w:rsidRPr="00722A47">
              <w:rPr>
                <w:rFonts w:eastAsia="Times New Roman"/>
                <w:sz w:val="20"/>
                <w:szCs w:val="20"/>
                <w:lang w:val="en-GB" w:eastAsia="de-DE"/>
              </w:rPr>
              <w:t>1 - 80</w:t>
            </w:r>
          </w:p>
        </w:tc>
        <w:tc>
          <w:tcPr>
            <w:tcW w:w="782" w:type="pct"/>
            <w:tcBorders>
              <w:bottom w:val="single" w:sz="8" w:space="0" w:color="auto"/>
            </w:tcBorders>
          </w:tcPr>
          <w:p w14:paraId="66529AA6"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DIN 38405-4</w:t>
            </w:r>
          </w:p>
          <w:p w14:paraId="0A03B85C"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(Juli 1985)</w:t>
            </w:r>
          </w:p>
          <w:p w14:paraId="4BC46408" w14:textId="77777777" w:rsidR="00722A47" w:rsidRPr="00722A47" w:rsidRDefault="00722A47" w:rsidP="00722A47">
            <w:pPr>
              <w:spacing w:before="0" w:after="0"/>
              <w:jc w:val="left"/>
              <w:rPr>
                <w:rFonts w:eastAsia="Times New Roman"/>
                <w:sz w:val="20"/>
                <w:szCs w:val="20"/>
                <w:lang w:val="nb-NO" w:eastAsia="de-DE"/>
              </w:rPr>
            </w:pPr>
          </w:p>
          <w:p w14:paraId="483E731A" w14:textId="77777777" w:rsidR="00722A47" w:rsidRPr="00722A47" w:rsidRDefault="00722A47" w:rsidP="00722A47">
            <w:pPr>
              <w:spacing w:before="0" w:after="0"/>
              <w:jc w:val="left"/>
              <w:rPr>
                <w:rFonts w:eastAsia="Times New Roman"/>
                <w:sz w:val="20"/>
                <w:szCs w:val="20"/>
                <w:lang w:val="nb-NO" w:eastAsia="de-DE"/>
              </w:rPr>
            </w:pPr>
          </w:p>
          <w:p w14:paraId="1ED29160" w14:textId="77777777" w:rsidR="00722A47" w:rsidRPr="00722A47" w:rsidRDefault="00722A47" w:rsidP="00722A47">
            <w:pPr>
              <w:spacing w:before="0" w:after="0"/>
              <w:jc w:val="left"/>
              <w:rPr>
                <w:rFonts w:eastAsia="Times New Roman"/>
                <w:sz w:val="20"/>
                <w:szCs w:val="20"/>
                <w:lang w:val="nb-NO" w:eastAsia="de-DE"/>
              </w:rPr>
            </w:pPr>
          </w:p>
        </w:tc>
        <w:tc>
          <w:tcPr>
            <w:tcW w:w="1676" w:type="pct"/>
            <w:tcBorders>
              <w:bottom w:val="single" w:sz="8" w:space="0" w:color="auto"/>
              <w:right w:val="single" w:sz="4" w:space="0" w:color="auto"/>
            </w:tcBorders>
          </w:tcPr>
          <w:p w14:paraId="0F1FDD0E"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Deutsche Einheitsverfahren zur Wasser-, Abwasser- und Schlammuntersuchung Anionen (Gruppe D); Bestimmung von Fluorid (D 4)</w:t>
            </w:r>
          </w:p>
          <w:p w14:paraId="54701902" w14:textId="77777777" w:rsidR="00722A47" w:rsidRPr="00722A47" w:rsidRDefault="00722A47" w:rsidP="00722A47">
            <w:pPr>
              <w:spacing w:before="0" w:after="0"/>
              <w:jc w:val="left"/>
              <w:rPr>
                <w:rFonts w:eastAsia="Times New Roman"/>
                <w:sz w:val="20"/>
                <w:szCs w:val="20"/>
                <w:lang w:eastAsia="de-DE"/>
              </w:rPr>
            </w:pPr>
          </w:p>
        </w:tc>
      </w:tr>
      <w:tr w:rsidR="00722A47" w:rsidRPr="00722A47" w14:paraId="32E16D19" w14:textId="77777777" w:rsidTr="004954C9">
        <w:trPr>
          <w:cantSplit/>
          <w:trHeight w:val="519"/>
        </w:trPr>
        <w:tc>
          <w:tcPr>
            <w:tcW w:w="1192" w:type="pct"/>
            <w:tcBorders>
              <w:top w:val="single" w:sz="8" w:space="0" w:color="auto"/>
              <w:left w:val="single" w:sz="4" w:space="0" w:color="auto"/>
              <w:bottom w:val="single" w:sz="4" w:space="0" w:color="auto"/>
            </w:tcBorders>
            <w:vAlign w:val="center"/>
          </w:tcPr>
          <w:p w14:paraId="18D7D1E9"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DOC</w:t>
            </w:r>
          </w:p>
        </w:tc>
        <w:tc>
          <w:tcPr>
            <w:tcW w:w="478" w:type="pct"/>
            <w:tcBorders>
              <w:top w:val="single" w:sz="8" w:space="0" w:color="auto"/>
              <w:bottom w:val="single" w:sz="4" w:space="0" w:color="auto"/>
            </w:tcBorders>
            <w:vAlign w:val="center"/>
          </w:tcPr>
          <w:p w14:paraId="2A9C90D1"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mg/l</w:t>
            </w:r>
          </w:p>
        </w:tc>
        <w:tc>
          <w:tcPr>
            <w:tcW w:w="872" w:type="pct"/>
            <w:tcBorders>
              <w:top w:val="single" w:sz="8" w:space="0" w:color="auto"/>
              <w:bottom w:val="single" w:sz="4" w:space="0" w:color="auto"/>
            </w:tcBorders>
            <w:vAlign w:val="center"/>
          </w:tcPr>
          <w:p w14:paraId="536C6C1B"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30 – 200</w:t>
            </w:r>
          </w:p>
        </w:tc>
        <w:tc>
          <w:tcPr>
            <w:tcW w:w="782" w:type="pct"/>
            <w:tcBorders>
              <w:top w:val="single" w:sz="8" w:space="0" w:color="auto"/>
              <w:bottom w:val="single" w:sz="4" w:space="0" w:color="auto"/>
            </w:tcBorders>
          </w:tcPr>
          <w:p w14:paraId="017C1AE9"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DIN EN 1484</w:t>
            </w:r>
          </w:p>
          <w:p w14:paraId="1120FA9E"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(April 2019)</w:t>
            </w:r>
          </w:p>
        </w:tc>
        <w:tc>
          <w:tcPr>
            <w:tcW w:w="1676" w:type="pct"/>
            <w:tcBorders>
              <w:top w:val="single" w:sz="8" w:space="0" w:color="auto"/>
              <w:bottom w:val="single" w:sz="4" w:space="0" w:color="auto"/>
              <w:right w:val="single" w:sz="4" w:space="0" w:color="auto"/>
            </w:tcBorders>
          </w:tcPr>
          <w:p w14:paraId="393B4C0D"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4"/>
                <w:lang w:eastAsia="de-DE"/>
              </w:rPr>
              <w:t>Wasseranalytik - Anleitungen zur Bestimmung des gesamten organischen Kohlenstoffs (TOC) und des gelösten organischen Kohlenstoffs (DOC); Deutsche Fassung EN 1484:1997</w:t>
            </w:r>
          </w:p>
        </w:tc>
      </w:tr>
      <w:tr w:rsidR="00722A47" w:rsidRPr="00722A47" w14:paraId="5DD36677" w14:textId="77777777" w:rsidTr="004954C9">
        <w:trPr>
          <w:cantSplit/>
          <w:trHeight w:val="519"/>
        </w:trPr>
        <w:tc>
          <w:tcPr>
            <w:tcW w:w="1192" w:type="pct"/>
            <w:tcBorders>
              <w:top w:val="single" w:sz="4" w:space="0" w:color="auto"/>
              <w:left w:val="single" w:sz="4" w:space="0" w:color="auto"/>
            </w:tcBorders>
            <w:vAlign w:val="center"/>
          </w:tcPr>
          <w:p w14:paraId="0D231620" w14:textId="77777777" w:rsidR="00722A47" w:rsidRPr="00722A47" w:rsidRDefault="00722A47" w:rsidP="00722A47">
            <w:pPr>
              <w:spacing w:before="0" w:after="0"/>
              <w:jc w:val="left"/>
              <w:rPr>
                <w:rFonts w:eastAsia="Times New Roman"/>
                <w:b/>
                <w:sz w:val="20"/>
                <w:szCs w:val="20"/>
                <w:lang w:val="en-GB" w:eastAsia="de-DE"/>
              </w:rPr>
            </w:pPr>
            <w:r w:rsidRPr="00722A47">
              <w:rPr>
                <w:rFonts w:eastAsia="Times New Roman"/>
                <w:b/>
                <w:sz w:val="20"/>
                <w:szCs w:val="20"/>
                <w:lang w:val="en-GB" w:eastAsia="de-DE"/>
              </w:rPr>
              <w:lastRenderedPageBreak/>
              <w:t>TOC</w:t>
            </w:r>
          </w:p>
        </w:tc>
        <w:tc>
          <w:tcPr>
            <w:tcW w:w="478" w:type="pct"/>
            <w:tcBorders>
              <w:top w:val="single" w:sz="4" w:space="0" w:color="auto"/>
            </w:tcBorders>
            <w:vAlign w:val="center"/>
          </w:tcPr>
          <w:p w14:paraId="16148C64" w14:textId="77777777" w:rsidR="00722A47" w:rsidRPr="00722A47" w:rsidRDefault="00722A47" w:rsidP="00722A47">
            <w:pPr>
              <w:spacing w:before="0" w:after="0"/>
              <w:jc w:val="center"/>
              <w:rPr>
                <w:rFonts w:eastAsia="Times New Roman"/>
                <w:sz w:val="20"/>
                <w:szCs w:val="20"/>
                <w:lang w:val="en-GB" w:eastAsia="de-DE"/>
              </w:rPr>
            </w:pPr>
            <w:r w:rsidRPr="00722A47">
              <w:rPr>
                <w:rFonts w:eastAsia="Times New Roman"/>
                <w:sz w:val="20"/>
                <w:szCs w:val="20"/>
                <w:lang w:val="en-GB" w:eastAsia="de-DE"/>
              </w:rPr>
              <w:t>Masse%</w:t>
            </w:r>
          </w:p>
        </w:tc>
        <w:tc>
          <w:tcPr>
            <w:tcW w:w="872" w:type="pct"/>
            <w:tcBorders>
              <w:top w:val="single" w:sz="4" w:space="0" w:color="auto"/>
            </w:tcBorders>
            <w:vAlign w:val="center"/>
          </w:tcPr>
          <w:p w14:paraId="2D5A85BC" w14:textId="77777777" w:rsidR="00722A47" w:rsidRPr="00722A47" w:rsidRDefault="00722A47" w:rsidP="00722A47">
            <w:pPr>
              <w:spacing w:before="0" w:after="0"/>
              <w:jc w:val="center"/>
              <w:rPr>
                <w:rFonts w:eastAsia="Times New Roman"/>
                <w:sz w:val="20"/>
                <w:szCs w:val="20"/>
                <w:lang w:val="en-GB" w:eastAsia="de-DE"/>
              </w:rPr>
            </w:pPr>
            <w:r w:rsidRPr="00722A47">
              <w:rPr>
                <w:rFonts w:eastAsia="Times New Roman"/>
                <w:sz w:val="20"/>
                <w:szCs w:val="20"/>
                <w:lang w:val="en-GB" w:eastAsia="de-DE"/>
              </w:rPr>
              <w:t>1 - 5</w:t>
            </w:r>
          </w:p>
        </w:tc>
        <w:tc>
          <w:tcPr>
            <w:tcW w:w="782" w:type="pct"/>
            <w:tcBorders>
              <w:top w:val="single" w:sz="4" w:space="0" w:color="auto"/>
            </w:tcBorders>
          </w:tcPr>
          <w:p w14:paraId="04C959FD"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DIN EN 15936 (November 2012)</w:t>
            </w:r>
          </w:p>
          <w:p w14:paraId="3B8DE679" w14:textId="77777777" w:rsidR="00722A47" w:rsidRPr="00722A47" w:rsidRDefault="00722A47" w:rsidP="00722A47">
            <w:pPr>
              <w:spacing w:before="0" w:after="0"/>
              <w:jc w:val="left"/>
              <w:rPr>
                <w:rFonts w:eastAsia="Times New Roman"/>
                <w:sz w:val="20"/>
                <w:szCs w:val="20"/>
                <w:lang w:eastAsia="de-DE"/>
              </w:rPr>
            </w:pPr>
          </w:p>
          <w:p w14:paraId="4DCF8633" w14:textId="77777777" w:rsidR="00722A47" w:rsidRPr="00722A47" w:rsidRDefault="00722A47" w:rsidP="00722A47">
            <w:pPr>
              <w:spacing w:before="0" w:after="0"/>
              <w:jc w:val="left"/>
              <w:rPr>
                <w:rFonts w:eastAsia="Times New Roman"/>
                <w:sz w:val="20"/>
                <w:szCs w:val="20"/>
                <w:lang w:eastAsia="de-DE"/>
              </w:rPr>
            </w:pPr>
          </w:p>
          <w:p w14:paraId="2D5C2EFE" w14:textId="77777777" w:rsidR="00722A47" w:rsidRPr="00722A47" w:rsidRDefault="00722A47" w:rsidP="00722A47">
            <w:pPr>
              <w:spacing w:before="0" w:after="0"/>
              <w:jc w:val="left"/>
              <w:rPr>
                <w:rFonts w:eastAsia="Times New Roman"/>
                <w:sz w:val="20"/>
                <w:szCs w:val="20"/>
                <w:lang w:eastAsia="de-DE"/>
              </w:rPr>
            </w:pPr>
          </w:p>
          <w:p w14:paraId="44837F4B" w14:textId="77777777" w:rsidR="00722A47" w:rsidRPr="00722A47" w:rsidRDefault="00722A47" w:rsidP="00722A47">
            <w:pPr>
              <w:spacing w:before="0" w:after="0"/>
              <w:jc w:val="left"/>
              <w:rPr>
                <w:rFonts w:eastAsia="Times New Roman"/>
                <w:sz w:val="20"/>
                <w:szCs w:val="20"/>
                <w:lang w:eastAsia="de-DE"/>
              </w:rPr>
            </w:pPr>
          </w:p>
          <w:p w14:paraId="03B742DB"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 xml:space="preserve">DIN 19539 </w:t>
            </w:r>
          </w:p>
          <w:p w14:paraId="288C8089"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(Dezember 2016)</w:t>
            </w:r>
          </w:p>
          <w:p w14:paraId="312BCB5B" w14:textId="77777777" w:rsidR="00722A47" w:rsidRPr="00722A47" w:rsidRDefault="00722A47" w:rsidP="00722A47">
            <w:pPr>
              <w:spacing w:before="0" w:after="0"/>
              <w:jc w:val="left"/>
              <w:rPr>
                <w:rFonts w:eastAsia="Times New Roman"/>
                <w:sz w:val="20"/>
                <w:szCs w:val="20"/>
                <w:lang w:eastAsia="de-DE"/>
              </w:rPr>
            </w:pPr>
          </w:p>
        </w:tc>
        <w:tc>
          <w:tcPr>
            <w:tcW w:w="1676" w:type="pct"/>
            <w:tcBorders>
              <w:top w:val="single" w:sz="4" w:space="0" w:color="auto"/>
              <w:right w:val="single" w:sz="4" w:space="0" w:color="auto"/>
            </w:tcBorders>
          </w:tcPr>
          <w:p w14:paraId="782535C0"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Schlamm, behandelter Bioabfall, Boden und Abfall - Bestimmung des gesamten organischen Kohlenstoffs (TOC) mittels trockener Verbrennung; Deutsche Fassung EN 15936:2012</w:t>
            </w:r>
          </w:p>
          <w:p w14:paraId="468C02D5" w14:textId="77777777" w:rsidR="00722A47" w:rsidRPr="00722A47" w:rsidRDefault="00722A47" w:rsidP="00722A47">
            <w:pPr>
              <w:spacing w:before="0" w:after="0"/>
              <w:jc w:val="left"/>
              <w:rPr>
                <w:rFonts w:eastAsia="Times New Roman"/>
                <w:sz w:val="20"/>
                <w:szCs w:val="20"/>
                <w:lang w:eastAsia="de-DE"/>
              </w:rPr>
            </w:pPr>
          </w:p>
          <w:p w14:paraId="0455776E"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Untersuchung von Feststoffen - Temperaturabhängige Differenzierung des Gesamtkohlenstoffs (TOC</w:t>
            </w:r>
            <w:r w:rsidRPr="00722A47">
              <w:rPr>
                <w:rFonts w:ascii="Cambria Math" w:eastAsia="Times New Roman" w:hAnsi="Cambria Math" w:cs="Cambria Math"/>
                <w:sz w:val="20"/>
                <w:szCs w:val="20"/>
                <w:lang w:eastAsia="de-DE"/>
              </w:rPr>
              <w:t>₄₀₀</w:t>
            </w:r>
            <w:r w:rsidRPr="00722A47">
              <w:rPr>
                <w:rFonts w:eastAsia="Times New Roman"/>
                <w:sz w:val="20"/>
                <w:szCs w:val="20"/>
                <w:lang w:eastAsia="de-DE"/>
              </w:rPr>
              <w:t>, ROC, TIC</w:t>
            </w:r>
            <w:r w:rsidRPr="00722A47">
              <w:rPr>
                <w:rFonts w:ascii="Cambria Math" w:eastAsia="Times New Roman" w:hAnsi="Cambria Math" w:cs="Cambria Math"/>
                <w:sz w:val="20"/>
                <w:szCs w:val="20"/>
                <w:lang w:eastAsia="de-DE"/>
              </w:rPr>
              <w:t>₉₀₀</w:t>
            </w:r>
            <w:r w:rsidRPr="00722A47">
              <w:rPr>
                <w:rFonts w:eastAsia="Times New Roman"/>
                <w:sz w:val="20"/>
                <w:szCs w:val="20"/>
                <w:lang w:eastAsia="de-DE"/>
              </w:rPr>
              <w:t>)</w:t>
            </w:r>
          </w:p>
        </w:tc>
      </w:tr>
      <w:tr w:rsidR="00722A47" w:rsidRPr="00722A47" w14:paraId="4A41E1E9" w14:textId="77777777" w:rsidTr="004954C9">
        <w:trPr>
          <w:cantSplit/>
          <w:trHeight w:val="519"/>
        </w:trPr>
        <w:tc>
          <w:tcPr>
            <w:tcW w:w="1192" w:type="pct"/>
            <w:tcBorders>
              <w:left w:val="single" w:sz="4" w:space="0" w:color="auto"/>
            </w:tcBorders>
            <w:vAlign w:val="center"/>
          </w:tcPr>
          <w:p w14:paraId="120EC337"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Antimon</w:t>
            </w:r>
          </w:p>
          <w:p w14:paraId="5B63E29B"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Arsen</w:t>
            </w:r>
          </w:p>
          <w:p w14:paraId="21F9350B"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Blei</w:t>
            </w:r>
          </w:p>
          <w:p w14:paraId="7074AD93"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Cadmium</w:t>
            </w:r>
          </w:p>
          <w:p w14:paraId="4733E4A7"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Chrom, ges.</w:t>
            </w:r>
          </w:p>
          <w:p w14:paraId="2CD7A513"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Kupfer</w:t>
            </w:r>
          </w:p>
          <w:p w14:paraId="67E48B8A"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Molybdän</w:t>
            </w:r>
          </w:p>
          <w:p w14:paraId="45CA0B78"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Nickel</w:t>
            </w:r>
          </w:p>
          <w:p w14:paraId="7326C85E"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Vanadium</w:t>
            </w:r>
          </w:p>
          <w:p w14:paraId="31E1ACD2"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Zink</w:t>
            </w:r>
          </w:p>
        </w:tc>
        <w:tc>
          <w:tcPr>
            <w:tcW w:w="478" w:type="pct"/>
            <w:vAlign w:val="center"/>
          </w:tcPr>
          <w:p w14:paraId="39AFB2B4"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µg/l</w:t>
            </w:r>
          </w:p>
        </w:tc>
        <w:tc>
          <w:tcPr>
            <w:tcW w:w="872" w:type="pct"/>
            <w:vAlign w:val="center"/>
          </w:tcPr>
          <w:p w14:paraId="246788FF"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10 – 150</w:t>
            </w:r>
          </w:p>
          <w:p w14:paraId="32FF5DCD"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10 - 120</w:t>
            </w:r>
          </w:p>
          <w:p w14:paraId="09BE6009"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20 - 470</w:t>
            </w:r>
          </w:p>
          <w:p w14:paraId="6776F596"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2 - 15</w:t>
            </w:r>
          </w:p>
          <w:p w14:paraId="59B85DCC"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10 – 1 100</w:t>
            </w:r>
          </w:p>
          <w:p w14:paraId="10F340F1"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20 -2 000</w:t>
            </w:r>
          </w:p>
          <w:p w14:paraId="5F0F0B41"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55 – 7 000</w:t>
            </w:r>
          </w:p>
          <w:p w14:paraId="5F2FB52C"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20 - 280</w:t>
            </w:r>
          </w:p>
          <w:p w14:paraId="44463CCA"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30 – 1 350</w:t>
            </w:r>
          </w:p>
          <w:p w14:paraId="5596E91F"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100 – 1 600</w:t>
            </w:r>
          </w:p>
        </w:tc>
        <w:tc>
          <w:tcPr>
            <w:tcW w:w="782" w:type="pct"/>
          </w:tcPr>
          <w:p w14:paraId="197A3F01"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 xml:space="preserve">DIN EN ISO 17294-2 </w:t>
            </w:r>
          </w:p>
          <w:p w14:paraId="01CFBCB1"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(Januar  2017)</w:t>
            </w:r>
          </w:p>
          <w:p w14:paraId="1986960A" w14:textId="77777777" w:rsidR="00722A47" w:rsidRPr="00722A47" w:rsidRDefault="00722A47" w:rsidP="00722A47">
            <w:pPr>
              <w:spacing w:before="0" w:after="0"/>
              <w:jc w:val="left"/>
              <w:rPr>
                <w:rFonts w:eastAsia="Times New Roman"/>
                <w:sz w:val="20"/>
                <w:szCs w:val="20"/>
                <w:lang w:val="nb-NO" w:eastAsia="de-DE"/>
              </w:rPr>
            </w:pPr>
          </w:p>
          <w:p w14:paraId="5B36B8E7" w14:textId="77777777" w:rsidR="00722A47" w:rsidRPr="00722A47" w:rsidRDefault="00722A47" w:rsidP="00722A47">
            <w:pPr>
              <w:spacing w:before="0" w:after="0"/>
              <w:jc w:val="left"/>
              <w:rPr>
                <w:rFonts w:eastAsia="Times New Roman"/>
                <w:sz w:val="20"/>
                <w:szCs w:val="20"/>
                <w:lang w:val="nb-NO" w:eastAsia="de-DE"/>
              </w:rPr>
            </w:pPr>
          </w:p>
          <w:p w14:paraId="5D605A65" w14:textId="77777777" w:rsidR="00722A47" w:rsidRPr="00722A47" w:rsidRDefault="00722A47" w:rsidP="00722A47">
            <w:pPr>
              <w:spacing w:before="0" w:after="0"/>
              <w:jc w:val="left"/>
              <w:rPr>
                <w:rFonts w:eastAsia="Times New Roman"/>
                <w:sz w:val="20"/>
                <w:szCs w:val="20"/>
                <w:lang w:val="nb-NO" w:eastAsia="de-DE"/>
              </w:rPr>
            </w:pPr>
          </w:p>
          <w:p w14:paraId="5478C4C9" w14:textId="77777777" w:rsidR="00722A47" w:rsidRPr="00722A47" w:rsidRDefault="00722A47" w:rsidP="00722A47">
            <w:pPr>
              <w:spacing w:before="0" w:after="0"/>
              <w:jc w:val="left"/>
              <w:rPr>
                <w:rFonts w:eastAsia="Times New Roman"/>
                <w:sz w:val="20"/>
                <w:szCs w:val="20"/>
                <w:lang w:val="nb-NO" w:eastAsia="de-DE"/>
              </w:rPr>
            </w:pPr>
          </w:p>
          <w:p w14:paraId="382222AB" w14:textId="77777777" w:rsidR="00722A47" w:rsidRPr="00722A47" w:rsidRDefault="00722A47" w:rsidP="00722A47">
            <w:pPr>
              <w:spacing w:before="0" w:after="0"/>
              <w:jc w:val="left"/>
              <w:rPr>
                <w:rFonts w:eastAsia="Times New Roman"/>
                <w:sz w:val="20"/>
                <w:szCs w:val="20"/>
                <w:lang w:val="nb-NO" w:eastAsia="de-DE"/>
              </w:rPr>
            </w:pPr>
          </w:p>
          <w:p w14:paraId="1098D72F" w14:textId="77777777" w:rsidR="00722A47" w:rsidRPr="00722A47" w:rsidRDefault="00722A47" w:rsidP="00722A47">
            <w:pPr>
              <w:spacing w:before="0" w:after="0"/>
              <w:jc w:val="left"/>
              <w:rPr>
                <w:rFonts w:eastAsia="Times New Roman"/>
                <w:sz w:val="20"/>
                <w:szCs w:val="20"/>
                <w:lang w:val="nb-NO" w:eastAsia="de-DE"/>
              </w:rPr>
            </w:pPr>
          </w:p>
          <w:p w14:paraId="5283F07A"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DIN EN ISO 11885</w:t>
            </w:r>
          </w:p>
          <w:p w14:paraId="2AAD6053"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(September 2009)</w:t>
            </w:r>
          </w:p>
        </w:tc>
        <w:tc>
          <w:tcPr>
            <w:tcW w:w="1676" w:type="pct"/>
            <w:tcBorders>
              <w:right w:val="single" w:sz="4" w:space="0" w:color="auto"/>
            </w:tcBorders>
          </w:tcPr>
          <w:p w14:paraId="5855081F"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Wasserbeschaffenheit - Anwendung der induktiv gekoppelten Plasma-Massenspektrometrie (ICP-MS) - Teil 2: Bestimmung von ausgewählten Elementen einschließlich Uran-Isotope (ISO 17294-2:2016); Deutsche Fassung EN ISO 17294-2:2016</w:t>
            </w:r>
          </w:p>
          <w:p w14:paraId="51258166" w14:textId="77777777" w:rsidR="00722A47" w:rsidRPr="00722A47" w:rsidRDefault="00722A47" w:rsidP="00722A47">
            <w:pPr>
              <w:spacing w:before="0" w:after="0"/>
              <w:jc w:val="left"/>
              <w:rPr>
                <w:rFonts w:eastAsia="Times New Roman"/>
                <w:sz w:val="20"/>
                <w:szCs w:val="20"/>
                <w:lang w:eastAsia="de-DE"/>
              </w:rPr>
            </w:pPr>
          </w:p>
          <w:p w14:paraId="26E214BA" w14:textId="77777777" w:rsidR="00722A47" w:rsidRPr="00722A47" w:rsidRDefault="00722A47" w:rsidP="00722A47">
            <w:pPr>
              <w:spacing w:before="0" w:after="0"/>
              <w:jc w:val="left"/>
              <w:rPr>
                <w:rFonts w:eastAsia="Times New Roman"/>
                <w:sz w:val="20"/>
                <w:szCs w:val="20"/>
                <w:lang w:eastAsia="de-DE"/>
              </w:rPr>
            </w:pPr>
            <w:r w:rsidRPr="00722A47">
              <w:rPr>
                <w:rFonts w:eastAsia="TTE40C14E8t00"/>
                <w:sz w:val="20"/>
                <w:szCs w:val="20"/>
                <w:lang w:eastAsia="de-DE"/>
              </w:rPr>
              <w:t>Wasserbeschaffenheit - Bestimmung von ausgewählten Elementen durch induktiv gekoppelte Plasma-Atom-</w:t>
            </w:r>
            <w:proofErr w:type="spellStart"/>
            <w:r w:rsidRPr="00722A47">
              <w:rPr>
                <w:rFonts w:eastAsia="TTE40C14E8t00"/>
                <w:sz w:val="20"/>
                <w:szCs w:val="20"/>
                <w:lang w:eastAsia="de-DE"/>
              </w:rPr>
              <w:t>Emissionsspektrometrie</w:t>
            </w:r>
            <w:proofErr w:type="spellEnd"/>
            <w:r w:rsidRPr="00722A47">
              <w:rPr>
                <w:rFonts w:eastAsia="TTE40C14E8t00"/>
                <w:sz w:val="20"/>
                <w:szCs w:val="20"/>
                <w:lang w:eastAsia="de-DE"/>
              </w:rPr>
              <w:t xml:space="preserve"> (ICP-OES) (ISO 11885:2007); Deutsche Fassung EN ISO 11885:2009</w:t>
            </w:r>
          </w:p>
        </w:tc>
      </w:tr>
      <w:tr w:rsidR="00722A47" w:rsidRPr="00722A47" w14:paraId="3C079F4E" w14:textId="77777777" w:rsidTr="004954C9">
        <w:trPr>
          <w:cantSplit/>
          <w:trHeight w:val="519"/>
        </w:trPr>
        <w:tc>
          <w:tcPr>
            <w:tcW w:w="1192" w:type="pct"/>
            <w:tcBorders>
              <w:left w:val="single" w:sz="4" w:space="0" w:color="auto"/>
            </w:tcBorders>
            <w:vAlign w:val="center"/>
          </w:tcPr>
          <w:p w14:paraId="5C848647"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Arsen</w:t>
            </w:r>
          </w:p>
          <w:p w14:paraId="63203B71"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Blei</w:t>
            </w:r>
          </w:p>
          <w:p w14:paraId="66953C3C"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Cadmium</w:t>
            </w:r>
          </w:p>
          <w:p w14:paraId="0634B001"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Chrom, ges.</w:t>
            </w:r>
          </w:p>
          <w:p w14:paraId="2E50C08D"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Kupfer</w:t>
            </w:r>
          </w:p>
          <w:p w14:paraId="6AF79ED0"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Nickel</w:t>
            </w:r>
          </w:p>
          <w:p w14:paraId="3894773E"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Thallium</w:t>
            </w:r>
          </w:p>
          <w:p w14:paraId="32AF4BBB"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Zink</w:t>
            </w:r>
          </w:p>
        </w:tc>
        <w:tc>
          <w:tcPr>
            <w:tcW w:w="478" w:type="pct"/>
            <w:vAlign w:val="center"/>
          </w:tcPr>
          <w:p w14:paraId="09F92658"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mg/kg</w:t>
            </w:r>
          </w:p>
        </w:tc>
        <w:tc>
          <w:tcPr>
            <w:tcW w:w="872" w:type="pct"/>
            <w:vAlign w:val="center"/>
          </w:tcPr>
          <w:p w14:paraId="3640B68A"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10 – 150</w:t>
            </w:r>
          </w:p>
          <w:p w14:paraId="6BA7AB4A"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40 – 700</w:t>
            </w:r>
          </w:p>
          <w:p w14:paraId="1A6329F3"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0,4 – 10</w:t>
            </w:r>
          </w:p>
          <w:p w14:paraId="694D10B0"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30 – 600</w:t>
            </w:r>
          </w:p>
          <w:p w14:paraId="4C861FBB"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20 – 320</w:t>
            </w:r>
          </w:p>
          <w:p w14:paraId="507C2312"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50 – 350</w:t>
            </w:r>
          </w:p>
          <w:p w14:paraId="455A5716"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0,5 – 7</w:t>
            </w:r>
          </w:p>
          <w:p w14:paraId="35CBAFE6"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60 – 1 200</w:t>
            </w:r>
          </w:p>
        </w:tc>
        <w:tc>
          <w:tcPr>
            <w:tcW w:w="782" w:type="pct"/>
          </w:tcPr>
          <w:p w14:paraId="6227DA47"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DIN EN 16171</w:t>
            </w:r>
          </w:p>
          <w:p w14:paraId="2DEDB9D3"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(Januar  2017)</w:t>
            </w:r>
          </w:p>
          <w:p w14:paraId="13FE99F0" w14:textId="77777777" w:rsidR="00722A47" w:rsidRPr="00722A47" w:rsidRDefault="00722A47" w:rsidP="00722A47">
            <w:pPr>
              <w:spacing w:before="0" w:after="0"/>
              <w:jc w:val="left"/>
              <w:rPr>
                <w:rFonts w:eastAsia="Times New Roman"/>
                <w:sz w:val="20"/>
                <w:szCs w:val="20"/>
                <w:lang w:val="nb-NO" w:eastAsia="de-DE"/>
              </w:rPr>
            </w:pPr>
          </w:p>
          <w:p w14:paraId="29644E33" w14:textId="77777777" w:rsidR="00722A47" w:rsidRPr="00722A47" w:rsidRDefault="00722A47" w:rsidP="00722A47">
            <w:pPr>
              <w:spacing w:before="0" w:after="0"/>
              <w:jc w:val="left"/>
              <w:rPr>
                <w:rFonts w:eastAsia="Times New Roman"/>
                <w:sz w:val="20"/>
                <w:szCs w:val="20"/>
                <w:lang w:val="nb-NO" w:eastAsia="de-DE"/>
              </w:rPr>
            </w:pPr>
          </w:p>
          <w:p w14:paraId="0818D558" w14:textId="77777777" w:rsidR="00722A47" w:rsidRPr="00722A47" w:rsidRDefault="00722A47" w:rsidP="00722A47">
            <w:pPr>
              <w:spacing w:before="0" w:after="0"/>
              <w:jc w:val="left"/>
              <w:rPr>
                <w:rFonts w:eastAsia="Times New Roman"/>
                <w:sz w:val="20"/>
                <w:szCs w:val="20"/>
                <w:lang w:val="nb-NO" w:eastAsia="de-DE"/>
              </w:rPr>
            </w:pPr>
          </w:p>
          <w:p w14:paraId="3BBD4A24" w14:textId="77777777" w:rsidR="00722A47" w:rsidRPr="00722A47" w:rsidRDefault="00722A47" w:rsidP="00722A47">
            <w:pPr>
              <w:spacing w:before="0" w:after="0"/>
              <w:jc w:val="left"/>
              <w:rPr>
                <w:rFonts w:eastAsia="Times New Roman"/>
                <w:sz w:val="20"/>
                <w:szCs w:val="20"/>
                <w:lang w:val="nb-NO" w:eastAsia="de-DE"/>
              </w:rPr>
            </w:pPr>
          </w:p>
          <w:p w14:paraId="67D21141"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DIN EN 16170</w:t>
            </w:r>
          </w:p>
          <w:p w14:paraId="00ECE414" w14:textId="77777777" w:rsidR="00722A47" w:rsidRPr="00722A47" w:rsidRDefault="00722A47" w:rsidP="00722A47">
            <w:pPr>
              <w:spacing w:before="0" w:after="0"/>
              <w:jc w:val="left"/>
              <w:rPr>
                <w:rFonts w:eastAsia="Times New Roman"/>
                <w:b/>
                <w:sz w:val="20"/>
                <w:szCs w:val="20"/>
                <w:lang w:val="nb-NO" w:eastAsia="de-DE"/>
              </w:rPr>
            </w:pPr>
            <w:r w:rsidRPr="00722A47">
              <w:rPr>
                <w:rFonts w:eastAsia="Times New Roman"/>
                <w:sz w:val="20"/>
                <w:szCs w:val="20"/>
                <w:lang w:val="nb-NO" w:eastAsia="de-DE"/>
              </w:rPr>
              <w:t>(Januar 2017)</w:t>
            </w:r>
          </w:p>
        </w:tc>
        <w:tc>
          <w:tcPr>
            <w:tcW w:w="1676" w:type="pct"/>
            <w:tcBorders>
              <w:right w:val="single" w:sz="4" w:space="0" w:color="auto"/>
            </w:tcBorders>
          </w:tcPr>
          <w:p w14:paraId="1AF6713D"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Schlamm, behandelter Bioabfall und Boden - Bestimmung von Elementen mittels Massenspektrometrie mit induktiv gekoppeltem Plasma (ICP-MS); Deutsche Fassung EN 16171:2016</w:t>
            </w:r>
          </w:p>
          <w:p w14:paraId="7B62FDCF" w14:textId="77777777" w:rsidR="00722A47" w:rsidRPr="00722A47" w:rsidRDefault="00722A47" w:rsidP="00722A47">
            <w:pPr>
              <w:spacing w:before="0" w:after="0"/>
              <w:jc w:val="left"/>
              <w:rPr>
                <w:rFonts w:eastAsia="Times New Roman"/>
                <w:sz w:val="20"/>
                <w:szCs w:val="20"/>
                <w:lang w:eastAsia="de-DE"/>
              </w:rPr>
            </w:pPr>
          </w:p>
          <w:p w14:paraId="1FAFF2F0" w14:textId="77777777" w:rsidR="00722A47" w:rsidRPr="00722A47" w:rsidRDefault="00722A47" w:rsidP="00722A47">
            <w:pPr>
              <w:spacing w:before="0" w:after="0"/>
              <w:jc w:val="left"/>
              <w:rPr>
                <w:rFonts w:eastAsia="Times New Roman"/>
                <w:sz w:val="20"/>
                <w:szCs w:val="20"/>
                <w:lang w:eastAsia="de-DE"/>
              </w:rPr>
            </w:pPr>
            <w:r w:rsidRPr="00722A47">
              <w:rPr>
                <w:rFonts w:eastAsia="TTE40C14E8t00"/>
                <w:sz w:val="20"/>
                <w:szCs w:val="20"/>
                <w:lang w:eastAsia="de-DE"/>
              </w:rPr>
              <w:t xml:space="preserve">Schlamm, behandelter Bioabfall und Boden - Bestimmung von Elementen mittels optischer </w:t>
            </w:r>
            <w:proofErr w:type="spellStart"/>
            <w:r w:rsidRPr="00722A47">
              <w:rPr>
                <w:rFonts w:eastAsia="TTE40C14E8t00"/>
                <w:sz w:val="20"/>
                <w:szCs w:val="20"/>
                <w:lang w:eastAsia="de-DE"/>
              </w:rPr>
              <w:t>Emissionsspektrometrie</w:t>
            </w:r>
            <w:proofErr w:type="spellEnd"/>
            <w:r w:rsidRPr="00722A47">
              <w:rPr>
                <w:rFonts w:eastAsia="TTE40C14E8t00"/>
                <w:sz w:val="20"/>
                <w:szCs w:val="20"/>
                <w:lang w:eastAsia="de-DE"/>
              </w:rPr>
              <w:t xml:space="preserve"> mit induktiv gekoppeltem Plasma (ICP-OES); Deutsche Fassung EN 16170:2016 </w:t>
            </w:r>
          </w:p>
        </w:tc>
      </w:tr>
      <w:tr w:rsidR="00722A47" w:rsidRPr="00722A47" w14:paraId="7A44E324" w14:textId="77777777" w:rsidTr="004954C9">
        <w:trPr>
          <w:cantSplit/>
          <w:trHeight w:val="519"/>
        </w:trPr>
        <w:tc>
          <w:tcPr>
            <w:tcW w:w="1192" w:type="pct"/>
            <w:tcBorders>
              <w:left w:val="single" w:sz="4" w:space="0" w:color="auto"/>
            </w:tcBorders>
            <w:vAlign w:val="center"/>
          </w:tcPr>
          <w:p w14:paraId="0B773D12"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t>Quecksilber</w:t>
            </w:r>
          </w:p>
        </w:tc>
        <w:tc>
          <w:tcPr>
            <w:tcW w:w="478" w:type="pct"/>
            <w:vAlign w:val="center"/>
          </w:tcPr>
          <w:p w14:paraId="786E84D2"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µg/l</w:t>
            </w:r>
          </w:p>
        </w:tc>
        <w:tc>
          <w:tcPr>
            <w:tcW w:w="872" w:type="pct"/>
            <w:vAlign w:val="center"/>
          </w:tcPr>
          <w:p w14:paraId="42EA6FB7"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0,1</w:t>
            </w:r>
          </w:p>
        </w:tc>
        <w:tc>
          <w:tcPr>
            <w:tcW w:w="782" w:type="pct"/>
          </w:tcPr>
          <w:p w14:paraId="36CC8A09"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DIN EN ISO 17294-2</w:t>
            </w:r>
          </w:p>
          <w:p w14:paraId="5FD84AD7"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(Januar  2017)</w:t>
            </w:r>
          </w:p>
          <w:p w14:paraId="07BC1691" w14:textId="77777777" w:rsidR="00722A47" w:rsidRPr="00722A47" w:rsidRDefault="00722A47" w:rsidP="00722A47">
            <w:pPr>
              <w:spacing w:before="0" w:after="0"/>
              <w:jc w:val="left"/>
              <w:rPr>
                <w:rFonts w:eastAsia="Times New Roman"/>
                <w:sz w:val="20"/>
                <w:szCs w:val="20"/>
                <w:lang w:val="nb-NO" w:eastAsia="de-DE"/>
              </w:rPr>
            </w:pPr>
          </w:p>
          <w:p w14:paraId="55BA60D6" w14:textId="77777777" w:rsidR="00722A47" w:rsidRPr="00722A47" w:rsidRDefault="00722A47" w:rsidP="00722A47">
            <w:pPr>
              <w:spacing w:before="0" w:after="0"/>
              <w:jc w:val="left"/>
              <w:rPr>
                <w:rFonts w:eastAsia="Times New Roman"/>
                <w:sz w:val="20"/>
                <w:szCs w:val="20"/>
                <w:lang w:val="nb-NO" w:eastAsia="de-DE"/>
              </w:rPr>
            </w:pPr>
          </w:p>
          <w:p w14:paraId="6A21D95E" w14:textId="77777777" w:rsidR="00722A47" w:rsidRPr="00722A47" w:rsidRDefault="00722A47" w:rsidP="00722A47">
            <w:pPr>
              <w:spacing w:before="0" w:after="0"/>
              <w:jc w:val="left"/>
              <w:rPr>
                <w:rFonts w:eastAsia="Times New Roman"/>
                <w:sz w:val="20"/>
                <w:szCs w:val="20"/>
                <w:lang w:val="nb-NO" w:eastAsia="de-DE"/>
              </w:rPr>
            </w:pPr>
          </w:p>
          <w:p w14:paraId="2F9CCD02" w14:textId="77777777" w:rsidR="00722A47" w:rsidRPr="00722A47" w:rsidRDefault="00722A47" w:rsidP="00722A47">
            <w:pPr>
              <w:spacing w:before="0" w:after="0"/>
              <w:jc w:val="left"/>
              <w:rPr>
                <w:rFonts w:eastAsia="Times New Roman"/>
                <w:sz w:val="20"/>
                <w:szCs w:val="20"/>
                <w:lang w:val="da-DK" w:eastAsia="de-DE"/>
              </w:rPr>
            </w:pPr>
          </w:p>
          <w:p w14:paraId="2D7181BF" w14:textId="77777777" w:rsidR="00722A47" w:rsidRPr="00722A47" w:rsidRDefault="00722A47" w:rsidP="00722A47">
            <w:pPr>
              <w:spacing w:before="0" w:after="0"/>
              <w:jc w:val="left"/>
              <w:rPr>
                <w:rFonts w:eastAsia="Times New Roman"/>
                <w:sz w:val="20"/>
                <w:szCs w:val="20"/>
                <w:lang w:val="da-DK" w:eastAsia="de-DE"/>
              </w:rPr>
            </w:pPr>
          </w:p>
          <w:p w14:paraId="768B42D1" w14:textId="77777777" w:rsidR="00722A47" w:rsidRPr="00722A47" w:rsidRDefault="00722A47" w:rsidP="00722A47">
            <w:pPr>
              <w:spacing w:before="0" w:after="0"/>
              <w:jc w:val="left"/>
              <w:rPr>
                <w:rFonts w:eastAsia="Times New Roman"/>
                <w:sz w:val="20"/>
                <w:szCs w:val="20"/>
                <w:lang w:val="da-DK" w:eastAsia="de-DE"/>
              </w:rPr>
            </w:pPr>
          </w:p>
          <w:p w14:paraId="578F423D" w14:textId="77777777" w:rsidR="00722A47" w:rsidRPr="00722A47" w:rsidRDefault="00722A47" w:rsidP="00722A47">
            <w:pPr>
              <w:spacing w:before="0" w:after="0"/>
              <w:jc w:val="left"/>
              <w:rPr>
                <w:rFonts w:eastAsia="Times New Roman"/>
                <w:sz w:val="20"/>
                <w:szCs w:val="20"/>
                <w:lang w:val="da-DK" w:eastAsia="de-DE"/>
              </w:rPr>
            </w:pPr>
            <w:r w:rsidRPr="00722A47">
              <w:rPr>
                <w:rFonts w:eastAsia="Times New Roman"/>
                <w:sz w:val="20"/>
                <w:szCs w:val="20"/>
                <w:lang w:val="da-DK" w:eastAsia="de-DE"/>
              </w:rPr>
              <w:t>DIN EN ISO 12846</w:t>
            </w:r>
          </w:p>
          <w:p w14:paraId="2DECF0CF" w14:textId="77777777" w:rsidR="00722A47" w:rsidRPr="00722A47" w:rsidRDefault="00722A47" w:rsidP="00722A47">
            <w:pPr>
              <w:spacing w:before="0" w:after="0"/>
              <w:jc w:val="left"/>
              <w:rPr>
                <w:rFonts w:eastAsia="Times New Roman"/>
                <w:b/>
                <w:sz w:val="20"/>
                <w:szCs w:val="20"/>
                <w:lang w:val="nb-NO" w:eastAsia="de-DE"/>
              </w:rPr>
            </w:pPr>
            <w:r w:rsidRPr="00722A47">
              <w:rPr>
                <w:rFonts w:eastAsia="Times New Roman"/>
                <w:sz w:val="20"/>
                <w:szCs w:val="20"/>
                <w:lang w:val="da-DK" w:eastAsia="de-DE"/>
              </w:rPr>
              <w:t>(August 2012)</w:t>
            </w:r>
          </w:p>
        </w:tc>
        <w:tc>
          <w:tcPr>
            <w:tcW w:w="1676" w:type="pct"/>
            <w:tcBorders>
              <w:right w:val="single" w:sz="4" w:space="0" w:color="auto"/>
            </w:tcBorders>
          </w:tcPr>
          <w:p w14:paraId="75DEF616"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Wasserbeschaffenheit - Anwendung der induktiv gekoppelten Plasma-Massenspektrometrie (ICP-MS) - Teil 2: Bestimmung von ausgewählten Elementen einschließlich Uran-Isotope (ISO 17294-2:2016); Deutsche Fassung EN ISO 17294-2:2016</w:t>
            </w:r>
          </w:p>
          <w:p w14:paraId="05938F60"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 xml:space="preserve"> </w:t>
            </w:r>
          </w:p>
          <w:p w14:paraId="08F00037" w14:textId="77777777" w:rsidR="00722A47" w:rsidRPr="00722A47" w:rsidRDefault="00722A47" w:rsidP="00722A47">
            <w:pPr>
              <w:spacing w:before="0" w:after="0"/>
              <w:jc w:val="left"/>
              <w:rPr>
                <w:rFonts w:eastAsia="Times New Roman"/>
                <w:sz w:val="20"/>
                <w:szCs w:val="20"/>
                <w:lang w:eastAsia="de-DE"/>
              </w:rPr>
            </w:pPr>
            <w:r w:rsidRPr="00722A47">
              <w:rPr>
                <w:rFonts w:eastAsia="TTE40C14E8t00"/>
                <w:sz w:val="20"/>
                <w:szCs w:val="20"/>
                <w:lang w:eastAsia="de-DE"/>
              </w:rPr>
              <w:t xml:space="preserve">Wasserbeschaffenheit - Bestimmung von Quecksilber - Verfahren mittels Atomabsorptionsspektrometrie (AAS) mit und ohne Anreicherung (ISO 12846:2012); Deutsche Fassung EN ISO 12846:2012 </w:t>
            </w:r>
          </w:p>
        </w:tc>
      </w:tr>
      <w:tr w:rsidR="00722A47" w:rsidRPr="00722A47" w14:paraId="28DB19F5" w14:textId="77777777" w:rsidTr="004954C9">
        <w:trPr>
          <w:cantSplit/>
          <w:trHeight w:val="519"/>
        </w:trPr>
        <w:tc>
          <w:tcPr>
            <w:tcW w:w="1192" w:type="pct"/>
            <w:tcBorders>
              <w:left w:val="single" w:sz="4" w:space="0" w:color="auto"/>
            </w:tcBorders>
            <w:vAlign w:val="center"/>
          </w:tcPr>
          <w:p w14:paraId="3FCADFE1" w14:textId="77777777" w:rsidR="00722A47" w:rsidRPr="00722A47" w:rsidRDefault="00722A47" w:rsidP="00722A47">
            <w:pPr>
              <w:spacing w:before="0" w:after="0"/>
              <w:jc w:val="left"/>
              <w:rPr>
                <w:rFonts w:eastAsia="Times New Roman"/>
                <w:b/>
                <w:sz w:val="20"/>
                <w:szCs w:val="20"/>
                <w:lang w:eastAsia="de-DE"/>
              </w:rPr>
            </w:pPr>
            <w:r w:rsidRPr="00722A47">
              <w:rPr>
                <w:rFonts w:eastAsia="Times New Roman"/>
                <w:b/>
                <w:sz w:val="20"/>
                <w:szCs w:val="20"/>
                <w:lang w:eastAsia="de-DE"/>
              </w:rPr>
              <w:lastRenderedPageBreak/>
              <w:t>Quecksilber</w:t>
            </w:r>
          </w:p>
        </w:tc>
        <w:tc>
          <w:tcPr>
            <w:tcW w:w="478" w:type="pct"/>
            <w:vAlign w:val="center"/>
          </w:tcPr>
          <w:p w14:paraId="64FB81B2"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mg/kg</w:t>
            </w:r>
          </w:p>
        </w:tc>
        <w:tc>
          <w:tcPr>
            <w:tcW w:w="872" w:type="pct"/>
            <w:vAlign w:val="center"/>
          </w:tcPr>
          <w:p w14:paraId="1FAB6408" w14:textId="77777777" w:rsidR="00722A47" w:rsidRPr="00722A47" w:rsidRDefault="00722A47" w:rsidP="00722A47">
            <w:pPr>
              <w:spacing w:before="0" w:after="0"/>
              <w:jc w:val="center"/>
              <w:rPr>
                <w:rFonts w:eastAsia="Times New Roman"/>
                <w:sz w:val="20"/>
                <w:szCs w:val="20"/>
                <w:lang w:eastAsia="de-DE"/>
              </w:rPr>
            </w:pPr>
            <w:r w:rsidRPr="00722A47">
              <w:rPr>
                <w:rFonts w:eastAsia="Times New Roman"/>
                <w:sz w:val="20"/>
                <w:szCs w:val="20"/>
                <w:lang w:eastAsia="de-DE"/>
              </w:rPr>
              <w:t>0,2 - 5</w:t>
            </w:r>
          </w:p>
        </w:tc>
        <w:tc>
          <w:tcPr>
            <w:tcW w:w="782" w:type="pct"/>
          </w:tcPr>
          <w:p w14:paraId="0D293CA2"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DIN EN 16171</w:t>
            </w:r>
          </w:p>
          <w:p w14:paraId="0207CF66"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(Januar  2017)</w:t>
            </w:r>
          </w:p>
          <w:p w14:paraId="00AC268B" w14:textId="77777777" w:rsidR="00722A47" w:rsidRPr="00722A47" w:rsidRDefault="00722A47" w:rsidP="00722A47">
            <w:pPr>
              <w:spacing w:before="0" w:after="0"/>
              <w:jc w:val="left"/>
              <w:rPr>
                <w:rFonts w:eastAsia="Times New Roman"/>
                <w:sz w:val="20"/>
                <w:szCs w:val="20"/>
                <w:lang w:val="nb-NO" w:eastAsia="de-DE"/>
              </w:rPr>
            </w:pPr>
          </w:p>
          <w:p w14:paraId="674F5599" w14:textId="77777777" w:rsidR="00722A47" w:rsidRPr="00722A47" w:rsidRDefault="00722A47" w:rsidP="00722A47">
            <w:pPr>
              <w:spacing w:before="0" w:after="0"/>
              <w:jc w:val="left"/>
              <w:rPr>
                <w:rFonts w:eastAsia="Times New Roman"/>
                <w:sz w:val="20"/>
                <w:szCs w:val="20"/>
                <w:lang w:val="nb-NO" w:eastAsia="de-DE"/>
              </w:rPr>
            </w:pPr>
          </w:p>
          <w:p w14:paraId="6993BAC5" w14:textId="77777777" w:rsidR="00722A47" w:rsidRPr="00722A47" w:rsidRDefault="00722A47" w:rsidP="00722A47">
            <w:pPr>
              <w:spacing w:before="0" w:after="0"/>
              <w:jc w:val="left"/>
              <w:rPr>
                <w:rFonts w:eastAsia="Times New Roman"/>
                <w:sz w:val="20"/>
                <w:szCs w:val="20"/>
                <w:lang w:val="nb-NO" w:eastAsia="de-DE"/>
              </w:rPr>
            </w:pPr>
          </w:p>
          <w:p w14:paraId="63710FC0" w14:textId="77777777" w:rsidR="00722A47" w:rsidRPr="00722A47" w:rsidRDefault="00722A47" w:rsidP="00722A47">
            <w:pPr>
              <w:spacing w:before="0" w:after="0"/>
              <w:jc w:val="left"/>
              <w:rPr>
                <w:rFonts w:eastAsia="Times New Roman"/>
                <w:sz w:val="20"/>
                <w:szCs w:val="20"/>
                <w:lang w:val="da-DK" w:eastAsia="de-DE"/>
              </w:rPr>
            </w:pPr>
          </w:p>
          <w:p w14:paraId="03762015" w14:textId="77777777" w:rsidR="00722A47" w:rsidRPr="00722A47" w:rsidRDefault="00722A47" w:rsidP="00722A47">
            <w:pPr>
              <w:spacing w:before="0" w:after="0"/>
              <w:jc w:val="left"/>
              <w:rPr>
                <w:rFonts w:eastAsia="Times New Roman"/>
                <w:sz w:val="20"/>
                <w:szCs w:val="20"/>
                <w:lang w:val="da-DK" w:eastAsia="de-DE"/>
              </w:rPr>
            </w:pPr>
            <w:r w:rsidRPr="00722A47">
              <w:rPr>
                <w:rFonts w:eastAsia="Times New Roman"/>
                <w:sz w:val="20"/>
                <w:szCs w:val="20"/>
                <w:lang w:val="da-DK" w:eastAsia="de-DE"/>
              </w:rPr>
              <w:t>DIN EN ISO 12846</w:t>
            </w:r>
          </w:p>
          <w:p w14:paraId="65B9653F" w14:textId="77777777" w:rsidR="00722A47" w:rsidRPr="00722A47" w:rsidRDefault="00722A47" w:rsidP="00722A47">
            <w:pPr>
              <w:spacing w:before="0" w:after="0"/>
              <w:jc w:val="left"/>
              <w:rPr>
                <w:rFonts w:eastAsia="Times New Roman"/>
                <w:b/>
                <w:sz w:val="20"/>
                <w:szCs w:val="20"/>
                <w:lang w:val="nb-NO" w:eastAsia="de-DE"/>
              </w:rPr>
            </w:pPr>
            <w:r w:rsidRPr="00722A47">
              <w:rPr>
                <w:rFonts w:eastAsia="Times New Roman"/>
                <w:sz w:val="20"/>
                <w:szCs w:val="20"/>
                <w:lang w:val="da-DK" w:eastAsia="de-DE"/>
              </w:rPr>
              <w:t>(August 2012)</w:t>
            </w:r>
          </w:p>
        </w:tc>
        <w:tc>
          <w:tcPr>
            <w:tcW w:w="1676" w:type="pct"/>
            <w:tcBorders>
              <w:right w:val="single" w:sz="4" w:space="0" w:color="auto"/>
            </w:tcBorders>
          </w:tcPr>
          <w:p w14:paraId="146E14C1"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 xml:space="preserve">Schlamm, behandelter Bioabfall und Boden - Bestimmung von Elementen mittels Massenspektrometrie mit induktiv gekoppeltem Plasma (ICP-MS); Deutsche Fassung EN 16171:2016 </w:t>
            </w:r>
          </w:p>
          <w:p w14:paraId="5E1EF50C" w14:textId="77777777" w:rsidR="00722A47" w:rsidRPr="00722A47" w:rsidRDefault="00722A47" w:rsidP="00722A47">
            <w:pPr>
              <w:spacing w:before="0" w:after="0"/>
              <w:jc w:val="left"/>
              <w:rPr>
                <w:rFonts w:eastAsia="Times New Roman"/>
                <w:sz w:val="20"/>
                <w:szCs w:val="20"/>
                <w:lang w:eastAsia="de-DE"/>
              </w:rPr>
            </w:pPr>
          </w:p>
          <w:p w14:paraId="64ABAB64" w14:textId="77777777" w:rsidR="00722A47" w:rsidRPr="00722A47" w:rsidRDefault="00722A47" w:rsidP="00722A47">
            <w:pPr>
              <w:spacing w:before="0" w:after="0"/>
              <w:jc w:val="left"/>
              <w:rPr>
                <w:rFonts w:eastAsia="Times New Roman"/>
                <w:sz w:val="20"/>
                <w:szCs w:val="20"/>
                <w:lang w:eastAsia="de-DE"/>
              </w:rPr>
            </w:pPr>
            <w:r w:rsidRPr="00722A47">
              <w:rPr>
                <w:rFonts w:eastAsia="TTE40C14E8t00"/>
                <w:sz w:val="20"/>
                <w:szCs w:val="20"/>
                <w:lang w:eastAsia="de-DE"/>
              </w:rPr>
              <w:t>Wasserbeschaffenheit - Bestimmung von Quecksilber - Verfahren mittels Atomabsorptionsspektrometrie (AAS) mit und ohne Anreicherung (ISO 12846:2012); Deutsche Fassung EN ISO 12846:2012</w:t>
            </w:r>
          </w:p>
        </w:tc>
      </w:tr>
      <w:tr w:rsidR="00722A47" w:rsidRPr="00722A47" w14:paraId="3566AAEC"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787FA4CA" w14:textId="77777777" w:rsidR="00722A47" w:rsidRPr="00722A47" w:rsidRDefault="00722A47" w:rsidP="00722A47">
            <w:pPr>
              <w:spacing w:before="0" w:after="0"/>
              <w:jc w:val="left"/>
              <w:rPr>
                <w:rFonts w:eastAsia="Times New Roman"/>
                <w:b/>
                <w:sz w:val="20"/>
                <w:szCs w:val="20"/>
                <w:lang w:val="en-GB" w:eastAsia="de-DE"/>
              </w:rPr>
            </w:pPr>
            <w:r w:rsidRPr="00722A47">
              <w:rPr>
                <w:rFonts w:eastAsia="Times New Roman"/>
                <w:b/>
                <w:sz w:val="20"/>
                <w:szCs w:val="20"/>
                <w:lang w:val="en-GB" w:eastAsia="de-DE"/>
              </w:rPr>
              <w:t>PAK</w:t>
            </w:r>
          </w:p>
        </w:tc>
        <w:tc>
          <w:tcPr>
            <w:tcW w:w="478" w:type="pct"/>
            <w:tcBorders>
              <w:top w:val="single" w:sz="4" w:space="0" w:color="auto"/>
              <w:bottom w:val="single" w:sz="4" w:space="0" w:color="auto"/>
            </w:tcBorders>
            <w:vAlign w:val="center"/>
          </w:tcPr>
          <w:p w14:paraId="53E1E2F3" w14:textId="77777777" w:rsidR="00722A47" w:rsidRPr="00722A47" w:rsidRDefault="00722A47" w:rsidP="00722A47">
            <w:pPr>
              <w:spacing w:before="0" w:after="0"/>
              <w:jc w:val="center"/>
              <w:rPr>
                <w:rFonts w:eastAsia="Times New Roman"/>
                <w:sz w:val="20"/>
                <w:szCs w:val="20"/>
                <w:lang w:val="en-GB" w:eastAsia="de-DE"/>
              </w:rPr>
            </w:pPr>
            <w:r w:rsidRPr="00722A47">
              <w:rPr>
                <w:rFonts w:eastAsia="Times New Roman"/>
                <w:sz w:val="20"/>
                <w:szCs w:val="20"/>
                <w:lang w:val="en-GB" w:eastAsia="de-DE"/>
              </w:rPr>
              <w:t>µg/l</w:t>
            </w:r>
          </w:p>
        </w:tc>
        <w:tc>
          <w:tcPr>
            <w:tcW w:w="872" w:type="pct"/>
            <w:tcBorders>
              <w:top w:val="single" w:sz="4" w:space="0" w:color="auto"/>
              <w:bottom w:val="single" w:sz="4" w:space="0" w:color="auto"/>
            </w:tcBorders>
            <w:vAlign w:val="center"/>
          </w:tcPr>
          <w:p w14:paraId="1BCC7100" w14:textId="77777777" w:rsidR="00722A47" w:rsidRPr="00722A47" w:rsidRDefault="00722A47" w:rsidP="00722A47">
            <w:pPr>
              <w:spacing w:before="0" w:after="0"/>
              <w:jc w:val="center"/>
              <w:rPr>
                <w:rFonts w:eastAsia="Times New Roman"/>
                <w:sz w:val="20"/>
                <w:szCs w:val="20"/>
                <w:lang w:val="en-GB" w:eastAsia="de-DE"/>
              </w:rPr>
            </w:pPr>
            <w:r w:rsidRPr="00722A47">
              <w:rPr>
                <w:rFonts w:eastAsia="Times New Roman"/>
                <w:sz w:val="20"/>
                <w:szCs w:val="20"/>
                <w:lang w:val="en-GB" w:eastAsia="de-DE"/>
              </w:rPr>
              <w:t>0,2 – 50</w:t>
            </w:r>
          </w:p>
        </w:tc>
        <w:tc>
          <w:tcPr>
            <w:tcW w:w="782" w:type="pct"/>
            <w:tcBorders>
              <w:top w:val="single" w:sz="4" w:space="0" w:color="auto"/>
              <w:bottom w:val="single" w:sz="4" w:space="0" w:color="auto"/>
            </w:tcBorders>
          </w:tcPr>
          <w:p w14:paraId="0D17D5FC"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 xml:space="preserve">DIN EN ISO 17993 </w:t>
            </w:r>
          </w:p>
          <w:p w14:paraId="6678D4E0"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(März 2004)</w:t>
            </w:r>
          </w:p>
          <w:p w14:paraId="448B7549" w14:textId="77777777" w:rsidR="00722A47" w:rsidRPr="00722A47" w:rsidRDefault="00722A47" w:rsidP="00722A47">
            <w:pPr>
              <w:spacing w:before="0" w:after="0"/>
              <w:jc w:val="left"/>
              <w:rPr>
                <w:rFonts w:eastAsia="Times New Roman"/>
                <w:sz w:val="20"/>
                <w:szCs w:val="20"/>
                <w:lang w:val="nb-NO" w:eastAsia="de-DE"/>
              </w:rPr>
            </w:pPr>
          </w:p>
          <w:p w14:paraId="351F382E" w14:textId="77777777" w:rsidR="00722A47" w:rsidRPr="00722A47" w:rsidRDefault="00722A47" w:rsidP="00722A47">
            <w:pPr>
              <w:spacing w:before="0" w:after="0"/>
              <w:jc w:val="left"/>
              <w:rPr>
                <w:rFonts w:eastAsia="Times New Roman"/>
                <w:sz w:val="20"/>
                <w:szCs w:val="20"/>
                <w:lang w:val="nb-NO" w:eastAsia="de-DE"/>
              </w:rPr>
            </w:pPr>
          </w:p>
          <w:p w14:paraId="09BAFB34" w14:textId="77777777" w:rsidR="00722A47" w:rsidRPr="00722A47" w:rsidRDefault="00722A47" w:rsidP="00722A47">
            <w:pPr>
              <w:spacing w:before="0" w:after="0"/>
              <w:jc w:val="left"/>
              <w:rPr>
                <w:rFonts w:eastAsia="Times New Roman"/>
                <w:sz w:val="20"/>
                <w:szCs w:val="20"/>
                <w:lang w:val="nb-NO" w:eastAsia="de-DE"/>
              </w:rPr>
            </w:pPr>
          </w:p>
          <w:p w14:paraId="6543C019" w14:textId="77777777" w:rsidR="00722A47" w:rsidRPr="00722A47" w:rsidRDefault="00722A47" w:rsidP="00722A47">
            <w:pPr>
              <w:spacing w:before="0" w:after="0"/>
              <w:jc w:val="left"/>
              <w:rPr>
                <w:rFonts w:eastAsia="Times New Roman"/>
                <w:sz w:val="20"/>
                <w:szCs w:val="20"/>
                <w:lang w:val="nb-NO" w:eastAsia="de-DE"/>
              </w:rPr>
            </w:pPr>
          </w:p>
          <w:p w14:paraId="732D607C" w14:textId="77777777" w:rsidR="00722A47" w:rsidRPr="00722A47" w:rsidRDefault="00722A47" w:rsidP="00722A47">
            <w:pPr>
              <w:spacing w:before="0" w:after="0"/>
              <w:jc w:val="left"/>
              <w:rPr>
                <w:rFonts w:eastAsia="Times New Roman"/>
                <w:sz w:val="20"/>
                <w:szCs w:val="20"/>
                <w:lang w:val="nb-NO" w:eastAsia="de-DE"/>
              </w:rPr>
            </w:pPr>
          </w:p>
          <w:p w14:paraId="2EDB7A58" w14:textId="77777777" w:rsidR="00722A47" w:rsidRPr="00722A47" w:rsidRDefault="00722A47" w:rsidP="00722A47">
            <w:pPr>
              <w:spacing w:before="0" w:after="0"/>
              <w:jc w:val="left"/>
              <w:rPr>
                <w:rFonts w:eastAsia="Times New Roman"/>
                <w:sz w:val="20"/>
                <w:szCs w:val="20"/>
                <w:lang w:val="nb-NO" w:eastAsia="de-DE"/>
              </w:rPr>
            </w:pPr>
          </w:p>
          <w:p w14:paraId="34F16134" w14:textId="77777777" w:rsidR="00722A47" w:rsidRPr="00722A47" w:rsidRDefault="00722A47" w:rsidP="00722A47">
            <w:pPr>
              <w:spacing w:before="0" w:after="0"/>
              <w:jc w:val="left"/>
              <w:rPr>
                <w:rFonts w:eastAsia="Times New Roman"/>
                <w:sz w:val="20"/>
                <w:szCs w:val="20"/>
                <w:lang w:val="nb-NO" w:eastAsia="de-DE"/>
              </w:rPr>
            </w:pPr>
          </w:p>
          <w:p w14:paraId="2B2ADC90" w14:textId="77777777" w:rsidR="00722A47" w:rsidRPr="00722A47" w:rsidRDefault="00722A47" w:rsidP="00722A47">
            <w:pPr>
              <w:spacing w:before="0" w:after="0"/>
              <w:jc w:val="left"/>
              <w:rPr>
                <w:rFonts w:eastAsia="Times New Roman"/>
                <w:sz w:val="20"/>
                <w:szCs w:val="20"/>
                <w:lang w:val="nb-NO" w:eastAsia="de-DE"/>
              </w:rPr>
            </w:pPr>
          </w:p>
          <w:p w14:paraId="265C3D88"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DIN 38407-39</w:t>
            </w:r>
          </w:p>
          <w:p w14:paraId="3BB14D3E"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(September 2011)</w:t>
            </w:r>
          </w:p>
        </w:tc>
        <w:tc>
          <w:tcPr>
            <w:tcW w:w="1676" w:type="pct"/>
            <w:tcBorders>
              <w:top w:val="single" w:sz="4" w:space="0" w:color="auto"/>
              <w:bottom w:val="single" w:sz="4" w:space="0" w:color="auto"/>
              <w:right w:val="single" w:sz="4" w:space="0" w:color="auto"/>
            </w:tcBorders>
          </w:tcPr>
          <w:p w14:paraId="1BED1E44"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Wasserbeschaffenheit - Bestimmung von 15 polycyclischen aromatischen Kohlenwasserstoffen (PAK) in Wasser durch HPLC mit Fluoreszenzdetektion nach Flüssig-Flüssig-Extraktion (ISO 17993:2002); Deutsche Fassung EN ISO 17993:2003</w:t>
            </w:r>
          </w:p>
          <w:p w14:paraId="72AEC8E7" w14:textId="77777777" w:rsidR="00722A47" w:rsidRPr="00722A47" w:rsidRDefault="00722A47" w:rsidP="00722A47">
            <w:pPr>
              <w:spacing w:before="0" w:after="0"/>
              <w:jc w:val="left"/>
              <w:rPr>
                <w:rFonts w:eastAsia="Times New Roman"/>
                <w:sz w:val="20"/>
                <w:szCs w:val="20"/>
                <w:lang w:eastAsia="de-DE"/>
              </w:rPr>
            </w:pPr>
          </w:p>
          <w:p w14:paraId="365E3A95" w14:textId="77777777" w:rsidR="00722A47" w:rsidRPr="00722A47" w:rsidRDefault="00722A47" w:rsidP="00722A47">
            <w:pPr>
              <w:autoSpaceDE w:val="0"/>
              <w:autoSpaceDN w:val="0"/>
              <w:adjustRightInd w:val="0"/>
              <w:spacing w:before="0" w:after="0"/>
              <w:jc w:val="left"/>
              <w:rPr>
                <w:rFonts w:eastAsia="Times New Roman"/>
                <w:sz w:val="20"/>
                <w:szCs w:val="20"/>
                <w:lang w:eastAsia="de-DE"/>
              </w:rPr>
            </w:pPr>
            <w:r w:rsidRPr="00722A47">
              <w:rPr>
                <w:rFonts w:eastAsia="Times New Roman"/>
                <w:sz w:val="20"/>
                <w:szCs w:val="20"/>
                <w:lang w:eastAsia="de-DE"/>
              </w:rPr>
              <w:t xml:space="preserve">Deutsche Einheitsverfahren zur Wasser-, Abwasser- und Schlammuntersuchung – Gemeinsam erfassbare Stoffgruppen (Gruppe F) – Teil 39: Bestimmung ausgewählter polycyclischer aromatischer Kohlenwasserstoffe (PAK) – Verfahren mittels Gaschromatographie und massenspektrometrischer Detektion (GC-MS) </w:t>
            </w:r>
          </w:p>
          <w:p w14:paraId="57FA38EC" w14:textId="77777777" w:rsidR="00722A47" w:rsidRPr="00722A47" w:rsidRDefault="00722A47" w:rsidP="00722A47">
            <w:pPr>
              <w:autoSpaceDE w:val="0"/>
              <w:autoSpaceDN w:val="0"/>
              <w:adjustRightInd w:val="0"/>
              <w:spacing w:before="0" w:after="0"/>
              <w:jc w:val="left"/>
              <w:rPr>
                <w:rFonts w:eastAsia="Times New Roman"/>
                <w:sz w:val="20"/>
                <w:szCs w:val="20"/>
                <w:lang w:eastAsia="de-DE"/>
              </w:rPr>
            </w:pPr>
            <w:r w:rsidRPr="00722A47">
              <w:rPr>
                <w:rFonts w:eastAsia="Times New Roman"/>
                <w:sz w:val="20"/>
                <w:szCs w:val="20"/>
                <w:lang w:eastAsia="de-DE"/>
              </w:rPr>
              <w:t>(F 39)</w:t>
            </w:r>
          </w:p>
        </w:tc>
      </w:tr>
      <w:tr w:rsidR="00722A47" w:rsidRPr="00722A47" w14:paraId="4C15C97B"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3EB7FCDF" w14:textId="77777777" w:rsidR="00722A47" w:rsidRPr="00722A47" w:rsidRDefault="00722A47" w:rsidP="00722A47">
            <w:pPr>
              <w:spacing w:before="0" w:after="0"/>
              <w:jc w:val="left"/>
              <w:rPr>
                <w:rFonts w:eastAsia="Times New Roman"/>
                <w:b/>
                <w:sz w:val="20"/>
                <w:szCs w:val="20"/>
                <w:lang w:val="en-GB" w:eastAsia="de-DE"/>
              </w:rPr>
            </w:pPr>
            <w:r w:rsidRPr="00722A47">
              <w:rPr>
                <w:rFonts w:eastAsia="Times New Roman"/>
                <w:b/>
                <w:sz w:val="20"/>
                <w:szCs w:val="20"/>
                <w:lang w:val="en-GB" w:eastAsia="de-DE"/>
              </w:rPr>
              <w:t>PAK</w:t>
            </w:r>
          </w:p>
        </w:tc>
        <w:tc>
          <w:tcPr>
            <w:tcW w:w="478" w:type="pct"/>
            <w:tcBorders>
              <w:top w:val="single" w:sz="4" w:space="0" w:color="auto"/>
              <w:bottom w:val="single" w:sz="4" w:space="0" w:color="auto"/>
            </w:tcBorders>
            <w:vAlign w:val="center"/>
          </w:tcPr>
          <w:p w14:paraId="336CC863" w14:textId="77777777" w:rsidR="00722A47" w:rsidRPr="00722A47" w:rsidRDefault="00722A47" w:rsidP="00722A47">
            <w:pPr>
              <w:spacing w:before="0" w:after="0"/>
              <w:jc w:val="center"/>
              <w:rPr>
                <w:rFonts w:eastAsia="Times New Roman"/>
                <w:sz w:val="20"/>
                <w:szCs w:val="20"/>
                <w:lang w:val="en-GB" w:eastAsia="de-DE"/>
              </w:rPr>
            </w:pPr>
            <w:r w:rsidRPr="00722A47">
              <w:rPr>
                <w:rFonts w:eastAsia="Times New Roman"/>
                <w:sz w:val="20"/>
                <w:szCs w:val="20"/>
                <w:lang w:val="en-GB" w:eastAsia="de-DE"/>
              </w:rPr>
              <w:t>mg/kg</w:t>
            </w:r>
          </w:p>
        </w:tc>
        <w:tc>
          <w:tcPr>
            <w:tcW w:w="872" w:type="pct"/>
            <w:tcBorders>
              <w:top w:val="single" w:sz="4" w:space="0" w:color="auto"/>
              <w:bottom w:val="single" w:sz="4" w:space="0" w:color="auto"/>
            </w:tcBorders>
            <w:vAlign w:val="center"/>
          </w:tcPr>
          <w:p w14:paraId="6F503B7A" w14:textId="77777777" w:rsidR="00722A47" w:rsidRPr="00722A47" w:rsidRDefault="00722A47" w:rsidP="00722A47">
            <w:pPr>
              <w:spacing w:before="0" w:after="0"/>
              <w:jc w:val="center"/>
              <w:rPr>
                <w:rFonts w:eastAsia="Times New Roman"/>
                <w:sz w:val="20"/>
                <w:szCs w:val="20"/>
                <w:lang w:val="en-GB" w:eastAsia="de-DE"/>
              </w:rPr>
            </w:pPr>
            <w:r w:rsidRPr="00722A47">
              <w:rPr>
                <w:rFonts w:eastAsia="Times New Roman"/>
                <w:sz w:val="20"/>
                <w:szCs w:val="20"/>
                <w:lang w:val="en-GB" w:eastAsia="de-DE"/>
              </w:rPr>
              <w:t>0,2 – 30</w:t>
            </w:r>
          </w:p>
        </w:tc>
        <w:tc>
          <w:tcPr>
            <w:tcW w:w="782" w:type="pct"/>
            <w:tcBorders>
              <w:top w:val="single" w:sz="4" w:space="0" w:color="auto"/>
              <w:bottom w:val="single" w:sz="4" w:space="0" w:color="auto"/>
            </w:tcBorders>
          </w:tcPr>
          <w:p w14:paraId="7406BC64"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DIN ISO 18287</w:t>
            </w:r>
          </w:p>
          <w:p w14:paraId="417638F2"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(Mai 2006)</w:t>
            </w:r>
          </w:p>
          <w:p w14:paraId="6F73760D" w14:textId="77777777" w:rsidR="00722A47" w:rsidRPr="00722A47" w:rsidRDefault="00722A47" w:rsidP="00722A47">
            <w:pPr>
              <w:spacing w:before="0" w:after="0"/>
              <w:jc w:val="left"/>
              <w:rPr>
                <w:rFonts w:eastAsia="Times New Roman"/>
                <w:sz w:val="20"/>
                <w:szCs w:val="20"/>
                <w:lang w:val="nb-NO" w:eastAsia="de-DE"/>
              </w:rPr>
            </w:pPr>
          </w:p>
          <w:p w14:paraId="3B84BE45" w14:textId="77777777" w:rsidR="00722A47" w:rsidRPr="00722A47" w:rsidRDefault="00722A47" w:rsidP="00722A47">
            <w:pPr>
              <w:spacing w:before="0" w:after="0"/>
              <w:jc w:val="left"/>
              <w:rPr>
                <w:rFonts w:eastAsia="Times New Roman"/>
                <w:sz w:val="20"/>
                <w:szCs w:val="20"/>
                <w:lang w:val="nb-NO" w:eastAsia="de-DE"/>
              </w:rPr>
            </w:pPr>
          </w:p>
          <w:p w14:paraId="6E84261E" w14:textId="77777777" w:rsidR="00722A47" w:rsidRPr="00722A47" w:rsidRDefault="00722A47" w:rsidP="00722A47">
            <w:pPr>
              <w:spacing w:before="0" w:after="0"/>
              <w:jc w:val="left"/>
              <w:rPr>
                <w:rFonts w:eastAsia="Times New Roman"/>
                <w:sz w:val="20"/>
                <w:szCs w:val="20"/>
                <w:lang w:val="nb-NO" w:eastAsia="de-DE"/>
              </w:rPr>
            </w:pPr>
          </w:p>
          <w:p w14:paraId="5EB750EC" w14:textId="77777777" w:rsidR="00722A47" w:rsidRPr="00722A47" w:rsidRDefault="00722A47" w:rsidP="00722A47">
            <w:pPr>
              <w:spacing w:before="0" w:after="0"/>
              <w:jc w:val="left"/>
              <w:rPr>
                <w:rFonts w:eastAsia="Times New Roman"/>
                <w:sz w:val="20"/>
                <w:szCs w:val="20"/>
                <w:lang w:val="nb-NO" w:eastAsia="de-DE"/>
              </w:rPr>
            </w:pPr>
          </w:p>
          <w:p w14:paraId="39A849AC" w14:textId="77777777" w:rsidR="00722A47" w:rsidRPr="00722A47" w:rsidRDefault="00722A47" w:rsidP="00722A47">
            <w:pPr>
              <w:spacing w:before="0" w:after="0" w:line="360" w:lineRule="atLeast"/>
              <w:jc w:val="left"/>
              <w:rPr>
                <w:rFonts w:ascii="Century" w:eastAsia="Times New Roman" w:hAnsi="Century" w:cs="Tahoma"/>
                <w:sz w:val="20"/>
                <w:szCs w:val="24"/>
                <w:lang w:val="nb-NO" w:eastAsia="de-DE"/>
              </w:rPr>
            </w:pPr>
          </w:p>
          <w:p w14:paraId="081F2075" w14:textId="77777777" w:rsidR="00722A47" w:rsidRPr="00722A47" w:rsidRDefault="00722A47" w:rsidP="00722A47">
            <w:pPr>
              <w:spacing w:before="0" w:after="0"/>
              <w:jc w:val="left"/>
              <w:rPr>
                <w:rFonts w:eastAsia="Times New Roman"/>
                <w:sz w:val="20"/>
                <w:szCs w:val="20"/>
                <w:lang w:val="nb-NO" w:eastAsia="de-DE"/>
              </w:rPr>
            </w:pPr>
          </w:p>
          <w:p w14:paraId="2D2CDB3B"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DIN EN 16181 (August 2019)</w:t>
            </w:r>
          </w:p>
          <w:p w14:paraId="2CE33F26" w14:textId="77777777" w:rsidR="00722A47" w:rsidRPr="00722A47" w:rsidRDefault="00722A47" w:rsidP="00722A47">
            <w:pPr>
              <w:spacing w:before="0" w:after="0"/>
              <w:jc w:val="left"/>
              <w:rPr>
                <w:rFonts w:eastAsia="Times New Roman"/>
                <w:sz w:val="20"/>
                <w:szCs w:val="20"/>
                <w:lang w:val="nb-NO" w:eastAsia="de-DE"/>
              </w:rPr>
            </w:pPr>
          </w:p>
          <w:p w14:paraId="24FA710B" w14:textId="77777777" w:rsidR="00722A47" w:rsidRPr="00722A47" w:rsidRDefault="00722A47" w:rsidP="00722A47">
            <w:pPr>
              <w:spacing w:before="0" w:after="0"/>
              <w:jc w:val="left"/>
              <w:rPr>
                <w:rFonts w:eastAsia="Times New Roman"/>
                <w:sz w:val="20"/>
                <w:szCs w:val="20"/>
                <w:lang w:val="nb-NO" w:eastAsia="de-DE"/>
              </w:rPr>
            </w:pPr>
          </w:p>
          <w:p w14:paraId="36CF7D7A" w14:textId="77777777" w:rsidR="00722A47" w:rsidRPr="00722A47" w:rsidRDefault="00722A47" w:rsidP="00722A47">
            <w:pPr>
              <w:spacing w:before="0" w:after="0"/>
              <w:jc w:val="left"/>
              <w:rPr>
                <w:rFonts w:eastAsia="Times New Roman"/>
                <w:sz w:val="20"/>
                <w:szCs w:val="20"/>
                <w:lang w:val="nb-NO" w:eastAsia="de-DE"/>
              </w:rPr>
            </w:pPr>
          </w:p>
          <w:p w14:paraId="510D79ED" w14:textId="77777777" w:rsidR="00722A47" w:rsidRPr="00722A47" w:rsidRDefault="00722A47" w:rsidP="00722A47">
            <w:pPr>
              <w:spacing w:before="0" w:after="0"/>
              <w:jc w:val="left"/>
              <w:rPr>
                <w:rFonts w:eastAsia="Times New Roman"/>
                <w:sz w:val="20"/>
                <w:szCs w:val="20"/>
                <w:lang w:val="nb-NO" w:eastAsia="de-DE"/>
              </w:rPr>
            </w:pPr>
          </w:p>
          <w:p w14:paraId="0D0B5351" w14:textId="77777777" w:rsidR="00722A47" w:rsidRPr="00722A47" w:rsidRDefault="00722A47" w:rsidP="00722A47">
            <w:pPr>
              <w:spacing w:before="0" w:after="0"/>
              <w:jc w:val="left"/>
              <w:rPr>
                <w:rFonts w:eastAsia="Times New Roman"/>
                <w:sz w:val="20"/>
                <w:szCs w:val="20"/>
                <w:lang w:eastAsia="de-DE"/>
              </w:rPr>
            </w:pPr>
          </w:p>
        </w:tc>
        <w:tc>
          <w:tcPr>
            <w:tcW w:w="1676" w:type="pct"/>
            <w:tcBorders>
              <w:top w:val="single" w:sz="4" w:space="0" w:color="auto"/>
              <w:bottom w:val="single" w:sz="4" w:space="0" w:color="auto"/>
              <w:right w:val="single" w:sz="4" w:space="0" w:color="auto"/>
            </w:tcBorders>
          </w:tcPr>
          <w:p w14:paraId="0687F237" w14:textId="77777777" w:rsidR="00722A47" w:rsidRPr="00722A47" w:rsidRDefault="00722A47" w:rsidP="00722A47">
            <w:pPr>
              <w:spacing w:before="0" w:after="0"/>
              <w:jc w:val="left"/>
              <w:rPr>
                <w:rFonts w:eastAsia="Times New Roman"/>
                <w:bCs/>
                <w:sz w:val="20"/>
                <w:szCs w:val="20"/>
                <w:lang w:eastAsia="de-DE"/>
              </w:rPr>
            </w:pPr>
            <w:r w:rsidRPr="00722A47">
              <w:rPr>
                <w:rFonts w:eastAsia="Times New Roman"/>
                <w:bCs/>
                <w:sz w:val="20"/>
                <w:szCs w:val="20"/>
                <w:lang w:eastAsia="de-DE"/>
              </w:rPr>
              <w:t>Bodenbeschaffenheit - Bestimmung der polycyclischen aromatischen Kohlenwasserstoffe (PAK) - Gaschromatographisches Verfahren mit Nachweis durch Massenspektrometrie (GC-MS) (ISO 18287:2006))</w:t>
            </w:r>
          </w:p>
          <w:p w14:paraId="2863ECC4" w14:textId="77777777" w:rsidR="00722A47" w:rsidRPr="00722A47" w:rsidRDefault="00722A47" w:rsidP="00722A47">
            <w:pPr>
              <w:spacing w:before="0" w:after="0"/>
              <w:jc w:val="left"/>
              <w:rPr>
                <w:rFonts w:eastAsia="Times New Roman"/>
                <w:bCs/>
                <w:sz w:val="20"/>
                <w:szCs w:val="20"/>
                <w:lang w:eastAsia="de-DE"/>
              </w:rPr>
            </w:pPr>
          </w:p>
          <w:p w14:paraId="1C7EEB4E"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bCs/>
                <w:sz w:val="20"/>
                <w:szCs w:val="20"/>
                <w:lang w:eastAsia="de-DE"/>
              </w:rPr>
              <w:t>Schlamm, behandelter Bioabfall und Boden - Bestimmung von polycyclischen aromatischen Kohlenwasserstoffen (PAK) mittels Gaschromatographie (GC) und Hochleistungs-Flüssigkeitschromatographie (HPLC); Deutsche Fassung EN16181:2019</w:t>
            </w:r>
          </w:p>
        </w:tc>
      </w:tr>
      <w:tr w:rsidR="00722A47" w:rsidRPr="00722A47" w14:paraId="1782330F"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7ADF4BB9" w14:textId="77777777" w:rsidR="00722A47" w:rsidRPr="00722A47" w:rsidRDefault="00722A47" w:rsidP="00722A47">
            <w:pPr>
              <w:spacing w:before="0" w:after="0"/>
              <w:jc w:val="left"/>
              <w:rPr>
                <w:rFonts w:eastAsia="Times New Roman"/>
                <w:b/>
                <w:bCs/>
                <w:sz w:val="20"/>
                <w:szCs w:val="20"/>
                <w:lang w:eastAsia="de-DE"/>
              </w:rPr>
            </w:pPr>
          </w:p>
          <w:p w14:paraId="6368E274" w14:textId="77777777" w:rsidR="00722A47" w:rsidRPr="00722A47" w:rsidRDefault="00722A47" w:rsidP="00722A47">
            <w:pPr>
              <w:spacing w:before="0" w:after="0"/>
              <w:jc w:val="left"/>
              <w:rPr>
                <w:rFonts w:eastAsia="Times New Roman"/>
                <w:b/>
                <w:bCs/>
                <w:sz w:val="20"/>
                <w:szCs w:val="20"/>
                <w:lang w:eastAsia="de-DE"/>
              </w:rPr>
            </w:pPr>
            <w:r w:rsidRPr="00722A47">
              <w:rPr>
                <w:rFonts w:eastAsia="Times New Roman"/>
                <w:b/>
                <w:bCs/>
                <w:sz w:val="20"/>
                <w:szCs w:val="20"/>
                <w:lang w:eastAsia="de-DE"/>
              </w:rPr>
              <w:t>PCB</w:t>
            </w:r>
          </w:p>
          <w:p w14:paraId="49C46BDC" w14:textId="77777777" w:rsidR="00722A47" w:rsidRPr="00722A47" w:rsidRDefault="00722A47" w:rsidP="00722A47">
            <w:pPr>
              <w:spacing w:before="0" w:after="0"/>
              <w:jc w:val="left"/>
              <w:rPr>
                <w:rFonts w:eastAsia="Times New Roman"/>
                <w:bCs/>
                <w:sz w:val="20"/>
                <w:szCs w:val="20"/>
                <w:lang w:eastAsia="de-DE"/>
              </w:rPr>
            </w:pPr>
            <w:r w:rsidRPr="00722A47">
              <w:rPr>
                <w:rFonts w:eastAsia="Times New Roman"/>
                <w:bCs/>
                <w:sz w:val="20"/>
                <w:szCs w:val="20"/>
                <w:lang w:eastAsia="de-DE"/>
              </w:rPr>
              <w:t>(PCB-28, -52, -101,-138, -153, -</w:t>
            </w:r>
            <w:proofErr w:type="gramStart"/>
            <w:r w:rsidRPr="00722A47">
              <w:rPr>
                <w:rFonts w:eastAsia="Times New Roman"/>
                <w:bCs/>
                <w:sz w:val="20"/>
                <w:szCs w:val="20"/>
                <w:lang w:eastAsia="de-DE"/>
              </w:rPr>
              <w:t>180)+</w:t>
            </w:r>
            <w:proofErr w:type="gramEnd"/>
            <w:r w:rsidRPr="00722A47">
              <w:rPr>
                <w:rFonts w:eastAsia="Times New Roman"/>
                <w:bCs/>
                <w:sz w:val="20"/>
                <w:szCs w:val="20"/>
                <w:lang w:eastAsia="de-DE"/>
              </w:rPr>
              <w:t>PCB-118</w:t>
            </w:r>
          </w:p>
        </w:tc>
        <w:tc>
          <w:tcPr>
            <w:tcW w:w="478" w:type="pct"/>
            <w:tcBorders>
              <w:top w:val="single" w:sz="4" w:space="0" w:color="auto"/>
              <w:bottom w:val="single" w:sz="4" w:space="0" w:color="auto"/>
            </w:tcBorders>
            <w:vAlign w:val="center"/>
          </w:tcPr>
          <w:p w14:paraId="0F6AAA18" w14:textId="77777777" w:rsidR="00722A47" w:rsidRPr="00722A47" w:rsidRDefault="00722A47" w:rsidP="00722A47">
            <w:pPr>
              <w:spacing w:before="0" w:after="0"/>
              <w:jc w:val="center"/>
              <w:rPr>
                <w:rFonts w:eastAsia="Times New Roman"/>
                <w:bCs/>
                <w:sz w:val="20"/>
                <w:szCs w:val="20"/>
                <w:lang w:eastAsia="de-DE"/>
              </w:rPr>
            </w:pPr>
            <w:r w:rsidRPr="00722A47">
              <w:rPr>
                <w:rFonts w:eastAsia="Times New Roman"/>
                <w:bCs/>
                <w:sz w:val="20"/>
                <w:szCs w:val="20"/>
                <w:lang w:eastAsia="de-DE"/>
              </w:rPr>
              <w:t>µg/l</w:t>
            </w:r>
          </w:p>
        </w:tc>
        <w:tc>
          <w:tcPr>
            <w:tcW w:w="872" w:type="pct"/>
            <w:tcBorders>
              <w:top w:val="single" w:sz="4" w:space="0" w:color="auto"/>
              <w:bottom w:val="single" w:sz="4" w:space="0" w:color="auto"/>
            </w:tcBorders>
            <w:vAlign w:val="center"/>
          </w:tcPr>
          <w:p w14:paraId="0A0C2606" w14:textId="77777777" w:rsidR="00722A47" w:rsidRPr="00722A47" w:rsidRDefault="00722A47" w:rsidP="00722A47">
            <w:pPr>
              <w:spacing w:before="0" w:after="0"/>
              <w:jc w:val="center"/>
              <w:rPr>
                <w:rFonts w:eastAsia="Times New Roman"/>
                <w:bCs/>
                <w:sz w:val="20"/>
                <w:szCs w:val="20"/>
                <w:lang w:eastAsia="de-DE"/>
              </w:rPr>
            </w:pPr>
            <w:r w:rsidRPr="00722A47">
              <w:rPr>
                <w:rFonts w:eastAsia="Times New Roman"/>
                <w:bCs/>
                <w:sz w:val="20"/>
                <w:szCs w:val="20"/>
                <w:lang w:eastAsia="de-DE"/>
              </w:rPr>
              <w:t>0,01 – 0,04</w:t>
            </w:r>
          </w:p>
        </w:tc>
        <w:tc>
          <w:tcPr>
            <w:tcW w:w="782" w:type="pct"/>
            <w:tcBorders>
              <w:top w:val="single" w:sz="4" w:space="0" w:color="auto"/>
              <w:bottom w:val="single" w:sz="4" w:space="0" w:color="auto"/>
            </w:tcBorders>
          </w:tcPr>
          <w:p w14:paraId="0F1B7CB7"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val="nb-NO" w:eastAsia="de-DE"/>
              </w:rPr>
              <w:t>DIN 38407-37 (November 2013)</w:t>
            </w:r>
          </w:p>
        </w:tc>
        <w:tc>
          <w:tcPr>
            <w:tcW w:w="1676" w:type="pct"/>
            <w:tcBorders>
              <w:top w:val="single" w:sz="4" w:space="0" w:color="auto"/>
              <w:bottom w:val="single" w:sz="4" w:space="0" w:color="auto"/>
              <w:right w:val="single" w:sz="4" w:space="0" w:color="auto"/>
            </w:tcBorders>
          </w:tcPr>
          <w:p w14:paraId="2C8C255D"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 xml:space="preserve">Deutsche Einheitsverfahren zur Wasser-, Abwasser- und Schlammuntersuchung – Gemeinsam erfassbare Stoffgruppen (Gruppe F) Teil 37: Bestimmung von </w:t>
            </w:r>
            <w:proofErr w:type="spellStart"/>
            <w:r w:rsidRPr="00722A47">
              <w:rPr>
                <w:rFonts w:eastAsia="Times New Roman"/>
                <w:sz w:val="20"/>
                <w:szCs w:val="20"/>
                <w:lang w:eastAsia="de-DE"/>
              </w:rPr>
              <w:t>Organochlorpestiziden</w:t>
            </w:r>
            <w:proofErr w:type="spellEnd"/>
            <w:r w:rsidRPr="00722A47">
              <w:rPr>
                <w:rFonts w:eastAsia="Times New Roman"/>
                <w:sz w:val="20"/>
                <w:szCs w:val="20"/>
                <w:lang w:eastAsia="de-DE"/>
              </w:rPr>
              <w:t xml:space="preserve">, </w:t>
            </w:r>
            <w:proofErr w:type="spellStart"/>
            <w:r w:rsidRPr="00722A47">
              <w:rPr>
                <w:rFonts w:eastAsia="Times New Roman"/>
                <w:sz w:val="20"/>
                <w:szCs w:val="20"/>
                <w:lang w:eastAsia="de-DE"/>
              </w:rPr>
              <w:t>Polychlorbiphenylen</w:t>
            </w:r>
            <w:proofErr w:type="spellEnd"/>
            <w:r w:rsidRPr="00722A47">
              <w:rPr>
                <w:rFonts w:eastAsia="Times New Roman"/>
                <w:sz w:val="20"/>
                <w:szCs w:val="20"/>
                <w:lang w:eastAsia="de-DE"/>
              </w:rPr>
              <w:t xml:space="preserve"> und Chlorbenzolen in Wasser – Verfahren mittels Gaschromatographie und massenspektrometrischer Detektion (GC-MS) nach Flüssig-Flüssig-Extraktion (F37)</w:t>
            </w:r>
          </w:p>
        </w:tc>
      </w:tr>
      <w:tr w:rsidR="00722A47" w:rsidRPr="00722A47" w14:paraId="6C7D3A33"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78ED8ADB" w14:textId="77777777" w:rsidR="00722A47" w:rsidRPr="00722A47" w:rsidRDefault="00722A47" w:rsidP="00722A47">
            <w:pPr>
              <w:spacing w:before="0" w:after="0"/>
              <w:jc w:val="left"/>
              <w:rPr>
                <w:rFonts w:eastAsia="Times New Roman"/>
                <w:b/>
                <w:bCs/>
                <w:sz w:val="20"/>
                <w:szCs w:val="20"/>
                <w:lang w:eastAsia="de-DE"/>
              </w:rPr>
            </w:pPr>
            <w:r w:rsidRPr="00722A47">
              <w:rPr>
                <w:rFonts w:eastAsia="Times New Roman"/>
                <w:b/>
                <w:bCs/>
                <w:sz w:val="20"/>
                <w:szCs w:val="20"/>
                <w:lang w:eastAsia="de-DE"/>
              </w:rPr>
              <w:t>PCB</w:t>
            </w:r>
          </w:p>
          <w:p w14:paraId="4BF4ED8B" w14:textId="77777777" w:rsidR="00722A47" w:rsidRPr="00722A47" w:rsidRDefault="00722A47" w:rsidP="00722A47">
            <w:pPr>
              <w:spacing w:before="0" w:after="0"/>
              <w:jc w:val="left"/>
              <w:rPr>
                <w:rFonts w:eastAsia="Times New Roman"/>
                <w:b/>
                <w:bCs/>
                <w:sz w:val="20"/>
                <w:szCs w:val="20"/>
                <w:lang w:eastAsia="de-DE"/>
              </w:rPr>
            </w:pPr>
            <w:r w:rsidRPr="00722A47">
              <w:rPr>
                <w:rFonts w:eastAsia="Times New Roman"/>
                <w:bCs/>
                <w:sz w:val="20"/>
                <w:szCs w:val="20"/>
                <w:lang w:eastAsia="de-DE"/>
              </w:rPr>
              <w:t>(PCB-28, -52, -101,-138, -153, -</w:t>
            </w:r>
            <w:proofErr w:type="gramStart"/>
            <w:r w:rsidRPr="00722A47">
              <w:rPr>
                <w:rFonts w:eastAsia="Times New Roman"/>
                <w:bCs/>
                <w:sz w:val="20"/>
                <w:szCs w:val="20"/>
                <w:lang w:eastAsia="de-DE"/>
              </w:rPr>
              <w:t>180)+</w:t>
            </w:r>
            <w:proofErr w:type="gramEnd"/>
            <w:r w:rsidRPr="00722A47">
              <w:rPr>
                <w:rFonts w:eastAsia="Times New Roman"/>
                <w:bCs/>
                <w:sz w:val="20"/>
                <w:szCs w:val="20"/>
                <w:lang w:eastAsia="de-DE"/>
              </w:rPr>
              <w:t>PCB-118</w:t>
            </w:r>
          </w:p>
        </w:tc>
        <w:tc>
          <w:tcPr>
            <w:tcW w:w="478" w:type="pct"/>
            <w:tcBorders>
              <w:top w:val="single" w:sz="4" w:space="0" w:color="auto"/>
              <w:bottom w:val="single" w:sz="4" w:space="0" w:color="auto"/>
            </w:tcBorders>
            <w:vAlign w:val="center"/>
          </w:tcPr>
          <w:p w14:paraId="0E49BC40" w14:textId="77777777" w:rsidR="00722A47" w:rsidRPr="00722A47" w:rsidRDefault="00722A47" w:rsidP="00722A47">
            <w:pPr>
              <w:spacing w:before="0" w:after="0"/>
              <w:jc w:val="center"/>
              <w:rPr>
                <w:rFonts w:eastAsia="Times New Roman"/>
                <w:bCs/>
                <w:sz w:val="20"/>
                <w:szCs w:val="20"/>
                <w:lang w:eastAsia="de-DE"/>
              </w:rPr>
            </w:pPr>
            <w:r w:rsidRPr="00722A47">
              <w:rPr>
                <w:rFonts w:eastAsia="Times New Roman"/>
                <w:bCs/>
                <w:sz w:val="20"/>
                <w:szCs w:val="20"/>
                <w:lang w:eastAsia="de-DE"/>
              </w:rPr>
              <w:t>mg/kg</w:t>
            </w:r>
          </w:p>
        </w:tc>
        <w:tc>
          <w:tcPr>
            <w:tcW w:w="872" w:type="pct"/>
            <w:tcBorders>
              <w:top w:val="single" w:sz="4" w:space="0" w:color="auto"/>
              <w:bottom w:val="single" w:sz="4" w:space="0" w:color="auto"/>
            </w:tcBorders>
            <w:vAlign w:val="center"/>
          </w:tcPr>
          <w:p w14:paraId="3DC7930E" w14:textId="77777777" w:rsidR="00722A47" w:rsidRPr="00722A47" w:rsidRDefault="00722A47" w:rsidP="00722A47">
            <w:pPr>
              <w:spacing w:before="0" w:after="0"/>
              <w:jc w:val="center"/>
              <w:rPr>
                <w:rFonts w:eastAsia="Times New Roman"/>
                <w:bCs/>
                <w:sz w:val="20"/>
                <w:szCs w:val="20"/>
                <w:lang w:eastAsia="de-DE"/>
              </w:rPr>
            </w:pPr>
            <w:r w:rsidRPr="00722A47">
              <w:rPr>
                <w:rFonts w:eastAsia="Times New Roman"/>
                <w:bCs/>
                <w:sz w:val="20"/>
                <w:szCs w:val="20"/>
                <w:lang w:eastAsia="de-DE"/>
              </w:rPr>
              <w:t>0,05 – 0,5</w:t>
            </w:r>
          </w:p>
        </w:tc>
        <w:tc>
          <w:tcPr>
            <w:tcW w:w="782" w:type="pct"/>
            <w:tcBorders>
              <w:top w:val="single" w:sz="4" w:space="0" w:color="auto"/>
              <w:bottom w:val="single" w:sz="4" w:space="0" w:color="auto"/>
            </w:tcBorders>
          </w:tcPr>
          <w:p w14:paraId="2C615595"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DIN EN 16167</w:t>
            </w:r>
          </w:p>
          <w:p w14:paraId="2D1CF246" w14:textId="77777777" w:rsidR="00722A47" w:rsidRPr="00722A47" w:rsidRDefault="00722A47" w:rsidP="00722A47">
            <w:pPr>
              <w:spacing w:before="0" w:after="0"/>
              <w:jc w:val="left"/>
              <w:rPr>
                <w:rFonts w:eastAsia="Times New Roman"/>
                <w:sz w:val="20"/>
                <w:szCs w:val="20"/>
                <w:lang w:val="nb-NO" w:eastAsia="de-DE"/>
              </w:rPr>
            </w:pPr>
            <w:r w:rsidRPr="00722A47">
              <w:rPr>
                <w:rFonts w:eastAsia="Times New Roman"/>
                <w:sz w:val="20"/>
                <w:szCs w:val="20"/>
                <w:lang w:val="nb-NO" w:eastAsia="de-DE"/>
              </w:rPr>
              <w:t>(Juni 2019)</w:t>
            </w:r>
          </w:p>
          <w:p w14:paraId="4A87234C" w14:textId="77777777" w:rsidR="00722A47" w:rsidRPr="00722A47" w:rsidRDefault="00722A47" w:rsidP="00722A47">
            <w:pPr>
              <w:spacing w:before="0" w:after="0"/>
              <w:jc w:val="left"/>
              <w:rPr>
                <w:rFonts w:eastAsia="Times New Roman"/>
                <w:sz w:val="20"/>
                <w:szCs w:val="20"/>
                <w:lang w:eastAsia="de-DE"/>
              </w:rPr>
            </w:pPr>
          </w:p>
          <w:p w14:paraId="3D61F978" w14:textId="77777777" w:rsidR="00722A47" w:rsidRPr="00722A47" w:rsidRDefault="00722A47" w:rsidP="00722A47">
            <w:pPr>
              <w:spacing w:before="0" w:after="0"/>
              <w:jc w:val="left"/>
              <w:rPr>
                <w:rFonts w:eastAsia="Times New Roman"/>
                <w:sz w:val="20"/>
                <w:szCs w:val="20"/>
                <w:lang w:eastAsia="de-DE"/>
              </w:rPr>
            </w:pPr>
          </w:p>
          <w:p w14:paraId="72AC48C8" w14:textId="77777777" w:rsidR="00722A47" w:rsidRPr="00722A47" w:rsidRDefault="00722A47" w:rsidP="00722A47">
            <w:pPr>
              <w:spacing w:before="0" w:after="0"/>
              <w:jc w:val="left"/>
              <w:rPr>
                <w:rFonts w:eastAsia="Times New Roman"/>
                <w:sz w:val="20"/>
                <w:szCs w:val="20"/>
                <w:lang w:eastAsia="de-DE"/>
              </w:rPr>
            </w:pPr>
          </w:p>
          <w:p w14:paraId="567118D7" w14:textId="77777777" w:rsidR="00722A47" w:rsidRPr="00722A47" w:rsidRDefault="00722A47" w:rsidP="00722A47">
            <w:pPr>
              <w:spacing w:before="0" w:after="0"/>
              <w:jc w:val="left"/>
              <w:rPr>
                <w:rFonts w:eastAsia="Times New Roman"/>
                <w:color w:val="000000"/>
                <w:sz w:val="20"/>
                <w:szCs w:val="20"/>
                <w:lang w:eastAsia="de-DE"/>
              </w:rPr>
            </w:pPr>
          </w:p>
          <w:p w14:paraId="4BD2D76E" w14:textId="77777777" w:rsidR="00722A47" w:rsidRPr="00722A47" w:rsidRDefault="00722A47" w:rsidP="00722A47">
            <w:pPr>
              <w:spacing w:before="0" w:after="0"/>
              <w:jc w:val="left"/>
              <w:rPr>
                <w:rFonts w:eastAsia="Times New Roman"/>
                <w:sz w:val="20"/>
                <w:szCs w:val="20"/>
                <w:lang w:val="nb-NO" w:eastAsia="de-DE"/>
              </w:rPr>
            </w:pPr>
          </w:p>
        </w:tc>
        <w:tc>
          <w:tcPr>
            <w:tcW w:w="1676" w:type="pct"/>
            <w:tcBorders>
              <w:top w:val="single" w:sz="4" w:space="0" w:color="auto"/>
              <w:bottom w:val="single" w:sz="4" w:space="0" w:color="auto"/>
              <w:right w:val="single" w:sz="4" w:space="0" w:color="auto"/>
            </w:tcBorders>
          </w:tcPr>
          <w:p w14:paraId="729F834E"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Boden, behandelter Bioabfall und Schlamm - Bestimmung von polychlorierten Biphenylen (PCB) mittels Gaschromatographie mit Massenspektrometrie-Kopplung (GC-MS) und Gaschromatographie mit Elektroneneinfangdetektion (GC-ECD); Deutsche Fassung EN 16167:2018+AC:2019</w:t>
            </w:r>
          </w:p>
        </w:tc>
      </w:tr>
      <w:tr w:rsidR="00722A47" w:rsidRPr="00722A47" w14:paraId="47B7D747"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1B2EA1E7" w14:textId="77777777" w:rsidR="00722A47" w:rsidRPr="00722A47" w:rsidRDefault="00722A47" w:rsidP="00722A47">
            <w:pPr>
              <w:spacing w:before="0" w:after="0"/>
              <w:jc w:val="left"/>
              <w:rPr>
                <w:rFonts w:eastAsia="Times New Roman"/>
                <w:b/>
                <w:bCs/>
                <w:sz w:val="20"/>
                <w:szCs w:val="20"/>
                <w:lang w:eastAsia="de-DE"/>
              </w:rPr>
            </w:pPr>
            <w:r w:rsidRPr="00722A47">
              <w:rPr>
                <w:rFonts w:eastAsia="Times New Roman"/>
                <w:b/>
                <w:bCs/>
                <w:sz w:val="20"/>
                <w:szCs w:val="20"/>
                <w:lang w:eastAsia="de-DE"/>
              </w:rPr>
              <w:t>MKW</w:t>
            </w:r>
          </w:p>
          <w:p w14:paraId="6705D9A2" w14:textId="77777777" w:rsidR="00722A47" w:rsidRPr="00722A47" w:rsidRDefault="00722A47" w:rsidP="00722A47">
            <w:pPr>
              <w:spacing w:before="0" w:after="0"/>
              <w:jc w:val="left"/>
              <w:rPr>
                <w:rFonts w:eastAsia="Times New Roman"/>
                <w:bCs/>
                <w:sz w:val="20"/>
                <w:szCs w:val="20"/>
                <w:lang w:eastAsia="de-DE"/>
              </w:rPr>
            </w:pPr>
            <w:r w:rsidRPr="00722A47">
              <w:rPr>
                <w:rFonts w:eastAsia="Times New Roman"/>
                <w:bCs/>
                <w:sz w:val="20"/>
                <w:szCs w:val="20"/>
                <w:lang w:eastAsia="de-DE"/>
              </w:rPr>
              <w:t>(n-Alkane C</w:t>
            </w:r>
            <w:r w:rsidRPr="00722A47">
              <w:rPr>
                <w:rFonts w:eastAsia="Times New Roman"/>
                <w:bCs/>
                <w:sz w:val="20"/>
                <w:szCs w:val="20"/>
                <w:vertAlign w:val="subscript"/>
                <w:lang w:eastAsia="de-DE"/>
              </w:rPr>
              <w:t>10</w:t>
            </w:r>
            <w:r w:rsidRPr="00722A47">
              <w:rPr>
                <w:rFonts w:eastAsia="Times New Roman"/>
                <w:bCs/>
                <w:sz w:val="20"/>
                <w:szCs w:val="20"/>
                <w:lang w:eastAsia="de-DE"/>
              </w:rPr>
              <w:t>-C</w:t>
            </w:r>
            <w:r w:rsidRPr="00722A47">
              <w:rPr>
                <w:rFonts w:eastAsia="Times New Roman"/>
                <w:bCs/>
                <w:sz w:val="20"/>
                <w:szCs w:val="20"/>
                <w:vertAlign w:val="subscript"/>
                <w:lang w:eastAsia="de-DE"/>
              </w:rPr>
              <w:t>39</w:t>
            </w:r>
            <w:r w:rsidRPr="00722A47">
              <w:rPr>
                <w:rFonts w:eastAsia="Times New Roman"/>
                <w:bCs/>
                <w:sz w:val="20"/>
                <w:szCs w:val="20"/>
                <w:lang w:eastAsia="de-DE"/>
              </w:rPr>
              <w:t xml:space="preserve">, </w:t>
            </w:r>
            <w:proofErr w:type="spellStart"/>
            <w:r w:rsidRPr="00722A47">
              <w:rPr>
                <w:rFonts w:eastAsia="Times New Roman"/>
                <w:bCs/>
                <w:sz w:val="20"/>
                <w:szCs w:val="20"/>
                <w:lang w:eastAsia="de-DE"/>
              </w:rPr>
              <w:t>Isoalkane</w:t>
            </w:r>
            <w:proofErr w:type="spellEnd"/>
            <w:r w:rsidRPr="00722A47">
              <w:rPr>
                <w:rFonts w:eastAsia="Times New Roman"/>
                <w:bCs/>
                <w:sz w:val="20"/>
                <w:szCs w:val="20"/>
                <w:lang w:eastAsia="de-DE"/>
              </w:rPr>
              <w:t>, Cycloalkane und aromatische KW)</w:t>
            </w:r>
          </w:p>
        </w:tc>
        <w:tc>
          <w:tcPr>
            <w:tcW w:w="478" w:type="pct"/>
            <w:tcBorders>
              <w:top w:val="single" w:sz="4" w:space="0" w:color="auto"/>
              <w:bottom w:val="single" w:sz="4" w:space="0" w:color="auto"/>
            </w:tcBorders>
            <w:vAlign w:val="center"/>
          </w:tcPr>
          <w:p w14:paraId="667AF6F6" w14:textId="77777777" w:rsidR="00722A47" w:rsidRPr="00722A47" w:rsidRDefault="00722A47" w:rsidP="00722A47">
            <w:pPr>
              <w:spacing w:before="0" w:after="0"/>
              <w:jc w:val="center"/>
              <w:rPr>
                <w:rFonts w:eastAsia="Times New Roman"/>
                <w:bCs/>
                <w:sz w:val="20"/>
                <w:szCs w:val="20"/>
                <w:lang w:eastAsia="de-DE"/>
              </w:rPr>
            </w:pPr>
            <w:r w:rsidRPr="00722A47">
              <w:rPr>
                <w:rFonts w:eastAsia="Times New Roman"/>
                <w:bCs/>
                <w:sz w:val="20"/>
                <w:szCs w:val="20"/>
                <w:lang w:eastAsia="de-DE"/>
              </w:rPr>
              <w:t>µg/l</w:t>
            </w:r>
          </w:p>
        </w:tc>
        <w:tc>
          <w:tcPr>
            <w:tcW w:w="872" w:type="pct"/>
            <w:tcBorders>
              <w:top w:val="single" w:sz="4" w:space="0" w:color="auto"/>
              <w:bottom w:val="single" w:sz="4" w:space="0" w:color="auto"/>
            </w:tcBorders>
            <w:vAlign w:val="center"/>
          </w:tcPr>
          <w:p w14:paraId="166136C7" w14:textId="77777777" w:rsidR="00722A47" w:rsidRPr="00722A47" w:rsidRDefault="00722A47" w:rsidP="00722A47">
            <w:pPr>
              <w:spacing w:before="0" w:after="0"/>
              <w:jc w:val="center"/>
              <w:rPr>
                <w:rFonts w:eastAsia="Times New Roman"/>
                <w:bCs/>
                <w:sz w:val="20"/>
                <w:szCs w:val="20"/>
                <w:lang w:eastAsia="de-DE"/>
              </w:rPr>
            </w:pPr>
            <w:r w:rsidRPr="00722A47">
              <w:rPr>
                <w:rFonts w:eastAsia="Times New Roman"/>
                <w:bCs/>
                <w:sz w:val="20"/>
                <w:szCs w:val="20"/>
                <w:lang w:eastAsia="de-DE"/>
              </w:rPr>
              <w:t>150 – 500</w:t>
            </w:r>
          </w:p>
        </w:tc>
        <w:tc>
          <w:tcPr>
            <w:tcW w:w="782" w:type="pct"/>
            <w:tcBorders>
              <w:top w:val="single" w:sz="4" w:space="0" w:color="auto"/>
              <w:bottom w:val="single" w:sz="4" w:space="0" w:color="auto"/>
            </w:tcBorders>
          </w:tcPr>
          <w:p w14:paraId="2A7F29FD"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 xml:space="preserve">DIN EN ISO 9377-2 </w:t>
            </w:r>
          </w:p>
          <w:p w14:paraId="6B7AA380" w14:textId="77777777" w:rsidR="00722A47" w:rsidRPr="00722A47" w:rsidRDefault="00722A47" w:rsidP="00722A47">
            <w:pPr>
              <w:spacing w:before="0" w:after="0"/>
              <w:jc w:val="left"/>
              <w:rPr>
                <w:rFonts w:eastAsia="Times New Roman"/>
                <w:sz w:val="20"/>
                <w:szCs w:val="20"/>
                <w:lang w:eastAsia="de-DE"/>
              </w:rPr>
            </w:pPr>
            <w:r w:rsidRPr="00722A47">
              <w:rPr>
                <w:rFonts w:eastAsia="Times New Roman"/>
                <w:sz w:val="20"/>
                <w:szCs w:val="20"/>
                <w:lang w:eastAsia="de-DE"/>
              </w:rPr>
              <w:t>(Juli 2001)</w:t>
            </w:r>
          </w:p>
        </w:tc>
        <w:tc>
          <w:tcPr>
            <w:tcW w:w="1676" w:type="pct"/>
            <w:tcBorders>
              <w:top w:val="single" w:sz="4" w:space="0" w:color="auto"/>
              <w:bottom w:val="single" w:sz="4" w:space="0" w:color="auto"/>
              <w:right w:val="single" w:sz="4" w:space="0" w:color="auto"/>
            </w:tcBorders>
          </w:tcPr>
          <w:p w14:paraId="5ADF6879" w14:textId="77777777" w:rsidR="00722A47" w:rsidRPr="00722A47" w:rsidRDefault="00722A47" w:rsidP="00722A47">
            <w:pPr>
              <w:autoSpaceDE w:val="0"/>
              <w:autoSpaceDN w:val="0"/>
              <w:adjustRightInd w:val="0"/>
              <w:spacing w:before="0" w:after="0"/>
              <w:jc w:val="left"/>
              <w:rPr>
                <w:rFonts w:eastAsia="Times New Roman"/>
                <w:sz w:val="20"/>
                <w:szCs w:val="20"/>
                <w:lang w:eastAsia="de-DE"/>
              </w:rPr>
            </w:pPr>
            <w:r w:rsidRPr="00722A47">
              <w:rPr>
                <w:rFonts w:eastAsia="Times New Roman"/>
                <w:sz w:val="20"/>
                <w:szCs w:val="20"/>
                <w:lang w:eastAsia="de-DE"/>
              </w:rPr>
              <w:t>Wasserbeschaffenheit - Bestimmung des Kohlenwasserstoff-Index - Teil 2: Verfahren nach Lösemittelextraktion und Gaschromatographie (ISO 9377-2:2000); Deutsche Fassung EN ISO 9377-2:2000</w:t>
            </w:r>
          </w:p>
        </w:tc>
      </w:tr>
      <w:tr w:rsidR="00722A47" w:rsidRPr="00722A47" w14:paraId="058D40AE"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72CA9927" w14:textId="77777777" w:rsidR="00722A47" w:rsidRPr="00722A47" w:rsidRDefault="00722A47" w:rsidP="00722A47">
            <w:pPr>
              <w:spacing w:before="0" w:after="0"/>
              <w:jc w:val="left"/>
              <w:rPr>
                <w:rFonts w:eastAsia="Times New Roman"/>
                <w:b/>
                <w:bCs/>
                <w:sz w:val="20"/>
                <w:szCs w:val="20"/>
                <w:lang w:eastAsia="de-DE"/>
              </w:rPr>
            </w:pPr>
          </w:p>
          <w:p w14:paraId="61626F9E" w14:textId="77777777" w:rsidR="00722A47" w:rsidRPr="00722A47" w:rsidRDefault="00722A47" w:rsidP="00722A47">
            <w:pPr>
              <w:spacing w:before="0" w:after="0"/>
              <w:jc w:val="left"/>
              <w:rPr>
                <w:rFonts w:eastAsia="Times New Roman"/>
                <w:b/>
                <w:bCs/>
                <w:sz w:val="20"/>
                <w:szCs w:val="20"/>
                <w:lang w:eastAsia="de-DE"/>
              </w:rPr>
            </w:pPr>
          </w:p>
          <w:p w14:paraId="1860E362" w14:textId="77777777" w:rsidR="00722A47" w:rsidRPr="00722A47" w:rsidRDefault="00722A47" w:rsidP="00722A47">
            <w:pPr>
              <w:spacing w:before="0" w:after="0"/>
              <w:jc w:val="left"/>
              <w:rPr>
                <w:rFonts w:eastAsia="Times New Roman"/>
                <w:b/>
                <w:bCs/>
                <w:sz w:val="20"/>
                <w:szCs w:val="20"/>
                <w:lang w:eastAsia="de-DE"/>
              </w:rPr>
            </w:pPr>
          </w:p>
          <w:p w14:paraId="57FFD80E" w14:textId="77777777" w:rsidR="00722A47" w:rsidRPr="00722A47" w:rsidRDefault="00722A47" w:rsidP="00722A47">
            <w:pPr>
              <w:spacing w:before="0" w:after="0"/>
              <w:jc w:val="left"/>
              <w:rPr>
                <w:rFonts w:eastAsia="Times New Roman"/>
                <w:b/>
                <w:bCs/>
                <w:sz w:val="20"/>
                <w:szCs w:val="20"/>
                <w:lang w:eastAsia="de-DE"/>
              </w:rPr>
            </w:pPr>
            <w:r w:rsidRPr="00722A47">
              <w:rPr>
                <w:rFonts w:eastAsia="Times New Roman"/>
                <w:b/>
                <w:bCs/>
                <w:sz w:val="20"/>
                <w:szCs w:val="20"/>
                <w:lang w:eastAsia="de-DE"/>
              </w:rPr>
              <w:t>Kohlenwasserstoffe</w:t>
            </w:r>
          </w:p>
          <w:p w14:paraId="0D10666F" w14:textId="77777777" w:rsidR="00722A47" w:rsidRPr="00722A47" w:rsidRDefault="00722A47" w:rsidP="00722A47">
            <w:pPr>
              <w:spacing w:before="0" w:after="0"/>
              <w:jc w:val="left"/>
              <w:rPr>
                <w:rFonts w:eastAsia="Times New Roman"/>
                <w:b/>
                <w:bCs/>
                <w:sz w:val="20"/>
                <w:szCs w:val="20"/>
                <w:lang w:eastAsia="de-DE"/>
              </w:rPr>
            </w:pPr>
          </w:p>
          <w:p w14:paraId="49365F87" w14:textId="77777777" w:rsidR="00722A47" w:rsidRPr="00722A47" w:rsidRDefault="00722A47" w:rsidP="00722A47">
            <w:pPr>
              <w:spacing w:before="0" w:after="0"/>
              <w:jc w:val="left"/>
              <w:rPr>
                <w:rFonts w:eastAsia="Times New Roman"/>
                <w:b/>
                <w:bCs/>
                <w:sz w:val="20"/>
                <w:szCs w:val="20"/>
                <w:lang w:eastAsia="de-DE"/>
              </w:rPr>
            </w:pPr>
          </w:p>
          <w:p w14:paraId="45FBA884" w14:textId="77777777" w:rsidR="00722A47" w:rsidRPr="00722A47" w:rsidRDefault="00722A47" w:rsidP="00722A47">
            <w:pPr>
              <w:spacing w:before="0" w:after="0"/>
              <w:jc w:val="left"/>
              <w:rPr>
                <w:rFonts w:eastAsia="Times New Roman"/>
                <w:b/>
                <w:bCs/>
                <w:sz w:val="20"/>
                <w:szCs w:val="20"/>
                <w:lang w:eastAsia="de-DE"/>
              </w:rPr>
            </w:pPr>
          </w:p>
        </w:tc>
        <w:tc>
          <w:tcPr>
            <w:tcW w:w="478" w:type="pct"/>
            <w:tcBorders>
              <w:top w:val="single" w:sz="4" w:space="0" w:color="auto"/>
              <w:bottom w:val="single" w:sz="4" w:space="0" w:color="auto"/>
            </w:tcBorders>
            <w:vAlign w:val="center"/>
          </w:tcPr>
          <w:p w14:paraId="627CAE10" w14:textId="77777777" w:rsidR="00722A47" w:rsidRPr="00722A47" w:rsidRDefault="00722A47" w:rsidP="00722A47">
            <w:pPr>
              <w:spacing w:before="0" w:after="0"/>
              <w:jc w:val="center"/>
              <w:rPr>
                <w:rFonts w:eastAsia="Times New Roman"/>
                <w:bCs/>
                <w:sz w:val="20"/>
                <w:szCs w:val="20"/>
                <w:lang w:eastAsia="de-DE"/>
              </w:rPr>
            </w:pPr>
            <w:r w:rsidRPr="00722A47">
              <w:rPr>
                <w:rFonts w:eastAsia="Times New Roman"/>
                <w:bCs/>
                <w:sz w:val="20"/>
                <w:szCs w:val="20"/>
                <w:lang w:eastAsia="de-DE"/>
              </w:rPr>
              <w:t>mg/kg</w:t>
            </w:r>
          </w:p>
        </w:tc>
        <w:tc>
          <w:tcPr>
            <w:tcW w:w="872" w:type="pct"/>
            <w:tcBorders>
              <w:top w:val="single" w:sz="4" w:space="0" w:color="auto"/>
              <w:bottom w:val="single" w:sz="4" w:space="0" w:color="auto"/>
            </w:tcBorders>
            <w:vAlign w:val="center"/>
          </w:tcPr>
          <w:p w14:paraId="642E7B0B" w14:textId="77777777" w:rsidR="00722A47" w:rsidRPr="00722A47" w:rsidRDefault="00722A47" w:rsidP="00722A47">
            <w:pPr>
              <w:spacing w:before="0" w:after="0"/>
              <w:jc w:val="center"/>
              <w:rPr>
                <w:rFonts w:eastAsia="Times New Roman"/>
                <w:bCs/>
                <w:sz w:val="20"/>
                <w:szCs w:val="20"/>
                <w:lang w:eastAsia="de-DE"/>
              </w:rPr>
            </w:pPr>
            <w:r w:rsidRPr="00722A47">
              <w:rPr>
                <w:rFonts w:eastAsia="Times New Roman"/>
                <w:bCs/>
                <w:sz w:val="20"/>
                <w:szCs w:val="20"/>
                <w:lang w:eastAsia="de-DE"/>
              </w:rPr>
              <w:t>300 – 2 000</w:t>
            </w:r>
          </w:p>
        </w:tc>
        <w:tc>
          <w:tcPr>
            <w:tcW w:w="782" w:type="pct"/>
            <w:tcBorders>
              <w:top w:val="single" w:sz="4" w:space="0" w:color="auto"/>
              <w:bottom w:val="single" w:sz="4" w:space="0" w:color="auto"/>
            </w:tcBorders>
          </w:tcPr>
          <w:p w14:paraId="66335007" w14:textId="77777777" w:rsidR="00722A47" w:rsidRPr="00722A47" w:rsidRDefault="00722A47" w:rsidP="00722A47">
            <w:pPr>
              <w:autoSpaceDE w:val="0"/>
              <w:autoSpaceDN w:val="0"/>
              <w:adjustRightInd w:val="0"/>
              <w:spacing w:before="0" w:after="0"/>
              <w:jc w:val="left"/>
              <w:rPr>
                <w:rFonts w:eastAsia="Times New Roman"/>
                <w:sz w:val="20"/>
                <w:szCs w:val="20"/>
                <w:lang w:eastAsia="de-DE"/>
              </w:rPr>
            </w:pPr>
            <w:r w:rsidRPr="00722A47">
              <w:rPr>
                <w:rFonts w:eastAsia="Times New Roman"/>
                <w:sz w:val="20"/>
                <w:szCs w:val="20"/>
                <w:lang w:eastAsia="de-DE"/>
              </w:rPr>
              <w:t>DIN EN 14039</w:t>
            </w:r>
          </w:p>
          <w:p w14:paraId="5992001F" w14:textId="77777777" w:rsidR="00722A47" w:rsidRPr="00722A47" w:rsidRDefault="00722A47" w:rsidP="00722A47">
            <w:pPr>
              <w:autoSpaceDE w:val="0"/>
              <w:autoSpaceDN w:val="0"/>
              <w:adjustRightInd w:val="0"/>
              <w:spacing w:before="0" w:after="0"/>
              <w:jc w:val="left"/>
              <w:rPr>
                <w:rFonts w:eastAsia="Times New Roman"/>
                <w:sz w:val="20"/>
                <w:szCs w:val="20"/>
                <w:lang w:eastAsia="de-DE"/>
              </w:rPr>
            </w:pPr>
            <w:r w:rsidRPr="00722A47">
              <w:rPr>
                <w:rFonts w:eastAsia="Times New Roman"/>
                <w:sz w:val="20"/>
                <w:szCs w:val="20"/>
                <w:lang w:eastAsia="de-DE"/>
              </w:rPr>
              <w:t>(Januar 2005)</w:t>
            </w:r>
          </w:p>
          <w:p w14:paraId="511B8E76" w14:textId="77777777" w:rsidR="00722A47" w:rsidRPr="00722A47" w:rsidRDefault="00722A47" w:rsidP="00722A47">
            <w:pPr>
              <w:autoSpaceDE w:val="0"/>
              <w:autoSpaceDN w:val="0"/>
              <w:adjustRightInd w:val="0"/>
              <w:spacing w:before="0" w:after="0"/>
              <w:jc w:val="left"/>
              <w:rPr>
                <w:rFonts w:eastAsia="Times New Roman"/>
                <w:sz w:val="20"/>
                <w:szCs w:val="20"/>
                <w:lang w:eastAsia="de-DE"/>
              </w:rPr>
            </w:pPr>
          </w:p>
        </w:tc>
        <w:tc>
          <w:tcPr>
            <w:tcW w:w="1676" w:type="pct"/>
            <w:tcBorders>
              <w:top w:val="single" w:sz="4" w:space="0" w:color="auto"/>
              <w:bottom w:val="single" w:sz="4" w:space="0" w:color="auto"/>
              <w:right w:val="single" w:sz="4" w:space="0" w:color="auto"/>
            </w:tcBorders>
          </w:tcPr>
          <w:p w14:paraId="29351F9B" w14:textId="77777777" w:rsidR="00722A47" w:rsidRPr="00722A47" w:rsidRDefault="00722A47" w:rsidP="00722A47">
            <w:pPr>
              <w:autoSpaceDE w:val="0"/>
              <w:autoSpaceDN w:val="0"/>
              <w:adjustRightInd w:val="0"/>
              <w:spacing w:before="0" w:after="0"/>
              <w:jc w:val="left"/>
              <w:rPr>
                <w:rFonts w:eastAsia="Times New Roman"/>
                <w:sz w:val="20"/>
                <w:szCs w:val="20"/>
                <w:lang w:eastAsia="de-DE"/>
              </w:rPr>
            </w:pPr>
            <w:r w:rsidRPr="00722A47">
              <w:rPr>
                <w:rFonts w:eastAsia="Times New Roman"/>
                <w:sz w:val="20"/>
                <w:szCs w:val="20"/>
                <w:lang w:eastAsia="de-DE"/>
              </w:rPr>
              <w:t xml:space="preserve">Charakterisierung von Abfällen - Bestimmung des Gehalts an Kohlenwasserstoffen von C10 bis C40 mittels Gaschromatographie; Deutsche Fassung EN 14039:2004 in Verbindung mit LAGA-Mitteilung 35, Bestimmung des Gehaltes an Kohlenwasserstoffen in Abfällen - Untersuchungs- und Analysenstrategie (LAGA-Richtlinie KW/04), Stand: 15. Dezember 2009, </w:t>
            </w:r>
          </w:p>
          <w:p w14:paraId="760A55DF" w14:textId="77777777" w:rsidR="00722A47" w:rsidRPr="00722A47" w:rsidRDefault="00722A47" w:rsidP="00722A47">
            <w:pPr>
              <w:autoSpaceDE w:val="0"/>
              <w:autoSpaceDN w:val="0"/>
              <w:adjustRightInd w:val="0"/>
              <w:spacing w:before="0" w:after="0"/>
              <w:jc w:val="left"/>
              <w:rPr>
                <w:rFonts w:eastAsia="Times New Roman"/>
                <w:sz w:val="20"/>
                <w:szCs w:val="20"/>
                <w:lang w:eastAsia="de-DE"/>
              </w:rPr>
            </w:pPr>
            <w:r w:rsidRPr="00722A47">
              <w:rPr>
                <w:rFonts w:eastAsia="Times New Roman"/>
                <w:sz w:val="20"/>
                <w:szCs w:val="20"/>
                <w:lang w:eastAsia="de-DE"/>
              </w:rPr>
              <w:t>ISBN: 978-3-503-08396-1</w:t>
            </w:r>
          </w:p>
        </w:tc>
      </w:tr>
      <w:tr w:rsidR="00722A47" w:rsidRPr="00722A47" w14:paraId="1B7798B3"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16F6FFA5" w14:textId="77777777" w:rsidR="00722A47" w:rsidRPr="00722A47" w:rsidRDefault="00722A47" w:rsidP="00722A47">
            <w:pPr>
              <w:autoSpaceDE w:val="0"/>
              <w:autoSpaceDN w:val="0"/>
              <w:adjustRightInd w:val="0"/>
              <w:spacing w:before="0" w:after="0"/>
              <w:jc w:val="left"/>
              <w:rPr>
                <w:rFonts w:eastAsia="Times New Roman"/>
                <w:b/>
                <w:snapToGrid w:val="0"/>
                <w:sz w:val="20"/>
                <w:szCs w:val="20"/>
                <w:lang w:val="en-US" w:eastAsia="de-DE"/>
              </w:rPr>
            </w:pPr>
            <w:r w:rsidRPr="00722A47">
              <w:rPr>
                <w:rFonts w:eastAsia="Times New Roman"/>
                <w:b/>
                <w:snapToGrid w:val="0"/>
                <w:sz w:val="20"/>
                <w:szCs w:val="20"/>
                <w:lang w:val="en-US" w:eastAsia="de-DE"/>
              </w:rPr>
              <w:t>BTEX</w:t>
            </w:r>
          </w:p>
          <w:p w14:paraId="1CBA2BC5" w14:textId="77777777" w:rsidR="00722A47" w:rsidRPr="00722A47" w:rsidRDefault="00722A47" w:rsidP="00722A47">
            <w:pPr>
              <w:autoSpaceDE w:val="0"/>
              <w:autoSpaceDN w:val="0"/>
              <w:adjustRightInd w:val="0"/>
              <w:spacing w:before="0" w:after="0"/>
              <w:jc w:val="left"/>
              <w:rPr>
                <w:rFonts w:eastAsia="Times New Roman"/>
                <w:snapToGrid w:val="0"/>
                <w:sz w:val="20"/>
                <w:szCs w:val="20"/>
                <w:lang w:val="en-US" w:eastAsia="de-DE"/>
              </w:rPr>
            </w:pPr>
            <w:r w:rsidRPr="00722A47">
              <w:rPr>
                <w:rFonts w:eastAsia="Times New Roman"/>
                <w:snapToGrid w:val="0"/>
                <w:sz w:val="20"/>
                <w:szCs w:val="20"/>
                <w:lang w:val="en-US" w:eastAsia="de-DE"/>
              </w:rPr>
              <w:t xml:space="preserve">(Benzol, Toluol, </w:t>
            </w:r>
            <w:proofErr w:type="spellStart"/>
            <w:r w:rsidRPr="00722A47">
              <w:rPr>
                <w:rFonts w:eastAsia="Times New Roman"/>
                <w:snapToGrid w:val="0"/>
                <w:sz w:val="20"/>
                <w:szCs w:val="20"/>
                <w:lang w:val="en-US" w:eastAsia="de-DE"/>
              </w:rPr>
              <w:t>Ethylbenzol</w:t>
            </w:r>
            <w:proofErr w:type="spellEnd"/>
            <w:r w:rsidRPr="00722A47">
              <w:rPr>
                <w:rFonts w:eastAsia="Times New Roman"/>
                <w:snapToGrid w:val="0"/>
                <w:sz w:val="20"/>
                <w:szCs w:val="20"/>
                <w:lang w:val="en-US" w:eastAsia="de-DE"/>
              </w:rPr>
              <w:t xml:space="preserve">, o-, m-, p-Xylol, </w:t>
            </w:r>
            <w:proofErr w:type="spellStart"/>
            <w:r w:rsidRPr="00722A47">
              <w:rPr>
                <w:rFonts w:eastAsia="Times New Roman"/>
                <w:snapToGrid w:val="0"/>
                <w:sz w:val="20"/>
                <w:szCs w:val="20"/>
                <w:lang w:val="en-US" w:eastAsia="de-DE"/>
              </w:rPr>
              <w:t>Styrol</w:t>
            </w:r>
            <w:proofErr w:type="spellEnd"/>
            <w:r w:rsidRPr="00722A47">
              <w:rPr>
                <w:rFonts w:eastAsia="Times New Roman"/>
                <w:snapToGrid w:val="0"/>
                <w:sz w:val="20"/>
                <w:szCs w:val="20"/>
                <w:lang w:val="en-US" w:eastAsia="de-DE"/>
              </w:rPr>
              <w:t xml:space="preserve">, </w:t>
            </w:r>
            <w:proofErr w:type="spellStart"/>
            <w:r w:rsidRPr="00722A47">
              <w:rPr>
                <w:rFonts w:eastAsia="Times New Roman"/>
                <w:snapToGrid w:val="0"/>
                <w:sz w:val="20"/>
                <w:szCs w:val="20"/>
                <w:lang w:val="en-US" w:eastAsia="de-DE"/>
              </w:rPr>
              <w:t>Cumol</w:t>
            </w:r>
            <w:proofErr w:type="spellEnd"/>
            <w:r w:rsidRPr="00722A47">
              <w:rPr>
                <w:rFonts w:eastAsia="Times New Roman"/>
                <w:snapToGrid w:val="0"/>
                <w:sz w:val="20"/>
                <w:szCs w:val="20"/>
                <w:lang w:val="en-US" w:eastAsia="de-DE"/>
              </w:rPr>
              <w:t>)</w:t>
            </w:r>
          </w:p>
          <w:p w14:paraId="2D2DDB57" w14:textId="77777777" w:rsidR="00722A47" w:rsidRPr="00722A47" w:rsidRDefault="00722A47" w:rsidP="00722A47">
            <w:pPr>
              <w:autoSpaceDE w:val="0"/>
              <w:autoSpaceDN w:val="0"/>
              <w:adjustRightInd w:val="0"/>
              <w:spacing w:before="0" w:after="0"/>
              <w:jc w:val="left"/>
              <w:rPr>
                <w:rFonts w:eastAsia="Times New Roman"/>
                <w:snapToGrid w:val="0"/>
                <w:sz w:val="20"/>
                <w:szCs w:val="20"/>
                <w:lang w:val="en-US" w:eastAsia="de-DE"/>
              </w:rPr>
            </w:pPr>
          </w:p>
          <w:p w14:paraId="534469FA" w14:textId="77777777" w:rsidR="00722A47" w:rsidRPr="00722A47" w:rsidRDefault="00722A47" w:rsidP="00722A47">
            <w:pPr>
              <w:autoSpaceDE w:val="0"/>
              <w:autoSpaceDN w:val="0"/>
              <w:adjustRightInd w:val="0"/>
              <w:spacing w:before="0" w:after="0"/>
              <w:jc w:val="left"/>
              <w:rPr>
                <w:rFonts w:eastAsia="Times New Roman"/>
                <w:snapToGrid w:val="0"/>
                <w:sz w:val="20"/>
                <w:szCs w:val="20"/>
                <w:lang w:val="en-US" w:eastAsia="de-DE"/>
              </w:rPr>
            </w:pPr>
          </w:p>
        </w:tc>
        <w:tc>
          <w:tcPr>
            <w:tcW w:w="478" w:type="pct"/>
            <w:tcBorders>
              <w:top w:val="single" w:sz="4" w:space="0" w:color="auto"/>
              <w:bottom w:val="single" w:sz="4" w:space="0" w:color="auto"/>
            </w:tcBorders>
            <w:vAlign w:val="center"/>
          </w:tcPr>
          <w:p w14:paraId="02A27FB4"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mg/kg</w:t>
            </w:r>
          </w:p>
        </w:tc>
        <w:tc>
          <w:tcPr>
            <w:tcW w:w="872" w:type="pct"/>
            <w:tcBorders>
              <w:top w:val="single" w:sz="4" w:space="0" w:color="auto"/>
              <w:bottom w:val="single" w:sz="4" w:space="0" w:color="auto"/>
            </w:tcBorders>
            <w:vAlign w:val="center"/>
          </w:tcPr>
          <w:p w14:paraId="2F09D4BD"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1</w:t>
            </w:r>
          </w:p>
        </w:tc>
        <w:tc>
          <w:tcPr>
            <w:tcW w:w="782" w:type="pct"/>
            <w:tcBorders>
              <w:top w:val="single" w:sz="4" w:space="0" w:color="auto"/>
              <w:bottom w:val="single" w:sz="4" w:space="0" w:color="auto"/>
            </w:tcBorders>
          </w:tcPr>
          <w:p w14:paraId="273320EB"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 xml:space="preserve">DIN EN ISO 22155 </w:t>
            </w:r>
          </w:p>
          <w:p w14:paraId="6F82A212"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(Juli 2016)</w:t>
            </w:r>
          </w:p>
          <w:p w14:paraId="0190906B"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tc>
        <w:tc>
          <w:tcPr>
            <w:tcW w:w="1676" w:type="pct"/>
            <w:tcBorders>
              <w:top w:val="single" w:sz="4" w:space="0" w:color="auto"/>
              <w:bottom w:val="single" w:sz="4" w:space="0" w:color="auto"/>
              <w:right w:val="single" w:sz="4" w:space="0" w:color="auto"/>
            </w:tcBorders>
          </w:tcPr>
          <w:p w14:paraId="2201005C"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Bodenbeschaffenheit - Gaschromatographische Bestimmung flüchtiger aromatischer Kohlenwasserstoffe, Halogenkohlenwasserstoffe und ausgewählter Ether - Statisches Dampfraum-Verfahren (ISO 22155:2016); Deutsche Fassung EN ISO 22155:2016</w:t>
            </w:r>
          </w:p>
        </w:tc>
      </w:tr>
      <w:tr w:rsidR="00722A47" w:rsidRPr="00722A47" w14:paraId="54A0CCC5"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5629D0BF" w14:textId="77777777" w:rsidR="00722A47" w:rsidRPr="00722A47" w:rsidRDefault="00722A47" w:rsidP="00722A47">
            <w:pPr>
              <w:autoSpaceDE w:val="0"/>
              <w:autoSpaceDN w:val="0"/>
              <w:adjustRightInd w:val="0"/>
              <w:spacing w:before="0" w:after="0"/>
              <w:jc w:val="left"/>
              <w:rPr>
                <w:rFonts w:eastAsia="Times New Roman"/>
                <w:b/>
                <w:snapToGrid w:val="0"/>
                <w:sz w:val="20"/>
                <w:szCs w:val="20"/>
                <w:lang w:eastAsia="de-DE"/>
              </w:rPr>
            </w:pPr>
            <w:r w:rsidRPr="00722A47">
              <w:rPr>
                <w:rFonts w:eastAsia="Times New Roman"/>
                <w:b/>
                <w:snapToGrid w:val="0"/>
                <w:sz w:val="20"/>
                <w:szCs w:val="20"/>
                <w:lang w:eastAsia="de-DE"/>
              </w:rPr>
              <w:t>EOX</w:t>
            </w:r>
          </w:p>
        </w:tc>
        <w:tc>
          <w:tcPr>
            <w:tcW w:w="478" w:type="pct"/>
            <w:tcBorders>
              <w:top w:val="single" w:sz="4" w:space="0" w:color="auto"/>
              <w:bottom w:val="single" w:sz="4" w:space="0" w:color="auto"/>
            </w:tcBorders>
            <w:vAlign w:val="center"/>
          </w:tcPr>
          <w:p w14:paraId="1D3A1D0C"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mg/kg</w:t>
            </w:r>
          </w:p>
        </w:tc>
        <w:tc>
          <w:tcPr>
            <w:tcW w:w="872" w:type="pct"/>
            <w:tcBorders>
              <w:top w:val="single" w:sz="4" w:space="0" w:color="auto"/>
              <w:bottom w:val="single" w:sz="4" w:space="0" w:color="auto"/>
            </w:tcBorders>
            <w:vAlign w:val="center"/>
          </w:tcPr>
          <w:p w14:paraId="5979157F"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3 – 10</w:t>
            </w:r>
          </w:p>
        </w:tc>
        <w:tc>
          <w:tcPr>
            <w:tcW w:w="782" w:type="pct"/>
            <w:tcBorders>
              <w:top w:val="single" w:sz="4" w:space="0" w:color="auto"/>
              <w:bottom w:val="single" w:sz="4" w:space="0" w:color="auto"/>
            </w:tcBorders>
          </w:tcPr>
          <w:p w14:paraId="153A9590"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DIN 38414-17</w:t>
            </w:r>
          </w:p>
          <w:p w14:paraId="0388626C"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(Januar 2017)</w:t>
            </w:r>
          </w:p>
        </w:tc>
        <w:tc>
          <w:tcPr>
            <w:tcW w:w="1676" w:type="pct"/>
            <w:tcBorders>
              <w:top w:val="single" w:sz="4" w:space="0" w:color="auto"/>
              <w:bottom w:val="single" w:sz="4" w:space="0" w:color="auto"/>
              <w:right w:val="single" w:sz="4" w:space="0" w:color="auto"/>
            </w:tcBorders>
          </w:tcPr>
          <w:p w14:paraId="22348A0D"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Deutsche Einheitsverfahren zur Wasser-, Abwasser- und Schlammuntersuchung - Schlamm und Sedimente (Gruppe S); Teil 17 Bestimmung von extrahierbaren organisch gebundenen Halogenen (EOX) (S 17)</w:t>
            </w:r>
          </w:p>
        </w:tc>
      </w:tr>
      <w:tr w:rsidR="00722A47" w:rsidRPr="00722A47" w14:paraId="1E4F1695"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37DC7650" w14:textId="77777777" w:rsidR="00722A47" w:rsidRPr="00722A47" w:rsidRDefault="00722A47" w:rsidP="00722A47">
            <w:pPr>
              <w:autoSpaceDE w:val="0"/>
              <w:autoSpaceDN w:val="0"/>
              <w:adjustRightInd w:val="0"/>
              <w:spacing w:before="0" w:after="0"/>
              <w:jc w:val="left"/>
              <w:rPr>
                <w:rFonts w:eastAsia="Times New Roman"/>
                <w:b/>
                <w:snapToGrid w:val="0"/>
                <w:sz w:val="20"/>
                <w:szCs w:val="20"/>
                <w:lang w:eastAsia="de-DE"/>
              </w:rPr>
            </w:pPr>
            <w:r w:rsidRPr="00722A47">
              <w:rPr>
                <w:rFonts w:eastAsia="Times New Roman"/>
                <w:b/>
                <w:snapToGrid w:val="0"/>
                <w:sz w:val="20"/>
                <w:szCs w:val="20"/>
                <w:lang w:eastAsia="de-DE"/>
              </w:rPr>
              <w:lastRenderedPageBreak/>
              <w:t>LHKW</w:t>
            </w:r>
          </w:p>
          <w:p w14:paraId="1FB39F40"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(Summe der halogen. C1- und C2- Kohlenwasserstoffe)</w:t>
            </w:r>
          </w:p>
          <w:p w14:paraId="48F118F7"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tc>
        <w:tc>
          <w:tcPr>
            <w:tcW w:w="478" w:type="pct"/>
            <w:tcBorders>
              <w:top w:val="single" w:sz="4" w:space="0" w:color="auto"/>
              <w:bottom w:val="single" w:sz="4" w:space="0" w:color="auto"/>
            </w:tcBorders>
            <w:vAlign w:val="center"/>
          </w:tcPr>
          <w:p w14:paraId="645796D7"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mg/kg</w:t>
            </w:r>
          </w:p>
        </w:tc>
        <w:tc>
          <w:tcPr>
            <w:tcW w:w="872" w:type="pct"/>
            <w:tcBorders>
              <w:top w:val="single" w:sz="4" w:space="0" w:color="auto"/>
              <w:bottom w:val="single" w:sz="4" w:space="0" w:color="auto"/>
            </w:tcBorders>
            <w:vAlign w:val="center"/>
          </w:tcPr>
          <w:p w14:paraId="0F42B184"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1</w:t>
            </w:r>
          </w:p>
        </w:tc>
        <w:tc>
          <w:tcPr>
            <w:tcW w:w="782" w:type="pct"/>
            <w:tcBorders>
              <w:top w:val="single" w:sz="4" w:space="0" w:color="auto"/>
              <w:bottom w:val="single" w:sz="4" w:space="0" w:color="auto"/>
            </w:tcBorders>
          </w:tcPr>
          <w:p w14:paraId="0CA0CEA7"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DIN EN ISO 22155</w:t>
            </w:r>
          </w:p>
          <w:p w14:paraId="10248AE7"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(Juli 2016)</w:t>
            </w:r>
          </w:p>
        </w:tc>
        <w:tc>
          <w:tcPr>
            <w:tcW w:w="1676" w:type="pct"/>
            <w:tcBorders>
              <w:top w:val="single" w:sz="4" w:space="0" w:color="auto"/>
              <w:bottom w:val="single" w:sz="4" w:space="0" w:color="auto"/>
              <w:right w:val="single" w:sz="4" w:space="0" w:color="auto"/>
            </w:tcBorders>
          </w:tcPr>
          <w:p w14:paraId="64F1762A"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Bodenbeschaffenheit – Gaschromatographische Bestimmung flüchtiger aromatischer Kohlenwasserstoffe, Halogenkohlenwasserstoffe und ausgewählter Ether Statisches Dampfraum-Verfahren (ISO 22155:2016; Deutsche Fassung EN ISO 22155:2016)</w:t>
            </w:r>
          </w:p>
        </w:tc>
      </w:tr>
      <w:tr w:rsidR="00722A47" w:rsidRPr="00722A47" w14:paraId="01661275"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5B220621" w14:textId="77777777" w:rsidR="00722A47" w:rsidRPr="00722A47" w:rsidRDefault="00722A47" w:rsidP="00722A47">
            <w:pPr>
              <w:autoSpaceDE w:val="0"/>
              <w:autoSpaceDN w:val="0"/>
              <w:adjustRightInd w:val="0"/>
              <w:spacing w:before="0" w:after="0"/>
              <w:jc w:val="left"/>
              <w:rPr>
                <w:rFonts w:eastAsia="Times New Roman"/>
                <w:b/>
                <w:snapToGrid w:val="0"/>
                <w:sz w:val="20"/>
                <w:szCs w:val="20"/>
                <w:lang w:eastAsia="de-DE"/>
              </w:rPr>
            </w:pPr>
            <w:r w:rsidRPr="00722A47">
              <w:rPr>
                <w:rFonts w:eastAsia="Times New Roman"/>
                <w:b/>
                <w:snapToGrid w:val="0"/>
                <w:sz w:val="20"/>
                <w:szCs w:val="20"/>
                <w:lang w:eastAsia="de-DE"/>
              </w:rPr>
              <w:t>Phenole</w:t>
            </w:r>
          </w:p>
        </w:tc>
        <w:tc>
          <w:tcPr>
            <w:tcW w:w="478" w:type="pct"/>
            <w:tcBorders>
              <w:top w:val="single" w:sz="4" w:space="0" w:color="auto"/>
              <w:bottom w:val="single" w:sz="4" w:space="0" w:color="auto"/>
            </w:tcBorders>
            <w:vAlign w:val="center"/>
          </w:tcPr>
          <w:p w14:paraId="4351FC13"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µg/l</w:t>
            </w:r>
          </w:p>
        </w:tc>
        <w:tc>
          <w:tcPr>
            <w:tcW w:w="872" w:type="pct"/>
            <w:tcBorders>
              <w:top w:val="single" w:sz="4" w:space="0" w:color="auto"/>
              <w:bottom w:val="single" w:sz="4" w:space="0" w:color="auto"/>
            </w:tcBorders>
            <w:vAlign w:val="center"/>
          </w:tcPr>
          <w:p w14:paraId="3B4047CF"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12 – 2 000</w:t>
            </w:r>
          </w:p>
        </w:tc>
        <w:tc>
          <w:tcPr>
            <w:tcW w:w="782" w:type="pct"/>
            <w:tcBorders>
              <w:top w:val="single" w:sz="4" w:space="0" w:color="auto"/>
              <w:bottom w:val="single" w:sz="4" w:space="0" w:color="auto"/>
            </w:tcBorders>
          </w:tcPr>
          <w:p w14:paraId="2C0FA10C"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DIN 38407-27</w:t>
            </w:r>
          </w:p>
          <w:p w14:paraId="6EA222D2"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(Oktober 2012)</w:t>
            </w:r>
          </w:p>
          <w:p w14:paraId="5D1ECDD8"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tc>
        <w:tc>
          <w:tcPr>
            <w:tcW w:w="1676" w:type="pct"/>
            <w:tcBorders>
              <w:top w:val="single" w:sz="4" w:space="0" w:color="auto"/>
              <w:bottom w:val="single" w:sz="4" w:space="0" w:color="auto"/>
              <w:right w:val="single" w:sz="4" w:space="0" w:color="auto"/>
            </w:tcBorders>
          </w:tcPr>
          <w:p w14:paraId="01CBC58B"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Deutsche Einheitsverfahren zur Wasser-, Abwasser- und Schlammuntersuchung - Gemeinsam erfassbare Stoffgruppen (Gruppe F) - Teil 27: Bestimmung ausgewählter Phenole in Grund- und Bodensickerwasser, wässrigen Eluaten und Perkolaten (F 27)</w:t>
            </w:r>
          </w:p>
        </w:tc>
      </w:tr>
      <w:tr w:rsidR="00722A47" w:rsidRPr="00722A47" w14:paraId="4AEE44C7"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43DEC562"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b/>
                <w:snapToGrid w:val="0"/>
                <w:sz w:val="20"/>
                <w:szCs w:val="20"/>
                <w:lang w:eastAsia="de-DE"/>
              </w:rPr>
              <w:t>Chlorphenole, ges</w:t>
            </w:r>
            <w:r w:rsidRPr="00722A47">
              <w:rPr>
                <w:rFonts w:eastAsia="Times New Roman"/>
                <w:snapToGrid w:val="0"/>
                <w:sz w:val="20"/>
                <w:szCs w:val="20"/>
                <w:lang w:eastAsia="de-DE"/>
              </w:rPr>
              <w:t>.</w:t>
            </w:r>
          </w:p>
        </w:tc>
        <w:tc>
          <w:tcPr>
            <w:tcW w:w="478" w:type="pct"/>
            <w:tcBorders>
              <w:top w:val="single" w:sz="4" w:space="0" w:color="auto"/>
              <w:bottom w:val="single" w:sz="4" w:space="0" w:color="auto"/>
            </w:tcBorders>
            <w:vAlign w:val="center"/>
          </w:tcPr>
          <w:p w14:paraId="544717E3"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µg/l</w:t>
            </w:r>
          </w:p>
        </w:tc>
        <w:tc>
          <w:tcPr>
            <w:tcW w:w="872" w:type="pct"/>
            <w:tcBorders>
              <w:top w:val="single" w:sz="4" w:space="0" w:color="auto"/>
              <w:bottom w:val="single" w:sz="4" w:space="0" w:color="auto"/>
            </w:tcBorders>
            <w:vAlign w:val="center"/>
          </w:tcPr>
          <w:p w14:paraId="466C3DA6"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1 - 100</w:t>
            </w:r>
          </w:p>
        </w:tc>
        <w:tc>
          <w:tcPr>
            <w:tcW w:w="782" w:type="pct"/>
            <w:tcBorders>
              <w:top w:val="single" w:sz="4" w:space="0" w:color="auto"/>
              <w:bottom w:val="single" w:sz="4" w:space="0" w:color="auto"/>
            </w:tcBorders>
          </w:tcPr>
          <w:p w14:paraId="4185EF82"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DIN EN 12673</w:t>
            </w:r>
          </w:p>
          <w:p w14:paraId="4A421EC6"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(Mai 1999)</w:t>
            </w:r>
          </w:p>
        </w:tc>
        <w:tc>
          <w:tcPr>
            <w:tcW w:w="1676" w:type="pct"/>
            <w:tcBorders>
              <w:top w:val="single" w:sz="4" w:space="0" w:color="auto"/>
              <w:bottom w:val="single" w:sz="4" w:space="0" w:color="auto"/>
              <w:right w:val="single" w:sz="4" w:space="0" w:color="auto"/>
            </w:tcBorders>
          </w:tcPr>
          <w:p w14:paraId="65A375E2"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Wasserbeschaffenheit - Gaschromatographische Bestimmung einiger ausgewählter Chlorphenole in Wasser; Deutsche Fassung EN 12673:1998</w:t>
            </w:r>
          </w:p>
        </w:tc>
      </w:tr>
      <w:tr w:rsidR="00722A47" w:rsidRPr="00722A47" w14:paraId="235E0030"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31D172CA"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b/>
                <w:snapToGrid w:val="0"/>
                <w:sz w:val="20"/>
                <w:szCs w:val="20"/>
                <w:lang w:eastAsia="de-DE"/>
              </w:rPr>
              <w:t>Chlorbenzole, ges</w:t>
            </w:r>
            <w:r w:rsidRPr="00722A47">
              <w:rPr>
                <w:rFonts w:eastAsia="Times New Roman"/>
                <w:snapToGrid w:val="0"/>
                <w:sz w:val="20"/>
                <w:szCs w:val="20"/>
                <w:lang w:eastAsia="de-DE"/>
              </w:rPr>
              <w:t>.</w:t>
            </w:r>
          </w:p>
        </w:tc>
        <w:tc>
          <w:tcPr>
            <w:tcW w:w="478" w:type="pct"/>
            <w:tcBorders>
              <w:top w:val="single" w:sz="4" w:space="0" w:color="auto"/>
              <w:bottom w:val="single" w:sz="4" w:space="0" w:color="auto"/>
            </w:tcBorders>
            <w:vAlign w:val="center"/>
          </w:tcPr>
          <w:p w14:paraId="4B2D89D2"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µg/l</w:t>
            </w:r>
          </w:p>
        </w:tc>
        <w:tc>
          <w:tcPr>
            <w:tcW w:w="872" w:type="pct"/>
            <w:tcBorders>
              <w:top w:val="single" w:sz="4" w:space="0" w:color="auto"/>
              <w:bottom w:val="single" w:sz="4" w:space="0" w:color="auto"/>
            </w:tcBorders>
            <w:vAlign w:val="center"/>
          </w:tcPr>
          <w:p w14:paraId="2D0D2059"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1 - 4</w:t>
            </w:r>
          </w:p>
        </w:tc>
        <w:tc>
          <w:tcPr>
            <w:tcW w:w="782" w:type="pct"/>
            <w:tcBorders>
              <w:top w:val="single" w:sz="4" w:space="0" w:color="auto"/>
              <w:bottom w:val="single" w:sz="4" w:space="0" w:color="auto"/>
            </w:tcBorders>
          </w:tcPr>
          <w:p w14:paraId="6B9EAEC0"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z w:val="20"/>
                <w:szCs w:val="20"/>
                <w:lang w:val="nb-NO" w:eastAsia="de-DE"/>
              </w:rPr>
              <w:t>DIN 38407-37 (November 2013</w:t>
            </w:r>
            <w:r w:rsidRPr="00722A47">
              <w:rPr>
                <w:rFonts w:eastAsia="Times New Roman"/>
                <w:snapToGrid w:val="0"/>
                <w:sz w:val="20"/>
                <w:szCs w:val="20"/>
                <w:lang w:eastAsia="de-DE"/>
              </w:rPr>
              <w:t>)</w:t>
            </w:r>
          </w:p>
        </w:tc>
        <w:tc>
          <w:tcPr>
            <w:tcW w:w="1676" w:type="pct"/>
            <w:tcBorders>
              <w:top w:val="single" w:sz="4" w:space="0" w:color="auto"/>
              <w:bottom w:val="single" w:sz="4" w:space="0" w:color="auto"/>
              <w:right w:val="single" w:sz="4" w:space="0" w:color="auto"/>
            </w:tcBorders>
          </w:tcPr>
          <w:p w14:paraId="41A2F356"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z w:val="20"/>
                <w:szCs w:val="20"/>
                <w:lang w:eastAsia="de-DE"/>
              </w:rPr>
              <w:t xml:space="preserve">Deutsche Einheitsverfahren zur Wasser-, Abwasser- und Schlammuntersuchung – Gemeinsam erfassbare Stoffgruppen (Gruppe F) Teil 37: Bestimmung von </w:t>
            </w:r>
            <w:proofErr w:type="spellStart"/>
            <w:r w:rsidRPr="00722A47">
              <w:rPr>
                <w:rFonts w:eastAsia="Times New Roman"/>
                <w:sz w:val="20"/>
                <w:szCs w:val="20"/>
                <w:lang w:eastAsia="de-DE"/>
              </w:rPr>
              <w:t>Organochlorpestiziden</w:t>
            </w:r>
            <w:proofErr w:type="spellEnd"/>
            <w:r w:rsidRPr="00722A47">
              <w:rPr>
                <w:rFonts w:eastAsia="Times New Roman"/>
                <w:sz w:val="20"/>
                <w:szCs w:val="20"/>
                <w:lang w:eastAsia="de-DE"/>
              </w:rPr>
              <w:t xml:space="preserve">, </w:t>
            </w:r>
            <w:proofErr w:type="spellStart"/>
            <w:r w:rsidRPr="00722A47">
              <w:rPr>
                <w:rFonts w:eastAsia="Times New Roman"/>
                <w:sz w:val="20"/>
                <w:szCs w:val="20"/>
                <w:lang w:eastAsia="de-DE"/>
              </w:rPr>
              <w:t>Polychlorbiphenylen</w:t>
            </w:r>
            <w:proofErr w:type="spellEnd"/>
            <w:r w:rsidRPr="00722A47">
              <w:rPr>
                <w:rFonts w:eastAsia="Times New Roman"/>
                <w:sz w:val="20"/>
                <w:szCs w:val="20"/>
                <w:lang w:eastAsia="de-DE"/>
              </w:rPr>
              <w:t xml:space="preserve"> und Chlorbenzolen in Wasser – Verfahren mittels Gaschromatographie und massenspektrometrischer Detektion (GC-MS) nach Flüssig-Flüssig-Extraktion (F37)</w:t>
            </w:r>
          </w:p>
        </w:tc>
      </w:tr>
      <w:tr w:rsidR="00722A47" w:rsidRPr="00722A47" w14:paraId="5E047644"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6839F206" w14:textId="77777777" w:rsidR="00722A47" w:rsidRPr="00722A47" w:rsidRDefault="00722A47" w:rsidP="00722A47">
            <w:pPr>
              <w:autoSpaceDE w:val="0"/>
              <w:autoSpaceDN w:val="0"/>
              <w:adjustRightInd w:val="0"/>
              <w:spacing w:before="0" w:after="0"/>
              <w:jc w:val="left"/>
              <w:rPr>
                <w:rFonts w:eastAsia="Times New Roman"/>
                <w:b/>
                <w:snapToGrid w:val="0"/>
                <w:sz w:val="20"/>
                <w:szCs w:val="20"/>
                <w:lang w:eastAsia="de-DE"/>
              </w:rPr>
            </w:pPr>
            <w:r w:rsidRPr="00722A47">
              <w:rPr>
                <w:rFonts w:eastAsia="Times New Roman"/>
                <w:b/>
                <w:snapToGrid w:val="0"/>
                <w:sz w:val="20"/>
                <w:szCs w:val="20"/>
                <w:lang w:eastAsia="de-DE"/>
              </w:rPr>
              <w:t>Hexachlorbenzol</w:t>
            </w:r>
          </w:p>
        </w:tc>
        <w:tc>
          <w:tcPr>
            <w:tcW w:w="478" w:type="pct"/>
            <w:tcBorders>
              <w:top w:val="single" w:sz="4" w:space="0" w:color="auto"/>
              <w:bottom w:val="single" w:sz="4" w:space="0" w:color="auto"/>
            </w:tcBorders>
            <w:vAlign w:val="center"/>
          </w:tcPr>
          <w:p w14:paraId="1206C00D"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µg/l</w:t>
            </w:r>
          </w:p>
        </w:tc>
        <w:tc>
          <w:tcPr>
            <w:tcW w:w="872" w:type="pct"/>
            <w:tcBorders>
              <w:top w:val="single" w:sz="4" w:space="0" w:color="auto"/>
              <w:bottom w:val="single" w:sz="4" w:space="0" w:color="auto"/>
            </w:tcBorders>
            <w:vAlign w:val="center"/>
          </w:tcPr>
          <w:p w14:paraId="28026D78"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0,02 - 0,04</w:t>
            </w:r>
          </w:p>
        </w:tc>
        <w:tc>
          <w:tcPr>
            <w:tcW w:w="782" w:type="pct"/>
            <w:tcBorders>
              <w:top w:val="single" w:sz="4" w:space="0" w:color="auto"/>
              <w:bottom w:val="single" w:sz="4" w:space="0" w:color="auto"/>
            </w:tcBorders>
          </w:tcPr>
          <w:p w14:paraId="002E57A9"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z w:val="20"/>
                <w:szCs w:val="20"/>
                <w:lang w:val="nb-NO" w:eastAsia="de-DE"/>
              </w:rPr>
              <w:t>DIN 38407-37 (November 2013)</w:t>
            </w:r>
          </w:p>
        </w:tc>
        <w:tc>
          <w:tcPr>
            <w:tcW w:w="1676" w:type="pct"/>
            <w:tcBorders>
              <w:top w:val="single" w:sz="4" w:space="0" w:color="auto"/>
              <w:bottom w:val="single" w:sz="4" w:space="0" w:color="auto"/>
              <w:right w:val="single" w:sz="4" w:space="0" w:color="auto"/>
            </w:tcBorders>
          </w:tcPr>
          <w:p w14:paraId="0CE59151"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z w:val="20"/>
                <w:szCs w:val="20"/>
                <w:lang w:eastAsia="de-DE"/>
              </w:rPr>
              <w:t xml:space="preserve">Deutsche Einheitsverfahren zur Wasser-, Abwasser- und Schlammuntersuchung – Gemeinsam erfassbare Stoffgruppen (Gruppe F) Teil 37: Bestimmung von </w:t>
            </w:r>
            <w:proofErr w:type="spellStart"/>
            <w:r w:rsidRPr="00722A47">
              <w:rPr>
                <w:rFonts w:eastAsia="Times New Roman"/>
                <w:sz w:val="20"/>
                <w:szCs w:val="20"/>
                <w:lang w:eastAsia="de-DE"/>
              </w:rPr>
              <w:t>Organochlorpestiziden</w:t>
            </w:r>
            <w:proofErr w:type="spellEnd"/>
            <w:r w:rsidRPr="00722A47">
              <w:rPr>
                <w:rFonts w:eastAsia="Times New Roman"/>
                <w:sz w:val="20"/>
                <w:szCs w:val="20"/>
                <w:lang w:eastAsia="de-DE"/>
              </w:rPr>
              <w:t xml:space="preserve">, </w:t>
            </w:r>
            <w:proofErr w:type="spellStart"/>
            <w:r w:rsidRPr="00722A47">
              <w:rPr>
                <w:rFonts w:eastAsia="Times New Roman"/>
                <w:sz w:val="20"/>
                <w:szCs w:val="20"/>
                <w:lang w:eastAsia="de-DE"/>
              </w:rPr>
              <w:t>Polychlorbiphenylen</w:t>
            </w:r>
            <w:proofErr w:type="spellEnd"/>
            <w:r w:rsidRPr="00722A47">
              <w:rPr>
                <w:rFonts w:eastAsia="Times New Roman"/>
                <w:sz w:val="20"/>
                <w:szCs w:val="20"/>
                <w:lang w:eastAsia="de-DE"/>
              </w:rPr>
              <w:t xml:space="preserve"> und Chlorbenzolen in Wasser – Verfahren mittels Gaschromatographie und massenspektrometrischer Detektion (GC-MS) nach Flüssig-Flüssig-Extraktion (F37)</w:t>
            </w:r>
          </w:p>
        </w:tc>
      </w:tr>
      <w:tr w:rsidR="00722A47" w:rsidRPr="00722A47" w14:paraId="692F78B9"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6C39EC80" w14:textId="77777777" w:rsidR="00722A47" w:rsidRPr="00722A47" w:rsidRDefault="00722A47" w:rsidP="00722A47">
            <w:pPr>
              <w:autoSpaceDE w:val="0"/>
              <w:autoSpaceDN w:val="0"/>
              <w:adjustRightInd w:val="0"/>
              <w:spacing w:before="0" w:after="0"/>
              <w:jc w:val="left"/>
              <w:rPr>
                <w:rFonts w:eastAsia="Times New Roman"/>
                <w:b/>
                <w:snapToGrid w:val="0"/>
                <w:sz w:val="20"/>
                <w:szCs w:val="20"/>
                <w:lang w:eastAsia="de-DE"/>
              </w:rPr>
            </w:pPr>
            <w:r w:rsidRPr="00722A47">
              <w:rPr>
                <w:rFonts w:eastAsia="Times New Roman"/>
                <w:b/>
                <w:snapToGrid w:val="0"/>
                <w:sz w:val="20"/>
                <w:szCs w:val="20"/>
                <w:lang w:eastAsia="de-DE"/>
              </w:rPr>
              <w:t>Atrazin</w:t>
            </w:r>
          </w:p>
        </w:tc>
        <w:tc>
          <w:tcPr>
            <w:tcW w:w="478" w:type="pct"/>
            <w:tcBorders>
              <w:top w:val="single" w:sz="4" w:space="0" w:color="auto"/>
              <w:bottom w:val="single" w:sz="4" w:space="0" w:color="auto"/>
            </w:tcBorders>
            <w:vAlign w:val="center"/>
          </w:tcPr>
          <w:p w14:paraId="0532EB4E"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µg/l</w:t>
            </w:r>
          </w:p>
        </w:tc>
        <w:tc>
          <w:tcPr>
            <w:tcW w:w="872" w:type="pct"/>
            <w:tcBorders>
              <w:top w:val="single" w:sz="4" w:space="0" w:color="auto"/>
              <w:bottom w:val="single" w:sz="4" w:space="0" w:color="auto"/>
            </w:tcBorders>
            <w:vAlign w:val="center"/>
          </w:tcPr>
          <w:p w14:paraId="0D79CC1B"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0,1 – 1,1</w:t>
            </w:r>
          </w:p>
        </w:tc>
        <w:tc>
          <w:tcPr>
            <w:tcW w:w="782" w:type="pct"/>
            <w:vMerge w:val="restart"/>
            <w:tcBorders>
              <w:top w:val="single" w:sz="4" w:space="0" w:color="auto"/>
              <w:bottom w:val="single" w:sz="4" w:space="0" w:color="auto"/>
            </w:tcBorders>
          </w:tcPr>
          <w:p w14:paraId="1497E733"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 xml:space="preserve">DIN EN ISO 11369 </w:t>
            </w:r>
          </w:p>
          <w:p w14:paraId="228D5CA1"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(November 1997)</w:t>
            </w:r>
          </w:p>
          <w:p w14:paraId="242762CF"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16065C45"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0D0E77F8"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7F1D21B5"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1BA31AF0"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5B4D182B"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37A4FF31"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4FDEBEE9"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2F4ECEC1"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DIN EN ISO 27108</w:t>
            </w:r>
          </w:p>
          <w:p w14:paraId="7D5EA158"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(Dezember 2013)</w:t>
            </w:r>
          </w:p>
          <w:p w14:paraId="3260A801"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4119EBBB"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1A7535B5"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1D9A3341"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3FACF791"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69A23CEE"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10086CB3"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2E3EDAA2"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3C5636E5"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5284B1F4"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DIN EN ISO 10695</w:t>
            </w:r>
          </w:p>
          <w:p w14:paraId="47ABB169"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(November 2000)</w:t>
            </w:r>
          </w:p>
        </w:tc>
        <w:tc>
          <w:tcPr>
            <w:tcW w:w="1676" w:type="pct"/>
            <w:vMerge w:val="restart"/>
            <w:tcBorders>
              <w:top w:val="single" w:sz="4" w:space="0" w:color="auto"/>
              <w:bottom w:val="single" w:sz="4" w:space="0" w:color="auto"/>
              <w:right w:val="single" w:sz="4" w:space="0" w:color="auto"/>
            </w:tcBorders>
          </w:tcPr>
          <w:p w14:paraId="20C1E5D5"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lastRenderedPageBreak/>
              <w:t>Wasserbeschaffenheit - Bestimmung ausgewählter Pflanzenbehandlungsmittel – Verfahren mit der Hochauflösungs-Flüssigkeitschromatographie mit UV-Detektion nach Fest-Flüssig-Extraktion (ISO 1369:1997); Deutsche Fassung EN ISO 11369:1997</w:t>
            </w:r>
          </w:p>
          <w:p w14:paraId="499AEA4E"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571B8894"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5653723A"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lastRenderedPageBreak/>
              <w:t xml:space="preserve">Wasserbeschaffenheit - Bestimmung ausgewählter Pflanzenschutzmittel und </w:t>
            </w:r>
            <w:proofErr w:type="spellStart"/>
            <w:r w:rsidRPr="00722A47">
              <w:rPr>
                <w:rFonts w:eastAsia="Times New Roman"/>
                <w:snapToGrid w:val="0"/>
                <w:sz w:val="20"/>
                <w:szCs w:val="20"/>
                <w:lang w:eastAsia="de-DE"/>
              </w:rPr>
              <w:t>Biozidprodukte</w:t>
            </w:r>
            <w:proofErr w:type="spellEnd"/>
            <w:r w:rsidRPr="00722A47">
              <w:rPr>
                <w:rFonts w:eastAsia="Times New Roman"/>
                <w:snapToGrid w:val="0"/>
                <w:sz w:val="20"/>
                <w:szCs w:val="20"/>
                <w:lang w:eastAsia="de-DE"/>
              </w:rPr>
              <w:t xml:space="preserve"> - Verfahren mittels Festphasenmikroextraktion (SPME) gefolgt von der Gaschromatographie und Massenspektrometrie (GC-MS) (ISO 27108:2010); Deutsche Fassung EN ISO 27108:2013</w:t>
            </w:r>
          </w:p>
          <w:p w14:paraId="5A51FA74"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160216C0"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Wasserbeschaffenheit - Bestimmung ausgewählter organischer Stickstoff- und Phosphorverbindungen – Gaschromatographische Verfahren (ISO 10695:2000); Deutsche Fassung EN ISO 10695:2000</w:t>
            </w:r>
          </w:p>
        </w:tc>
      </w:tr>
      <w:tr w:rsidR="00722A47" w:rsidRPr="00722A47" w14:paraId="4915D000"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5D373B27" w14:textId="77777777" w:rsidR="00722A47" w:rsidRPr="00722A47" w:rsidRDefault="00722A47" w:rsidP="00722A47">
            <w:pPr>
              <w:autoSpaceDE w:val="0"/>
              <w:autoSpaceDN w:val="0"/>
              <w:adjustRightInd w:val="0"/>
              <w:spacing w:before="0" w:after="0"/>
              <w:jc w:val="left"/>
              <w:rPr>
                <w:rFonts w:eastAsia="Times New Roman"/>
                <w:b/>
                <w:snapToGrid w:val="0"/>
                <w:sz w:val="20"/>
                <w:szCs w:val="20"/>
                <w:lang w:eastAsia="de-DE"/>
              </w:rPr>
            </w:pPr>
            <w:proofErr w:type="spellStart"/>
            <w:r w:rsidRPr="00722A47">
              <w:rPr>
                <w:rFonts w:eastAsia="Times New Roman"/>
                <w:b/>
                <w:snapToGrid w:val="0"/>
                <w:sz w:val="20"/>
                <w:szCs w:val="20"/>
                <w:lang w:eastAsia="de-DE"/>
              </w:rPr>
              <w:t>Bromacil</w:t>
            </w:r>
            <w:proofErr w:type="spellEnd"/>
          </w:p>
        </w:tc>
        <w:tc>
          <w:tcPr>
            <w:tcW w:w="478" w:type="pct"/>
            <w:tcBorders>
              <w:top w:val="single" w:sz="4" w:space="0" w:color="auto"/>
              <w:bottom w:val="single" w:sz="4" w:space="0" w:color="auto"/>
            </w:tcBorders>
            <w:vAlign w:val="center"/>
          </w:tcPr>
          <w:p w14:paraId="2AE5413A"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µg/l</w:t>
            </w:r>
          </w:p>
        </w:tc>
        <w:tc>
          <w:tcPr>
            <w:tcW w:w="872" w:type="pct"/>
            <w:tcBorders>
              <w:top w:val="single" w:sz="4" w:space="0" w:color="auto"/>
              <w:bottom w:val="single" w:sz="4" w:space="0" w:color="auto"/>
            </w:tcBorders>
            <w:vAlign w:val="center"/>
          </w:tcPr>
          <w:p w14:paraId="380423CA"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0,1 – 0,6</w:t>
            </w:r>
          </w:p>
        </w:tc>
        <w:tc>
          <w:tcPr>
            <w:tcW w:w="782" w:type="pct"/>
            <w:vMerge/>
            <w:tcBorders>
              <w:top w:val="single" w:sz="8" w:space="0" w:color="auto"/>
              <w:bottom w:val="single" w:sz="4" w:space="0" w:color="auto"/>
            </w:tcBorders>
          </w:tcPr>
          <w:p w14:paraId="11DDCE6F"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tc>
        <w:tc>
          <w:tcPr>
            <w:tcW w:w="1676" w:type="pct"/>
            <w:vMerge/>
            <w:tcBorders>
              <w:top w:val="single" w:sz="8" w:space="0" w:color="auto"/>
              <w:bottom w:val="single" w:sz="4" w:space="0" w:color="auto"/>
              <w:right w:val="single" w:sz="4" w:space="0" w:color="auto"/>
            </w:tcBorders>
          </w:tcPr>
          <w:p w14:paraId="054527D5"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tc>
      </w:tr>
      <w:tr w:rsidR="00722A47" w:rsidRPr="00722A47" w14:paraId="55D4B398"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64D95DA0" w14:textId="77777777" w:rsidR="00722A47" w:rsidRPr="00722A47" w:rsidRDefault="00722A47" w:rsidP="00722A47">
            <w:pPr>
              <w:autoSpaceDE w:val="0"/>
              <w:autoSpaceDN w:val="0"/>
              <w:adjustRightInd w:val="0"/>
              <w:spacing w:before="0" w:after="0"/>
              <w:jc w:val="left"/>
              <w:rPr>
                <w:rFonts w:eastAsia="Times New Roman"/>
                <w:b/>
                <w:snapToGrid w:val="0"/>
                <w:sz w:val="20"/>
                <w:szCs w:val="20"/>
                <w:lang w:eastAsia="de-DE"/>
              </w:rPr>
            </w:pPr>
            <w:proofErr w:type="spellStart"/>
            <w:r w:rsidRPr="00722A47">
              <w:rPr>
                <w:rFonts w:eastAsia="Times New Roman"/>
                <w:b/>
                <w:snapToGrid w:val="0"/>
                <w:sz w:val="20"/>
                <w:szCs w:val="20"/>
                <w:lang w:eastAsia="de-DE"/>
              </w:rPr>
              <w:t>Diuron</w:t>
            </w:r>
            <w:proofErr w:type="spellEnd"/>
          </w:p>
        </w:tc>
        <w:tc>
          <w:tcPr>
            <w:tcW w:w="478" w:type="pct"/>
            <w:tcBorders>
              <w:top w:val="single" w:sz="4" w:space="0" w:color="auto"/>
              <w:bottom w:val="single" w:sz="4" w:space="0" w:color="auto"/>
            </w:tcBorders>
            <w:vAlign w:val="center"/>
          </w:tcPr>
          <w:p w14:paraId="01E9A3DD"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µg/l</w:t>
            </w:r>
          </w:p>
        </w:tc>
        <w:tc>
          <w:tcPr>
            <w:tcW w:w="872" w:type="pct"/>
            <w:tcBorders>
              <w:top w:val="single" w:sz="4" w:space="0" w:color="auto"/>
              <w:bottom w:val="single" w:sz="4" w:space="0" w:color="auto"/>
            </w:tcBorders>
            <w:vAlign w:val="center"/>
          </w:tcPr>
          <w:p w14:paraId="7B3FF580"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0,05 – 0,3</w:t>
            </w:r>
          </w:p>
        </w:tc>
        <w:tc>
          <w:tcPr>
            <w:tcW w:w="782" w:type="pct"/>
            <w:vMerge/>
            <w:tcBorders>
              <w:top w:val="single" w:sz="8" w:space="0" w:color="auto"/>
              <w:bottom w:val="single" w:sz="4" w:space="0" w:color="auto"/>
            </w:tcBorders>
          </w:tcPr>
          <w:p w14:paraId="5FBA33C0"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tc>
        <w:tc>
          <w:tcPr>
            <w:tcW w:w="1676" w:type="pct"/>
            <w:vMerge/>
            <w:tcBorders>
              <w:top w:val="single" w:sz="8" w:space="0" w:color="auto"/>
              <w:bottom w:val="single" w:sz="4" w:space="0" w:color="auto"/>
              <w:right w:val="single" w:sz="4" w:space="0" w:color="auto"/>
            </w:tcBorders>
          </w:tcPr>
          <w:p w14:paraId="05602E16"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tc>
      </w:tr>
      <w:tr w:rsidR="00722A47" w:rsidRPr="00722A47" w14:paraId="435B7D1A"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5BFAB17F" w14:textId="77777777" w:rsidR="00722A47" w:rsidRPr="00722A47" w:rsidRDefault="00722A47" w:rsidP="00722A47">
            <w:pPr>
              <w:autoSpaceDE w:val="0"/>
              <w:autoSpaceDN w:val="0"/>
              <w:adjustRightInd w:val="0"/>
              <w:spacing w:before="0" w:after="0"/>
              <w:jc w:val="left"/>
              <w:rPr>
                <w:rFonts w:eastAsia="Times New Roman"/>
                <w:b/>
                <w:snapToGrid w:val="0"/>
                <w:sz w:val="20"/>
                <w:szCs w:val="20"/>
                <w:lang w:eastAsia="de-DE"/>
              </w:rPr>
            </w:pPr>
            <w:proofErr w:type="spellStart"/>
            <w:r w:rsidRPr="00722A47">
              <w:rPr>
                <w:rFonts w:eastAsia="Times New Roman"/>
                <w:b/>
                <w:snapToGrid w:val="0"/>
                <w:sz w:val="20"/>
                <w:szCs w:val="20"/>
                <w:lang w:eastAsia="de-DE"/>
              </w:rPr>
              <w:t>Simazin</w:t>
            </w:r>
            <w:proofErr w:type="spellEnd"/>
          </w:p>
        </w:tc>
        <w:tc>
          <w:tcPr>
            <w:tcW w:w="478" w:type="pct"/>
            <w:tcBorders>
              <w:top w:val="single" w:sz="4" w:space="0" w:color="auto"/>
              <w:bottom w:val="single" w:sz="4" w:space="0" w:color="auto"/>
            </w:tcBorders>
            <w:vAlign w:val="center"/>
          </w:tcPr>
          <w:p w14:paraId="3B7848D4"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µg/l</w:t>
            </w:r>
          </w:p>
        </w:tc>
        <w:tc>
          <w:tcPr>
            <w:tcW w:w="872" w:type="pct"/>
            <w:tcBorders>
              <w:top w:val="single" w:sz="4" w:space="0" w:color="auto"/>
              <w:bottom w:val="single" w:sz="4" w:space="0" w:color="auto"/>
            </w:tcBorders>
            <w:vAlign w:val="center"/>
          </w:tcPr>
          <w:p w14:paraId="108EB1E1"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0,1 – 2,4</w:t>
            </w:r>
          </w:p>
        </w:tc>
        <w:tc>
          <w:tcPr>
            <w:tcW w:w="782" w:type="pct"/>
            <w:vMerge/>
            <w:tcBorders>
              <w:top w:val="single" w:sz="8" w:space="0" w:color="auto"/>
              <w:bottom w:val="single" w:sz="4" w:space="0" w:color="auto"/>
            </w:tcBorders>
          </w:tcPr>
          <w:p w14:paraId="4D4AB571"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tc>
        <w:tc>
          <w:tcPr>
            <w:tcW w:w="1676" w:type="pct"/>
            <w:vMerge/>
            <w:tcBorders>
              <w:top w:val="single" w:sz="8" w:space="0" w:color="auto"/>
              <w:bottom w:val="single" w:sz="4" w:space="0" w:color="auto"/>
              <w:right w:val="single" w:sz="4" w:space="0" w:color="auto"/>
            </w:tcBorders>
          </w:tcPr>
          <w:p w14:paraId="461F8C70"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tc>
      </w:tr>
      <w:tr w:rsidR="00722A47" w:rsidRPr="00722A47" w14:paraId="4428DBFF"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27DB352C" w14:textId="77777777" w:rsidR="00722A47" w:rsidRPr="00722A47" w:rsidRDefault="00722A47" w:rsidP="00722A47">
            <w:pPr>
              <w:autoSpaceDE w:val="0"/>
              <w:autoSpaceDN w:val="0"/>
              <w:adjustRightInd w:val="0"/>
              <w:spacing w:before="0" w:after="0"/>
              <w:jc w:val="left"/>
              <w:rPr>
                <w:rFonts w:eastAsia="Times New Roman"/>
                <w:b/>
                <w:snapToGrid w:val="0"/>
                <w:sz w:val="20"/>
                <w:szCs w:val="20"/>
                <w:lang w:eastAsia="de-DE"/>
              </w:rPr>
            </w:pPr>
            <w:proofErr w:type="spellStart"/>
            <w:r w:rsidRPr="00722A47">
              <w:rPr>
                <w:rFonts w:eastAsia="Times New Roman"/>
                <w:b/>
                <w:snapToGrid w:val="0"/>
                <w:sz w:val="20"/>
                <w:szCs w:val="20"/>
                <w:lang w:eastAsia="de-DE"/>
              </w:rPr>
              <w:t>Dimefuron</w:t>
            </w:r>
            <w:proofErr w:type="spellEnd"/>
          </w:p>
        </w:tc>
        <w:tc>
          <w:tcPr>
            <w:tcW w:w="478" w:type="pct"/>
            <w:tcBorders>
              <w:top w:val="single" w:sz="4" w:space="0" w:color="auto"/>
              <w:bottom w:val="single" w:sz="4" w:space="0" w:color="auto"/>
            </w:tcBorders>
            <w:vAlign w:val="center"/>
          </w:tcPr>
          <w:p w14:paraId="1F93B3F3"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µg/l</w:t>
            </w:r>
          </w:p>
        </w:tc>
        <w:tc>
          <w:tcPr>
            <w:tcW w:w="872" w:type="pct"/>
            <w:tcBorders>
              <w:top w:val="single" w:sz="4" w:space="0" w:color="auto"/>
              <w:bottom w:val="single" w:sz="4" w:space="0" w:color="auto"/>
            </w:tcBorders>
            <w:vAlign w:val="center"/>
          </w:tcPr>
          <w:p w14:paraId="006B3863"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0,1 – 0,6</w:t>
            </w:r>
          </w:p>
        </w:tc>
        <w:tc>
          <w:tcPr>
            <w:tcW w:w="782" w:type="pct"/>
            <w:vMerge/>
            <w:tcBorders>
              <w:top w:val="single" w:sz="8" w:space="0" w:color="auto"/>
              <w:bottom w:val="single" w:sz="4" w:space="0" w:color="auto"/>
            </w:tcBorders>
          </w:tcPr>
          <w:p w14:paraId="2C5EEFE7"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tc>
        <w:tc>
          <w:tcPr>
            <w:tcW w:w="1676" w:type="pct"/>
            <w:vMerge/>
            <w:tcBorders>
              <w:top w:val="single" w:sz="8" w:space="0" w:color="auto"/>
              <w:bottom w:val="single" w:sz="4" w:space="0" w:color="auto"/>
              <w:right w:val="single" w:sz="4" w:space="0" w:color="auto"/>
            </w:tcBorders>
          </w:tcPr>
          <w:p w14:paraId="512644C3"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tc>
      </w:tr>
      <w:tr w:rsidR="00722A47" w:rsidRPr="00722A47" w14:paraId="7D4A89ED"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6E8C9E0D"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roofErr w:type="spellStart"/>
            <w:r w:rsidRPr="00722A47">
              <w:rPr>
                <w:rFonts w:eastAsia="Times New Roman"/>
                <w:b/>
                <w:snapToGrid w:val="0"/>
                <w:sz w:val="20"/>
                <w:szCs w:val="20"/>
                <w:lang w:eastAsia="de-DE"/>
              </w:rPr>
              <w:lastRenderedPageBreak/>
              <w:t>Flumioxazin</w:t>
            </w:r>
            <w:proofErr w:type="spellEnd"/>
          </w:p>
        </w:tc>
        <w:tc>
          <w:tcPr>
            <w:tcW w:w="478" w:type="pct"/>
            <w:tcBorders>
              <w:top w:val="single" w:sz="4" w:space="0" w:color="auto"/>
              <w:bottom w:val="single" w:sz="4" w:space="0" w:color="auto"/>
            </w:tcBorders>
            <w:vAlign w:val="center"/>
          </w:tcPr>
          <w:p w14:paraId="23983F74"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µg/l</w:t>
            </w:r>
          </w:p>
        </w:tc>
        <w:tc>
          <w:tcPr>
            <w:tcW w:w="872" w:type="pct"/>
            <w:tcBorders>
              <w:top w:val="single" w:sz="4" w:space="0" w:color="auto"/>
              <w:bottom w:val="single" w:sz="4" w:space="0" w:color="auto"/>
            </w:tcBorders>
            <w:vAlign w:val="center"/>
          </w:tcPr>
          <w:p w14:paraId="22C6F9D1"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0,1 – 0,6</w:t>
            </w:r>
          </w:p>
        </w:tc>
        <w:tc>
          <w:tcPr>
            <w:tcW w:w="782" w:type="pct"/>
            <w:vMerge/>
            <w:tcBorders>
              <w:top w:val="single" w:sz="8" w:space="0" w:color="auto"/>
              <w:bottom w:val="single" w:sz="4" w:space="0" w:color="auto"/>
            </w:tcBorders>
          </w:tcPr>
          <w:p w14:paraId="466A9500"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tc>
        <w:tc>
          <w:tcPr>
            <w:tcW w:w="1676" w:type="pct"/>
            <w:vMerge/>
            <w:tcBorders>
              <w:top w:val="single" w:sz="8" w:space="0" w:color="auto"/>
              <w:bottom w:val="single" w:sz="4" w:space="0" w:color="auto"/>
              <w:right w:val="single" w:sz="4" w:space="0" w:color="auto"/>
            </w:tcBorders>
          </w:tcPr>
          <w:p w14:paraId="01E3052F"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tc>
      </w:tr>
      <w:tr w:rsidR="00722A47" w:rsidRPr="00722A47" w14:paraId="50CCAEB7"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2F9A4F99" w14:textId="77777777" w:rsidR="00722A47" w:rsidRPr="00722A47" w:rsidRDefault="00722A47" w:rsidP="00722A47">
            <w:pPr>
              <w:autoSpaceDE w:val="0"/>
              <w:autoSpaceDN w:val="0"/>
              <w:adjustRightInd w:val="0"/>
              <w:spacing w:before="0" w:after="0"/>
              <w:jc w:val="left"/>
              <w:rPr>
                <w:rFonts w:eastAsia="Times New Roman"/>
                <w:b/>
                <w:snapToGrid w:val="0"/>
                <w:sz w:val="20"/>
                <w:szCs w:val="20"/>
                <w:lang w:eastAsia="de-DE"/>
              </w:rPr>
            </w:pPr>
            <w:proofErr w:type="spellStart"/>
            <w:r w:rsidRPr="00722A47">
              <w:rPr>
                <w:rFonts w:eastAsia="Times New Roman"/>
                <w:b/>
                <w:snapToGrid w:val="0"/>
                <w:sz w:val="20"/>
                <w:szCs w:val="20"/>
                <w:lang w:eastAsia="de-DE"/>
              </w:rPr>
              <w:t>Flazasulfuron</w:t>
            </w:r>
            <w:proofErr w:type="spellEnd"/>
          </w:p>
        </w:tc>
        <w:tc>
          <w:tcPr>
            <w:tcW w:w="478" w:type="pct"/>
            <w:tcBorders>
              <w:top w:val="single" w:sz="4" w:space="0" w:color="auto"/>
              <w:bottom w:val="single" w:sz="4" w:space="0" w:color="auto"/>
            </w:tcBorders>
            <w:vAlign w:val="center"/>
          </w:tcPr>
          <w:p w14:paraId="4DEC6CC9"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µg/l</w:t>
            </w:r>
          </w:p>
        </w:tc>
        <w:tc>
          <w:tcPr>
            <w:tcW w:w="872" w:type="pct"/>
            <w:tcBorders>
              <w:top w:val="single" w:sz="4" w:space="0" w:color="auto"/>
              <w:bottom w:val="single" w:sz="4" w:space="0" w:color="auto"/>
            </w:tcBorders>
            <w:vAlign w:val="center"/>
          </w:tcPr>
          <w:p w14:paraId="02162A73"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0,1 – 0,6</w:t>
            </w:r>
          </w:p>
        </w:tc>
        <w:tc>
          <w:tcPr>
            <w:tcW w:w="782" w:type="pct"/>
            <w:vMerge/>
            <w:tcBorders>
              <w:top w:val="single" w:sz="8" w:space="0" w:color="auto"/>
              <w:bottom w:val="single" w:sz="4" w:space="0" w:color="auto"/>
            </w:tcBorders>
          </w:tcPr>
          <w:p w14:paraId="27671F92"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tc>
        <w:tc>
          <w:tcPr>
            <w:tcW w:w="1676" w:type="pct"/>
            <w:vMerge/>
            <w:tcBorders>
              <w:top w:val="single" w:sz="8" w:space="0" w:color="auto"/>
              <w:bottom w:val="single" w:sz="4" w:space="0" w:color="auto"/>
              <w:right w:val="single" w:sz="4" w:space="0" w:color="auto"/>
            </w:tcBorders>
          </w:tcPr>
          <w:p w14:paraId="3A32FACF"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tc>
      </w:tr>
      <w:tr w:rsidR="00722A47" w:rsidRPr="00722A47" w14:paraId="2F4A96DD"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57578250"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532F1D1D" w14:textId="77777777" w:rsidR="00722A47" w:rsidRPr="00722A47" w:rsidRDefault="00722A47" w:rsidP="00722A47">
            <w:pPr>
              <w:autoSpaceDE w:val="0"/>
              <w:autoSpaceDN w:val="0"/>
              <w:adjustRightInd w:val="0"/>
              <w:spacing w:before="0" w:after="0"/>
              <w:jc w:val="left"/>
              <w:rPr>
                <w:rFonts w:eastAsia="Times New Roman"/>
                <w:b/>
                <w:snapToGrid w:val="0"/>
                <w:sz w:val="20"/>
                <w:szCs w:val="20"/>
                <w:lang w:eastAsia="de-DE"/>
              </w:rPr>
            </w:pPr>
            <w:r w:rsidRPr="00722A47">
              <w:rPr>
                <w:rFonts w:eastAsia="Times New Roman"/>
                <w:b/>
                <w:snapToGrid w:val="0"/>
                <w:sz w:val="20"/>
                <w:szCs w:val="20"/>
                <w:lang w:eastAsia="de-DE"/>
              </w:rPr>
              <w:t>Glyphosat</w:t>
            </w:r>
          </w:p>
          <w:p w14:paraId="517CCA82"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p w14:paraId="3B71C96C" w14:textId="77777777" w:rsidR="00722A47" w:rsidRPr="00722A47" w:rsidRDefault="00722A47" w:rsidP="00722A47">
            <w:pPr>
              <w:autoSpaceDE w:val="0"/>
              <w:autoSpaceDN w:val="0"/>
              <w:adjustRightInd w:val="0"/>
              <w:spacing w:before="0" w:after="0"/>
              <w:jc w:val="left"/>
              <w:rPr>
                <w:rFonts w:eastAsia="Times New Roman"/>
                <w:b/>
                <w:snapToGrid w:val="0"/>
                <w:sz w:val="20"/>
                <w:szCs w:val="20"/>
                <w:lang w:eastAsia="de-DE"/>
              </w:rPr>
            </w:pPr>
            <w:r w:rsidRPr="00722A47">
              <w:rPr>
                <w:rFonts w:eastAsia="Times New Roman"/>
                <w:b/>
                <w:snapToGrid w:val="0"/>
                <w:sz w:val="20"/>
                <w:szCs w:val="20"/>
                <w:lang w:eastAsia="de-DE"/>
              </w:rPr>
              <w:t>AMPA</w:t>
            </w:r>
          </w:p>
          <w:p w14:paraId="1749192A"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tc>
        <w:tc>
          <w:tcPr>
            <w:tcW w:w="478" w:type="pct"/>
            <w:tcBorders>
              <w:top w:val="single" w:sz="4" w:space="0" w:color="auto"/>
              <w:bottom w:val="single" w:sz="4" w:space="0" w:color="auto"/>
            </w:tcBorders>
            <w:vAlign w:val="center"/>
          </w:tcPr>
          <w:p w14:paraId="6A572D6F"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p>
          <w:p w14:paraId="2D76D89D"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µg/l</w:t>
            </w:r>
          </w:p>
          <w:p w14:paraId="4360B7FB"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p>
          <w:p w14:paraId="707EF3D1"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µg/l</w:t>
            </w:r>
          </w:p>
          <w:p w14:paraId="515C9EBF"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p>
        </w:tc>
        <w:tc>
          <w:tcPr>
            <w:tcW w:w="872" w:type="pct"/>
            <w:tcBorders>
              <w:top w:val="single" w:sz="4" w:space="0" w:color="auto"/>
              <w:bottom w:val="single" w:sz="4" w:space="0" w:color="auto"/>
            </w:tcBorders>
            <w:vAlign w:val="center"/>
          </w:tcPr>
          <w:p w14:paraId="6942EF1C"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0,1 – 1,5</w:t>
            </w:r>
          </w:p>
          <w:p w14:paraId="47DBEA53"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p>
          <w:p w14:paraId="5AB9543B"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0,1 – 0,6</w:t>
            </w:r>
          </w:p>
        </w:tc>
        <w:tc>
          <w:tcPr>
            <w:tcW w:w="782" w:type="pct"/>
          </w:tcPr>
          <w:p w14:paraId="12E152B9"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DIN 38407-22</w:t>
            </w:r>
          </w:p>
          <w:p w14:paraId="692F3D46"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(Oktober 2001)</w:t>
            </w:r>
          </w:p>
          <w:p w14:paraId="544E9DDD"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
        </w:tc>
        <w:tc>
          <w:tcPr>
            <w:tcW w:w="1676" w:type="pct"/>
            <w:tcBorders>
              <w:right w:val="single" w:sz="4" w:space="0" w:color="auto"/>
            </w:tcBorders>
          </w:tcPr>
          <w:p w14:paraId="670B15A7"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 xml:space="preserve">Deutsche Einheitsverfahren zur Wasser-, Abwasser- und Schlammuntersuchung - Gemeinsam erfassbare Stoffgruppen (Gruppe F) Teil 22: Bestimmung von Glyphosat und </w:t>
            </w:r>
            <w:proofErr w:type="spellStart"/>
            <w:r w:rsidRPr="00722A47">
              <w:rPr>
                <w:rFonts w:eastAsia="Times New Roman"/>
                <w:snapToGrid w:val="0"/>
                <w:sz w:val="20"/>
                <w:szCs w:val="20"/>
                <w:lang w:eastAsia="de-DE"/>
              </w:rPr>
              <w:t>Aminomethylphosphonsäure</w:t>
            </w:r>
            <w:proofErr w:type="spellEnd"/>
            <w:r w:rsidRPr="00722A47">
              <w:rPr>
                <w:rFonts w:eastAsia="Times New Roman"/>
                <w:snapToGrid w:val="0"/>
                <w:sz w:val="20"/>
                <w:szCs w:val="20"/>
                <w:lang w:eastAsia="de-DE"/>
              </w:rPr>
              <w:t xml:space="preserve"> (AMPA) in Wasser durch Hochleistungs-Flüssigkeitschromatographie (HPLC), </w:t>
            </w:r>
            <w:proofErr w:type="spellStart"/>
            <w:r w:rsidRPr="00722A47">
              <w:rPr>
                <w:rFonts w:eastAsia="Times New Roman"/>
                <w:snapToGrid w:val="0"/>
                <w:sz w:val="20"/>
                <w:szCs w:val="20"/>
                <w:lang w:eastAsia="de-DE"/>
              </w:rPr>
              <w:t>Nachsäulenderivatisierung</w:t>
            </w:r>
            <w:proofErr w:type="spellEnd"/>
            <w:r w:rsidRPr="00722A47">
              <w:rPr>
                <w:rFonts w:eastAsia="Times New Roman"/>
                <w:snapToGrid w:val="0"/>
                <w:sz w:val="20"/>
                <w:szCs w:val="20"/>
                <w:lang w:eastAsia="de-DE"/>
              </w:rPr>
              <w:t xml:space="preserve"> und Fluoreszenzdetektion (F 22)</w:t>
            </w:r>
          </w:p>
        </w:tc>
      </w:tr>
      <w:tr w:rsidR="00722A47" w:rsidRPr="00722A47" w14:paraId="39F739F6" w14:textId="77777777" w:rsidTr="004954C9">
        <w:trPr>
          <w:cantSplit/>
          <w:trHeight w:val="520"/>
        </w:trPr>
        <w:tc>
          <w:tcPr>
            <w:tcW w:w="1192" w:type="pct"/>
            <w:tcBorders>
              <w:top w:val="single" w:sz="4" w:space="0" w:color="auto"/>
              <w:left w:val="single" w:sz="4" w:space="0" w:color="auto"/>
              <w:bottom w:val="single" w:sz="4" w:space="0" w:color="auto"/>
            </w:tcBorders>
            <w:vAlign w:val="center"/>
          </w:tcPr>
          <w:p w14:paraId="5B8A650A"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proofErr w:type="spellStart"/>
            <w:r w:rsidRPr="00722A47">
              <w:rPr>
                <w:rFonts w:eastAsia="Times New Roman"/>
                <w:b/>
                <w:snapToGrid w:val="0"/>
                <w:sz w:val="20"/>
                <w:szCs w:val="20"/>
                <w:lang w:eastAsia="de-DE"/>
              </w:rPr>
              <w:t>Tributylzinn</w:t>
            </w:r>
            <w:proofErr w:type="spellEnd"/>
            <w:r w:rsidRPr="00722A47">
              <w:rPr>
                <w:rFonts w:eastAsia="Times New Roman"/>
                <w:b/>
                <w:snapToGrid w:val="0"/>
                <w:sz w:val="20"/>
                <w:szCs w:val="20"/>
                <w:lang w:eastAsia="de-DE"/>
              </w:rPr>
              <w:t>-Kation</w:t>
            </w:r>
          </w:p>
        </w:tc>
        <w:tc>
          <w:tcPr>
            <w:tcW w:w="478" w:type="pct"/>
            <w:tcBorders>
              <w:top w:val="single" w:sz="4" w:space="0" w:color="auto"/>
              <w:bottom w:val="single" w:sz="4" w:space="0" w:color="auto"/>
            </w:tcBorders>
            <w:vAlign w:val="center"/>
          </w:tcPr>
          <w:p w14:paraId="675318C8"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µg/kg</w:t>
            </w:r>
          </w:p>
        </w:tc>
        <w:tc>
          <w:tcPr>
            <w:tcW w:w="872" w:type="pct"/>
            <w:tcBorders>
              <w:top w:val="single" w:sz="4" w:space="0" w:color="auto"/>
              <w:bottom w:val="single" w:sz="4" w:space="0" w:color="auto"/>
            </w:tcBorders>
            <w:vAlign w:val="center"/>
          </w:tcPr>
          <w:p w14:paraId="79EA9CED" w14:textId="77777777" w:rsidR="00722A47" w:rsidRPr="00722A47" w:rsidRDefault="00722A47" w:rsidP="00722A47">
            <w:pPr>
              <w:autoSpaceDE w:val="0"/>
              <w:autoSpaceDN w:val="0"/>
              <w:adjustRightInd w:val="0"/>
              <w:spacing w:before="0" w:after="0"/>
              <w:jc w:val="center"/>
              <w:rPr>
                <w:rFonts w:eastAsia="Times New Roman"/>
                <w:snapToGrid w:val="0"/>
                <w:sz w:val="20"/>
                <w:szCs w:val="20"/>
                <w:lang w:eastAsia="de-DE"/>
              </w:rPr>
            </w:pPr>
            <w:r w:rsidRPr="00722A47">
              <w:rPr>
                <w:rFonts w:eastAsia="Times New Roman"/>
                <w:snapToGrid w:val="0"/>
                <w:sz w:val="20"/>
                <w:szCs w:val="20"/>
                <w:lang w:eastAsia="de-DE"/>
              </w:rPr>
              <w:t>10 - &gt;1000</w:t>
            </w:r>
          </w:p>
        </w:tc>
        <w:tc>
          <w:tcPr>
            <w:tcW w:w="782" w:type="pct"/>
            <w:tcBorders>
              <w:bottom w:val="single" w:sz="4" w:space="0" w:color="auto"/>
            </w:tcBorders>
          </w:tcPr>
          <w:p w14:paraId="38931BFF"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DIN EN ISO 23161 (April 2019)</w:t>
            </w:r>
          </w:p>
        </w:tc>
        <w:tc>
          <w:tcPr>
            <w:tcW w:w="1676" w:type="pct"/>
            <w:tcBorders>
              <w:bottom w:val="single" w:sz="4" w:space="0" w:color="auto"/>
              <w:right w:val="single" w:sz="4" w:space="0" w:color="auto"/>
            </w:tcBorders>
          </w:tcPr>
          <w:p w14:paraId="7EA5CEB0" w14:textId="77777777" w:rsidR="00722A47" w:rsidRPr="00722A47" w:rsidRDefault="00722A47" w:rsidP="00722A47">
            <w:pPr>
              <w:autoSpaceDE w:val="0"/>
              <w:autoSpaceDN w:val="0"/>
              <w:adjustRightInd w:val="0"/>
              <w:spacing w:before="0" w:after="0"/>
              <w:jc w:val="left"/>
              <w:rPr>
                <w:rFonts w:eastAsia="Times New Roman"/>
                <w:snapToGrid w:val="0"/>
                <w:sz w:val="20"/>
                <w:szCs w:val="20"/>
                <w:lang w:eastAsia="de-DE"/>
              </w:rPr>
            </w:pPr>
            <w:r w:rsidRPr="00722A47">
              <w:rPr>
                <w:rFonts w:eastAsia="Times New Roman"/>
                <w:snapToGrid w:val="0"/>
                <w:sz w:val="20"/>
                <w:szCs w:val="20"/>
                <w:lang w:eastAsia="de-DE"/>
              </w:rPr>
              <w:t xml:space="preserve">Bodenbeschaffenheit - Bestimmung ausgewählter </w:t>
            </w:r>
            <w:proofErr w:type="spellStart"/>
            <w:r w:rsidRPr="00722A47">
              <w:rPr>
                <w:rFonts w:eastAsia="Times New Roman"/>
                <w:snapToGrid w:val="0"/>
                <w:sz w:val="20"/>
                <w:szCs w:val="20"/>
                <w:lang w:eastAsia="de-DE"/>
              </w:rPr>
              <w:t>Organozinnverbindungen</w:t>
            </w:r>
            <w:proofErr w:type="spellEnd"/>
            <w:r w:rsidRPr="00722A47">
              <w:rPr>
                <w:rFonts w:eastAsia="Times New Roman"/>
                <w:snapToGrid w:val="0"/>
                <w:sz w:val="20"/>
                <w:szCs w:val="20"/>
                <w:lang w:eastAsia="de-DE"/>
              </w:rPr>
              <w:t xml:space="preserve"> - Gaschromatographisches Verfahren</w:t>
            </w:r>
          </w:p>
        </w:tc>
      </w:tr>
    </w:tbl>
    <w:p w14:paraId="5C776E4E" w14:textId="77777777" w:rsidR="00722A47" w:rsidRDefault="00722A47" w:rsidP="00722A47">
      <w:pPr>
        <w:sectPr w:rsidR="00722A47" w:rsidSect="007947FE">
          <w:pgSz w:w="11907" w:h="16839"/>
          <w:pgMar w:top="1134" w:right="1417" w:bottom="1134" w:left="1701" w:header="709" w:footer="709" w:gutter="0"/>
          <w:cols w:space="708"/>
          <w:docGrid w:linePitch="360"/>
        </w:sectPr>
      </w:pPr>
    </w:p>
    <w:p w14:paraId="6CCF7B4D" w14:textId="77777777" w:rsidR="00722A47" w:rsidRPr="00722A47" w:rsidRDefault="00722A47" w:rsidP="00722A47">
      <w:pPr>
        <w:pStyle w:val="AnlageBezeichnernummeriert"/>
      </w:pPr>
    </w:p>
    <w:p w14:paraId="6EBA386C" w14:textId="77777777" w:rsidR="00722A47" w:rsidRPr="00722A47" w:rsidRDefault="00722A47" w:rsidP="00722A47">
      <w:pPr>
        <w:pStyle w:val="AnlageVerweis"/>
      </w:pPr>
      <w:r w:rsidRPr="008D0377">
        <w:t>(zu § 10 Absatz 3 Satz 3)</w:t>
      </w:r>
    </w:p>
    <w:p w14:paraId="79138662" w14:textId="77777777" w:rsidR="00722A47" w:rsidRPr="00722A47" w:rsidRDefault="00722A47" w:rsidP="00722A47">
      <w:pPr>
        <w:pStyle w:val="Anlageberschrift"/>
      </w:pPr>
      <w:bookmarkStart w:id="51" w:name="_Toc64380070"/>
      <w:r w:rsidRPr="008D0377">
        <w:t>Zulässige Überschreitungen</w:t>
      </w:r>
      <w:bookmarkEnd w:id="51"/>
    </w:p>
    <w:p w14:paraId="7D17673E" w14:textId="77777777" w:rsidR="00722A47" w:rsidRPr="00722A47" w:rsidRDefault="00722A47" w:rsidP="00722A47">
      <w:pPr>
        <w:spacing w:before="0" w:after="0"/>
        <w:ind w:left="227" w:hanging="227"/>
        <w:jc w:val="left"/>
        <w:rPr>
          <w:rFonts w:eastAsia="Times New Roman"/>
          <w:b/>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373"/>
        <w:gridCol w:w="1956"/>
        <w:gridCol w:w="2648"/>
      </w:tblGrid>
      <w:tr w:rsidR="00722A47" w:rsidRPr="00722A47" w14:paraId="11272A81" w14:textId="77777777" w:rsidTr="004954C9">
        <w:tc>
          <w:tcPr>
            <w:tcW w:w="2802" w:type="dxa"/>
            <w:shd w:val="clear" w:color="auto" w:fill="auto"/>
            <w:vAlign w:val="center"/>
          </w:tcPr>
          <w:p w14:paraId="05E0A94B" w14:textId="77777777" w:rsidR="00722A47" w:rsidRPr="00722A47" w:rsidRDefault="00722A47" w:rsidP="00722A47">
            <w:pPr>
              <w:spacing w:before="0" w:after="0"/>
              <w:jc w:val="center"/>
              <w:rPr>
                <w:rFonts w:eastAsia="Times New Roman"/>
                <w:b/>
                <w:bCs/>
                <w:lang w:eastAsia="de-DE"/>
              </w:rPr>
            </w:pPr>
            <w:r w:rsidRPr="00722A47">
              <w:rPr>
                <w:rFonts w:eastAsia="Times New Roman"/>
                <w:b/>
                <w:bCs/>
                <w:lang w:eastAsia="de-DE"/>
              </w:rPr>
              <w:t>Parameter</w:t>
            </w:r>
          </w:p>
        </w:tc>
        <w:tc>
          <w:tcPr>
            <w:tcW w:w="1373" w:type="dxa"/>
            <w:shd w:val="clear" w:color="auto" w:fill="auto"/>
            <w:vAlign w:val="center"/>
          </w:tcPr>
          <w:p w14:paraId="16CB47CA" w14:textId="77777777" w:rsidR="00722A47" w:rsidRPr="00722A47" w:rsidRDefault="00722A47" w:rsidP="00722A47">
            <w:pPr>
              <w:spacing w:before="0" w:after="0"/>
              <w:jc w:val="center"/>
              <w:rPr>
                <w:rFonts w:eastAsia="Times New Roman"/>
                <w:b/>
                <w:bCs/>
                <w:lang w:eastAsia="de-DE"/>
              </w:rPr>
            </w:pPr>
            <w:r w:rsidRPr="00722A47">
              <w:rPr>
                <w:rFonts w:eastAsia="Times New Roman"/>
                <w:b/>
                <w:bCs/>
                <w:lang w:eastAsia="de-DE"/>
              </w:rPr>
              <w:t>Dim.</w:t>
            </w:r>
          </w:p>
        </w:tc>
        <w:tc>
          <w:tcPr>
            <w:tcW w:w="0" w:type="auto"/>
            <w:shd w:val="clear" w:color="auto" w:fill="auto"/>
            <w:vAlign w:val="center"/>
          </w:tcPr>
          <w:p w14:paraId="0F8DC3F0" w14:textId="77777777" w:rsidR="00722A47" w:rsidRPr="00722A47" w:rsidRDefault="00722A47" w:rsidP="00722A47">
            <w:pPr>
              <w:spacing w:before="0" w:after="0"/>
              <w:jc w:val="center"/>
              <w:rPr>
                <w:rFonts w:eastAsia="Times New Roman"/>
                <w:b/>
                <w:bCs/>
                <w:lang w:eastAsia="de-DE"/>
              </w:rPr>
            </w:pPr>
            <w:r w:rsidRPr="00722A47">
              <w:rPr>
                <w:rFonts w:eastAsia="Times New Roman"/>
                <w:b/>
                <w:bCs/>
                <w:lang w:eastAsia="de-DE"/>
              </w:rPr>
              <w:t>Bestimmungsbereich</w:t>
            </w:r>
          </w:p>
        </w:tc>
        <w:tc>
          <w:tcPr>
            <w:tcW w:w="0" w:type="auto"/>
            <w:shd w:val="clear" w:color="auto" w:fill="auto"/>
            <w:vAlign w:val="center"/>
          </w:tcPr>
          <w:p w14:paraId="4CA28077" w14:textId="77777777" w:rsidR="00722A47" w:rsidRPr="00722A47" w:rsidRDefault="00722A47" w:rsidP="00722A47">
            <w:pPr>
              <w:spacing w:before="0" w:after="0"/>
              <w:jc w:val="center"/>
              <w:rPr>
                <w:rFonts w:eastAsia="Times New Roman"/>
                <w:b/>
                <w:bCs/>
                <w:lang w:eastAsia="de-DE"/>
              </w:rPr>
            </w:pPr>
            <w:r w:rsidRPr="00722A47">
              <w:rPr>
                <w:rFonts w:eastAsia="Times New Roman"/>
                <w:b/>
                <w:bCs/>
                <w:lang w:eastAsia="de-DE"/>
              </w:rPr>
              <w:t>zulässige Überschreitung in %</w:t>
            </w:r>
          </w:p>
        </w:tc>
      </w:tr>
      <w:tr w:rsidR="00722A47" w:rsidRPr="00722A47" w14:paraId="5514AF3F" w14:textId="77777777" w:rsidTr="004954C9">
        <w:tc>
          <w:tcPr>
            <w:tcW w:w="2802" w:type="dxa"/>
            <w:shd w:val="clear" w:color="auto" w:fill="auto"/>
            <w:vAlign w:val="center"/>
          </w:tcPr>
          <w:p w14:paraId="26963F1A" w14:textId="77777777" w:rsidR="00722A47" w:rsidRPr="00722A47" w:rsidRDefault="00722A47" w:rsidP="00722A47">
            <w:pPr>
              <w:spacing w:before="0" w:after="0"/>
              <w:jc w:val="left"/>
              <w:rPr>
                <w:rFonts w:eastAsia="Times New Roman"/>
                <w:b/>
                <w:bCs/>
                <w:lang w:eastAsia="de-DE"/>
              </w:rPr>
            </w:pPr>
            <w:r w:rsidRPr="00722A47">
              <w:rPr>
                <w:rFonts w:eastAsia="Times New Roman"/>
                <w:b/>
                <w:bCs/>
                <w:lang w:eastAsia="de-DE"/>
              </w:rPr>
              <w:t>Chlorid, Sulfat, Fluorid jeweils</w:t>
            </w:r>
          </w:p>
        </w:tc>
        <w:tc>
          <w:tcPr>
            <w:tcW w:w="1373" w:type="dxa"/>
            <w:shd w:val="clear" w:color="auto" w:fill="auto"/>
            <w:vAlign w:val="bottom"/>
          </w:tcPr>
          <w:p w14:paraId="6CFF90AC"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mg/l</w:t>
            </w:r>
          </w:p>
        </w:tc>
        <w:tc>
          <w:tcPr>
            <w:tcW w:w="0" w:type="auto"/>
            <w:shd w:val="clear" w:color="auto" w:fill="auto"/>
            <w:vAlign w:val="center"/>
          </w:tcPr>
          <w:p w14:paraId="235E1A96" w14:textId="77777777" w:rsidR="00722A47" w:rsidRPr="00722A47" w:rsidRDefault="00722A47" w:rsidP="00722A47">
            <w:pPr>
              <w:spacing w:before="0" w:after="0"/>
              <w:jc w:val="center"/>
              <w:rPr>
                <w:rFonts w:eastAsia="Times New Roman"/>
                <w:bCs/>
                <w:lang w:eastAsia="de-DE"/>
              </w:rPr>
            </w:pPr>
          </w:p>
        </w:tc>
        <w:tc>
          <w:tcPr>
            <w:tcW w:w="0" w:type="auto"/>
            <w:shd w:val="clear" w:color="auto" w:fill="auto"/>
            <w:vAlign w:val="center"/>
          </w:tcPr>
          <w:p w14:paraId="6C2EA8F5"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25</w:t>
            </w:r>
          </w:p>
        </w:tc>
      </w:tr>
      <w:tr w:rsidR="00722A47" w:rsidRPr="00722A47" w14:paraId="192DE8BD" w14:textId="77777777" w:rsidTr="004954C9">
        <w:tc>
          <w:tcPr>
            <w:tcW w:w="2802" w:type="dxa"/>
            <w:shd w:val="clear" w:color="auto" w:fill="auto"/>
            <w:vAlign w:val="center"/>
          </w:tcPr>
          <w:p w14:paraId="1593E1A0" w14:textId="77777777" w:rsidR="00722A47" w:rsidRPr="00722A47" w:rsidRDefault="00722A47" w:rsidP="00722A47">
            <w:pPr>
              <w:spacing w:before="0" w:after="0"/>
              <w:jc w:val="left"/>
              <w:rPr>
                <w:rFonts w:eastAsia="Times New Roman"/>
                <w:b/>
                <w:bCs/>
                <w:lang w:eastAsia="de-DE"/>
              </w:rPr>
            </w:pPr>
            <w:r w:rsidRPr="00722A47">
              <w:rPr>
                <w:rFonts w:eastAsia="Times New Roman"/>
                <w:b/>
                <w:bCs/>
                <w:lang w:eastAsia="de-DE"/>
              </w:rPr>
              <w:t>DOC</w:t>
            </w:r>
          </w:p>
        </w:tc>
        <w:tc>
          <w:tcPr>
            <w:tcW w:w="1373" w:type="dxa"/>
            <w:shd w:val="clear" w:color="auto" w:fill="auto"/>
            <w:vAlign w:val="bottom"/>
          </w:tcPr>
          <w:p w14:paraId="65437384"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mg/l</w:t>
            </w:r>
          </w:p>
        </w:tc>
        <w:tc>
          <w:tcPr>
            <w:tcW w:w="0" w:type="auto"/>
            <w:shd w:val="clear" w:color="auto" w:fill="auto"/>
            <w:vAlign w:val="center"/>
          </w:tcPr>
          <w:p w14:paraId="67B3783A" w14:textId="77777777" w:rsidR="00722A47" w:rsidRPr="00722A47" w:rsidRDefault="00722A47" w:rsidP="00722A47">
            <w:pPr>
              <w:spacing w:before="0" w:after="0"/>
              <w:jc w:val="center"/>
              <w:rPr>
                <w:rFonts w:eastAsia="Times New Roman"/>
                <w:bCs/>
                <w:lang w:eastAsia="de-DE"/>
              </w:rPr>
            </w:pPr>
          </w:p>
        </w:tc>
        <w:tc>
          <w:tcPr>
            <w:tcW w:w="0" w:type="auto"/>
            <w:shd w:val="clear" w:color="auto" w:fill="auto"/>
            <w:vAlign w:val="center"/>
          </w:tcPr>
          <w:p w14:paraId="6B182AC6"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0</w:t>
            </w:r>
          </w:p>
        </w:tc>
      </w:tr>
      <w:tr w:rsidR="00722A47" w:rsidRPr="00722A47" w14:paraId="6D052159" w14:textId="77777777" w:rsidTr="004954C9">
        <w:tc>
          <w:tcPr>
            <w:tcW w:w="2802" w:type="dxa"/>
            <w:vMerge w:val="restart"/>
            <w:shd w:val="clear" w:color="auto" w:fill="auto"/>
            <w:vAlign w:val="center"/>
          </w:tcPr>
          <w:p w14:paraId="1146696A" w14:textId="77777777" w:rsidR="00722A47" w:rsidRPr="00722A47" w:rsidRDefault="00722A47" w:rsidP="00722A47">
            <w:pPr>
              <w:spacing w:before="0" w:after="0"/>
              <w:jc w:val="left"/>
              <w:rPr>
                <w:rFonts w:eastAsia="Times New Roman"/>
                <w:b/>
                <w:bCs/>
                <w:lang w:eastAsia="de-DE"/>
              </w:rPr>
            </w:pPr>
            <w:r w:rsidRPr="00722A47">
              <w:rPr>
                <w:rFonts w:eastAsia="Times New Roman"/>
                <w:b/>
                <w:bCs/>
                <w:lang w:eastAsia="de-DE"/>
              </w:rPr>
              <w:t>PAK</w:t>
            </w:r>
          </w:p>
        </w:tc>
        <w:tc>
          <w:tcPr>
            <w:tcW w:w="1373" w:type="dxa"/>
            <w:vMerge w:val="restart"/>
            <w:shd w:val="clear" w:color="auto" w:fill="auto"/>
            <w:vAlign w:val="bottom"/>
          </w:tcPr>
          <w:p w14:paraId="5546B750"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µg/l</w:t>
            </w:r>
          </w:p>
          <w:p w14:paraId="14F34D8F"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mg/kg</w:t>
            </w:r>
          </w:p>
        </w:tc>
        <w:tc>
          <w:tcPr>
            <w:tcW w:w="0" w:type="auto"/>
            <w:vMerge w:val="restart"/>
            <w:shd w:val="clear" w:color="auto" w:fill="auto"/>
            <w:vAlign w:val="center"/>
          </w:tcPr>
          <w:p w14:paraId="54F32417"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≤20</w:t>
            </w:r>
          </w:p>
        </w:tc>
        <w:tc>
          <w:tcPr>
            <w:tcW w:w="0" w:type="auto"/>
            <w:shd w:val="clear" w:color="auto" w:fill="auto"/>
            <w:vAlign w:val="center"/>
          </w:tcPr>
          <w:p w14:paraId="0EBC6897"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65</w:t>
            </w:r>
          </w:p>
        </w:tc>
      </w:tr>
      <w:tr w:rsidR="00722A47" w:rsidRPr="00722A47" w14:paraId="4701D885" w14:textId="77777777" w:rsidTr="004954C9">
        <w:tc>
          <w:tcPr>
            <w:tcW w:w="2802" w:type="dxa"/>
            <w:vMerge/>
            <w:shd w:val="clear" w:color="auto" w:fill="auto"/>
            <w:vAlign w:val="center"/>
          </w:tcPr>
          <w:p w14:paraId="78DD51E2" w14:textId="77777777" w:rsidR="00722A47" w:rsidRPr="00722A47" w:rsidRDefault="00722A47" w:rsidP="00722A47">
            <w:pPr>
              <w:spacing w:before="0" w:after="0"/>
              <w:jc w:val="left"/>
              <w:rPr>
                <w:rFonts w:eastAsia="Times New Roman"/>
                <w:b/>
                <w:bCs/>
                <w:lang w:eastAsia="de-DE"/>
              </w:rPr>
            </w:pPr>
          </w:p>
        </w:tc>
        <w:tc>
          <w:tcPr>
            <w:tcW w:w="1373" w:type="dxa"/>
            <w:vMerge/>
            <w:shd w:val="clear" w:color="auto" w:fill="auto"/>
            <w:vAlign w:val="bottom"/>
          </w:tcPr>
          <w:p w14:paraId="5D9B435C" w14:textId="77777777" w:rsidR="00722A47" w:rsidRPr="00722A47" w:rsidRDefault="00722A47" w:rsidP="00722A47">
            <w:pPr>
              <w:spacing w:before="0" w:after="0"/>
              <w:jc w:val="center"/>
              <w:rPr>
                <w:rFonts w:eastAsia="Times New Roman"/>
                <w:bCs/>
                <w:lang w:eastAsia="de-DE"/>
              </w:rPr>
            </w:pPr>
          </w:p>
        </w:tc>
        <w:tc>
          <w:tcPr>
            <w:tcW w:w="0" w:type="auto"/>
            <w:vMerge/>
            <w:shd w:val="clear" w:color="auto" w:fill="auto"/>
            <w:vAlign w:val="center"/>
          </w:tcPr>
          <w:p w14:paraId="28740ECB" w14:textId="77777777" w:rsidR="00722A47" w:rsidRPr="00722A47" w:rsidRDefault="00722A47" w:rsidP="00722A47">
            <w:pPr>
              <w:spacing w:before="0" w:after="0"/>
              <w:jc w:val="center"/>
              <w:rPr>
                <w:rFonts w:eastAsia="Times New Roman"/>
                <w:bCs/>
                <w:lang w:eastAsia="de-DE"/>
              </w:rPr>
            </w:pPr>
          </w:p>
        </w:tc>
        <w:tc>
          <w:tcPr>
            <w:tcW w:w="0" w:type="auto"/>
            <w:shd w:val="clear" w:color="auto" w:fill="auto"/>
            <w:vAlign w:val="center"/>
          </w:tcPr>
          <w:p w14:paraId="07684A95"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40</w:t>
            </w:r>
          </w:p>
        </w:tc>
      </w:tr>
      <w:tr w:rsidR="00722A47" w:rsidRPr="00722A47" w14:paraId="28F576D6" w14:textId="77777777" w:rsidTr="004954C9">
        <w:tc>
          <w:tcPr>
            <w:tcW w:w="2802" w:type="dxa"/>
            <w:vMerge/>
            <w:shd w:val="clear" w:color="auto" w:fill="auto"/>
            <w:vAlign w:val="center"/>
          </w:tcPr>
          <w:p w14:paraId="2CDC4E78" w14:textId="77777777" w:rsidR="00722A47" w:rsidRPr="00722A47" w:rsidRDefault="00722A47" w:rsidP="00722A47">
            <w:pPr>
              <w:spacing w:before="0" w:after="0"/>
              <w:jc w:val="left"/>
              <w:rPr>
                <w:rFonts w:eastAsia="Times New Roman"/>
                <w:b/>
                <w:bCs/>
                <w:lang w:eastAsia="de-DE"/>
              </w:rPr>
            </w:pPr>
          </w:p>
        </w:tc>
        <w:tc>
          <w:tcPr>
            <w:tcW w:w="1373" w:type="dxa"/>
            <w:shd w:val="clear" w:color="auto" w:fill="auto"/>
            <w:vAlign w:val="bottom"/>
          </w:tcPr>
          <w:p w14:paraId="1ABB1781"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mg/kg</w:t>
            </w:r>
          </w:p>
        </w:tc>
        <w:tc>
          <w:tcPr>
            <w:tcW w:w="0" w:type="auto"/>
            <w:shd w:val="clear" w:color="auto" w:fill="auto"/>
            <w:vAlign w:val="center"/>
          </w:tcPr>
          <w:p w14:paraId="16817566"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&gt;20</w:t>
            </w:r>
          </w:p>
        </w:tc>
        <w:tc>
          <w:tcPr>
            <w:tcW w:w="0" w:type="auto"/>
            <w:shd w:val="clear" w:color="auto" w:fill="auto"/>
            <w:vAlign w:val="center"/>
          </w:tcPr>
          <w:p w14:paraId="7F81931B"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20</w:t>
            </w:r>
          </w:p>
        </w:tc>
      </w:tr>
      <w:tr w:rsidR="00722A47" w:rsidRPr="00722A47" w14:paraId="4E457987" w14:textId="77777777" w:rsidTr="004954C9">
        <w:tc>
          <w:tcPr>
            <w:tcW w:w="2802" w:type="dxa"/>
            <w:shd w:val="clear" w:color="auto" w:fill="auto"/>
            <w:vAlign w:val="center"/>
          </w:tcPr>
          <w:p w14:paraId="6BDCA550" w14:textId="77777777" w:rsidR="00722A47" w:rsidRPr="00722A47" w:rsidRDefault="00722A47" w:rsidP="00722A47">
            <w:pPr>
              <w:spacing w:before="0" w:after="0"/>
              <w:jc w:val="left"/>
              <w:rPr>
                <w:rFonts w:eastAsia="Times New Roman"/>
                <w:b/>
                <w:bCs/>
                <w:lang w:eastAsia="de-DE"/>
              </w:rPr>
            </w:pPr>
            <w:r w:rsidRPr="00722A47">
              <w:rPr>
                <w:rFonts w:eastAsia="Times New Roman"/>
                <w:b/>
                <w:bCs/>
                <w:lang w:eastAsia="de-DE"/>
              </w:rPr>
              <w:t>Chlorbenzole</w:t>
            </w:r>
          </w:p>
        </w:tc>
        <w:tc>
          <w:tcPr>
            <w:tcW w:w="1373" w:type="dxa"/>
            <w:shd w:val="clear" w:color="auto" w:fill="auto"/>
            <w:vAlign w:val="bottom"/>
          </w:tcPr>
          <w:p w14:paraId="0ABEE966"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µg/l</w:t>
            </w:r>
          </w:p>
        </w:tc>
        <w:tc>
          <w:tcPr>
            <w:tcW w:w="0" w:type="auto"/>
            <w:shd w:val="clear" w:color="auto" w:fill="auto"/>
            <w:vAlign w:val="center"/>
          </w:tcPr>
          <w:p w14:paraId="590CA0EE" w14:textId="77777777" w:rsidR="00722A47" w:rsidRPr="00722A47" w:rsidRDefault="00722A47" w:rsidP="00722A47">
            <w:pPr>
              <w:spacing w:before="0" w:after="0"/>
              <w:jc w:val="center"/>
              <w:rPr>
                <w:rFonts w:eastAsia="Times New Roman"/>
                <w:bCs/>
                <w:lang w:eastAsia="de-DE"/>
              </w:rPr>
            </w:pPr>
          </w:p>
        </w:tc>
        <w:tc>
          <w:tcPr>
            <w:tcW w:w="0" w:type="auto"/>
            <w:shd w:val="clear" w:color="auto" w:fill="auto"/>
            <w:vAlign w:val="center"/>
          </w:tcPr>
          <w:p w14:paraId="5486B11D"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20</w:t>
            </w:r>
          </w:p>
        </w:tc>
      </w:tr>
      <w:tr w:rsidR="00722A47" w:rsidRPr="00722A47" w14:paraId="4154FE2D" w14:textId="77777777" w:rsidTr="004954C9">
        <w:tc>
          <w:tcPr>
            <w:tcW w:w="2802" w:type="dxa"/>
            <w:shd w:val="clear" w:color="auto" w:fill="auto"/>
            <w:vAlign w:val="center"/>
          </w:tcPr>
          <w:p w14:paraId="5A5421A2" w14:textId="77777777" w:rsidR="00722A47" w:rsidRPr="00722A47" w:rsidRDefault="00722A47" w:rsidP="00722A47">
            <w:pPr>
              <w:spacing w:before="0" w:after="0"/>
              <w:jc w:val="left"/>
              <w:rPr>
                <w:rFonts w:eastAsia="Times New Roman"/>
                <w:b/>
                <w:bCs/>
                <w:lang w:eastAsia="de-DE"/>
              </w:rPr>
            </w:pPr>
            <w:r w:rsidRPr="00722A47">
              <w:rPr>
                <w:rFonts w:eastAsia="Times New Roman"/>
                <w:b/>
                <w:bCs/>
                <w:lang w:eastAsia="de-DE"/>
              </w:rPr>
              <w:t>Chlorphenole</w:t>
            </w:r>
          </w:p>
        </w:tc>
        <w:tc>
          <w:tcPr>
            <w:tcW w:w="1373" w:type="dxa"/>
            <w:shd w:val="clear" w:color="auto" w:fill="auto"/>
            <w:vAlign w:val="bottom"/>
          </w:tcPr>
          <w:p w14:paraId="689B2BC6"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µg/l</w:t>
            </w:r>
          </w:p>
        </w:tc>
        <w:tc>
          <w:tcPr>
            <w:tcW w:w="0" w:type="auto"/>
            <w:shd w:val="clear" w:color="auto" w:fill="auto"/>
            <w:vAlign w:val="center"/>
          </w:tcPr>
          <w:p w14:paraId="23EB48A9" w14:textId="77777777" w:rsidR="00722A47" w:rsidRPr="00722A47" w:rsidRDefault="00722A47" w:rsidP="00722A47">
            <w:pPr>
              <w:spacing w:before="0" w:after="0"/>
              <w:jc w:val="center"/>
              <w:rPr>
                <w:rFonts w:eastAsia="Times New Roman"/>
                <w:bCs/>
                <w:lang w:eastAsia="de-DE"/>
              </w:rPr>
            </w:pPr>
          </w:p>
        </w:tc>
        <w:tc>
          <w:tcPr>
            <w:tcW w:w="0" w:type="auto"/>
            <w:shd w:val="clear" w:color="auto" w:fill="auto"/>
            <w:vAlign w:val="center"/>
          </w:tcPr>
          <w:p w14:paraId="144F4D4B"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20</w:t>
            </w:r>
          </w:p>
        </w:tc>
      </w:tr>
      <w:tr w:rsidR="00722A47" w:rsidRPr="00722A47" w14:paraId="1AF45E84" w14:textId="77777777" w:rsidTr="004954C9">
        <w:tc>
          <w:tcPr>
            <w:tcW w:w="2802" w:type="dxa"/>
            <w:shd w:val="clear" w:color="auto" w:fill="auto"/>
            <w:vAlign w:val="center"/>
          </w:tcPr>
          <w:p w14:paraId="74A7EC92" w14:textId="77777777" w:rsidR="00722A47" w:rsidRPr="00722A47" w:rsidRDefault="00722A47" w:rsidP="00722A47">
            <w:pPr>
              <w:spacing w:before="0" w:after="0"/>
              <w:jc w:val="left"/>
              <w:rPr>
                <w:rFonts w:eastAsia="Times New Roman"/>
                <w:b/>
                <w:bCs/>
                <w:lang w:eastAsia="de-DE"/>
              </w:rPr>
            </w:pPr>
            <w:r w:rsidRPr="00722A47">
              <w:rPr>
                <w:rFonts w:eastAsia="Times New Roman"/>
                <w:b/>
                <w:bCs/>
                <w:lang w:eastAsia="de-DE"/>
              </w:rPr>
              <w:t>Hexachlorbenzol</w:t>
            </w:r>
          </w:p>
        </w:tc>
        <w:tc>
          <w:tcPr>
            <w:tcW w:w="1373" w:type="dxa"/>
            <w:shd w:val="clear" w:color="auto" w:fill="auto"/>
            <w:vAlign w:val="bottom"/>
          </w:tcPr>
          <w:p w14:paraId="692B9047"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µg/l</w:t>
            </w:r>
          </w:p>
        </w:tc>
        <w:tc>
          <w:tcPr>
            <w:tcW w:w="0" w:type="auto"/>
            <w:shd w:val="clear" w:color="auto" w:fill="auto"/>
            <w:vAlign w:val="center"/>
          </w:tcPr>
          <w:p w14:paraId="474ADBB8" w14:textId="77777777" w:rsidR="00722A47" w:rsidRPr="00722A47" w:rsidRDefault="00722A47" w:rsidP="00722A47">
            <w:pPr>
              <w:spacing w:before="0" w:after="0"/>
              <w:jc w:val="center"/>
              <w:rPr>
                <w:rFonts w:eastAsia="Times New Roman"/>
                <w:b/>
                <w:bCs/>
                <w:lang w:eastAsia="de-DE"/>
              </w:rPr>
            </w:pPr>
          </w:p>
        </w:tc>
        <w:tc>
          <w:tcPr>
            <w:tcW w:w="0" w:type="auto"/>
            <w:shd w:val="clear" w:color="auto" w:fill="auto"/>
            <w:vAlign w:val="center"/>
          </w:tcPr>
          <w:p w14:paraId="1DDBF936"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20</w:t>
            </w:r>
          </w:p>
        </w:tc>
      </w:tr>
      <w:tr w:rsidR="00722A47" w:rsidRPr="00722A47" w14:paraId="2B0B12B4" w14:textId="77777777" w:rsidTr="004954C9">
        <w:tc>
          <w:tcPr>
            <w:tcW w:w="2802" w:type="dxa"/>
            <w:shd w:val="clear" w:color="auto" w:fill="auto"/>
            <w:vAlign w:val="center"/>
          </w:tcPr>
          <w:p w14:paraId="2BDAB5E3" w14:textId="77777777" w:rsidR="00722A47" w:rsidRPr="00722A47" w:rsidRDefault="00722A47" w:rsidP="00722A47">
            <w:pPr>
              <w:spacing w:before="0" w:after="0"/>
              <w:jc w:val="left"/>
              <w:rPr>
                <w:rFonts w:eastAsia="Times New Roman"/>
                <w:b/>
                <w:bCs/>
                <w:lang w:eastAsia="de-DE"/>
              </w:rPr>
            </w:pPr>
            <w:r w:rsidRPr="00722A47">
              <w:rPr>
                <w:rFonts w:eastAsia="Times New Roman"/>
                <w:b/>
                <w:bCs/>
                <w:lang w:eastAsia="de-DE"/>
              </w:rPr>
              <w:t>Phenole (H16)</w:t>
            </w:r>
          </w:p>
        </w:tc>
        <w:tc>
          <w:tcPr>
            <w:tcW w:w="1373" w:type="dxa"/>
            <w:shd w:val="clear" w:color="auto" w:fill="auto"/>
            <w:vAlign w:val="bottom"/>
          </w:tcPr>
          <w:p w14:paraId="00808755"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µg/l</w:t>
            </w:r>
          </w:p>
        </w:tc>
        <w:tc>
          <w:tcPr>
            <w:tcW w:w="0" w:type="auto"/>
            <w:shd w:val="clear" w:color="auto" w:fill="auto"/>
            <w:vAlign w:val="center"/>
          </w:tcPr>
          <w:p w14:paraId="5DD46E64" w14:textId="77777777" w:rsidR="00722A47" w:rsidRPr="00722A47" w:rsidRDefault="00722A47" w:rsidP="00722A47">
            <w:pPr>
              <w:spacing w:before="0" w:after="0"/>
              <w:jc w:val="center"/>
              <w:rPr>
                <w:rFonts w:eastAsia="Times New Roman"/>
                <w:b/>
                <w:bCs/>
                <w:lang w:eastAsia="de-DE"/>
              </w:rPr>
            </w:pPr>
          </w:p>
        </w:tc>
        <w:tc>
          <w:tcPr>
            <w:tcW w:w="0" w:type="auto"/>
            <w:shd w:val="clear" w:color="auto" w:fill="auto"/>
            <w:vAlign w:val="center"/>
          </w:tcPr>
          <w:p w14:paraId="399BDA1B"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20</w:t>
            </w:r>
          </w:p>
        </w:tc>
      </w:tr>
      <w:tr w:rsidR="00722A47" w:rsidRPr="00722A47" w14:paraId="6A7581DB" w14:textId="77777777" w:rsidTr="004954C9">
        <w:tc>
          <w:tcPr>
            <w:tcW w:w="2802" w:type="dxa"/>
            <w:shd w:val="clear" w:color="auto" w:fill="auto"/>
            <w:vAlign w:val="center"/>
          </w:tcPr>
          <w:p w14:paraId="62D95583" w14:textId="77777777" w:rsidR="00722A47" w:rsidRPr="00722A47" w:rsidRDefault="00722A47" w:rsidP="00722A47">
            <w:pPr>
              <w:spacing w:before="0" w:after="0"/>
              <w:jc w:val="left"/>
              <w:rPr>
                <w:rFonts w:eastAsia="Times New Roman"/>
                <w:b/>
                <w:bCs/>
                <w:lang w:eastAsia="de-DE"/>
              </w:rPr>
            </w:pPr>
            <w:r w:rsidRPr="00722A47">
              <w:rPr>
                <w:rFonts w:eastAsia="Times New Roman"/>
                <w:b/>
                <w:bCs/>
                <w:lang w:eastAsia="de-DE"/>
              </w:rPr>
              <w:t>Phenolindex</w:t>
            </w:r>
          </w:p>
        </w:tc>
        <w:tc>
          <w:tcPr>
            <w:tcW w:w="1373" w:type="dxa"/>
            <w:shd w:val="clear" w:color="auto" w:fill="auto"/>
            <w:vAlign w:val="bottom"/>
          </w:tcPr>
          <w:p w14:paraId="46B25F6D"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µg/l</w:t>
            </w:r>
          </w:p>
        </w:tc>
        <w:tc>
          <w:tcPr>
            <w:tcW w:w="0" w:type="auto"/>
            <w:shd w:val="clear" w:color="auto" w:fill="auto"/>
            <w:vAlign w:val="center"/>
          </w:tcPr>
          <w:p w14:paraId="4403B476" w14:textId="77777777" w:rsidR="00722A47" w:rsidRPr="00722A47" w:rsidRDefault="00722A47" w:rsidP="00722A47">
            <w:pPr>
              <w:spacing w:before="0" w:after="0"/>
              <w:jc w:val="center"/>
              <w:rPr>
                <w:rFonts w:eastAsia="Times New Roman"/>
                <w:b/>
                <w:bCs/>
                <w:lang w:eastAsia="de-DE"/>
              </w:rPr>
            </w:pPr>
          </w:p>
        </w:tc>
        <w:tc>
          <w:tcPr>
            <w:tcW w:w="0" w:type="auto"/>
            <w:shd w:val="clear" w:color="auto" w:fill="auto"/>
            <w:vAlign w:val="center"/>
          </w:tcPr>
          <w:p w14:paraId="5D2EE0DE"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50</w:t>
            </w:r>
          </w:p>
        </w:tc>
      </w:tr>
      <w:tr w:rsidR="00722A47" w:rsidRPr="00722A47" w14:paraId="24F59D85" w14:textId="77777777" w:rsidTr="004954C9">
        <w:tc>
          <w:tcPr>
            <w:tcW w:w="2802" w:type="dxa"/>
            <w:vMerge w:val="restart"/>
            <w:shd w:val="clear" w:color="auto" w:fill="auto"/>
            <w:vAlign w:val="center"/>
          </w:tcPr>
          <w:p w14:paraId="3903AD43" w14:textId="77777777" w:rsidR="00722A47" w:rsidRPr="00722A47" w:rsidRDefault="00722A47" w:rsidP="00722A47">
            <w:pPr>
              <w:spacing w:before="0" w:after="0"/>
              <w:jc w:val="left"/>
              <w:rPr>
                <w:rFonts w:eastAsia="Times New Roman"/>
                <w:b/>
                <w:bCs/>
                <w:lang w:eastAsia="de-DE"/>
              </w:rPr>
            </w:pPr>
            <w:r w:rsidRPr="00722A47">
              <w:rPr>
                <w:rFonts w:eastAsia="Times New Roman"/>
                <w:b/>
                <w:bCs/>
                <w:lang w:eastAsia="de-DE"/>
              </w:rPr>
              <w:t>Metalle</w:t>
            </w:r>
          </w:p>
        </w:tc>
        <w:tc>
          <w:tcPr>
            <w:tcW w:w="1373" w:type="dxa"/>
            <w:shd w:val="clear" w:color="auto" w:fill="auto"/>
            <w:vAlign w:val="bottom"/>
          </w:tcPr>
          <w:p w14:paraId="5D1AC319"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µg/l</w:t>
            </w:r>
          </w:p>
        </w:tc>
        <w:tc>
          <w:tcPr>
            <w:tcW w:w="0" w:type="auto"/>
            <w:shd w:val="clear" w:color="auto" w:fill="auto"/>
            <w:vAlign w:val="center"/>
          </w:tcPr>
          <w:p w14:paraId="66BB752A" w14:textId="77777777" w:rsidR="00722A47" w:rsidRPr="00722A47" w:rsidRDefault="00722A47" w:rsidP="00722A47">
            <w:pPr>
              <w:spacing w:before="0" w:after="0"/>
              <w:jc w:val="center"/>
              <w:rPr>
                <w:rFonts w:eastAsia="Times New Roman"/>
                <w:b/>
                <w:bCs/>
                <w:lang w:eastAsia="de-DE"/>
              </w:rPr>
            </w:pPr>
          </w:p>
        </w:tc>
        <w:tc>
          <w:tcPr>
            <w:tcW w:w="0" w:type="auto"/>
            <w:shd w:val="clear" w:color="auto" w:fill="auto"/>
            <w:vAlign w:val="center"/>
          </w:tcPr>
          <w:p w14:paraId="408AB95B"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50</w:t>
            </w:r>
          </w:p>
        </w:tc>
      </w:tr>
      <w:tr w:rsidR="00722A47" w:rsidRPr="00722A47" w14:paraId="5569E246" w14:textId="77777777" w:rsidTr="004954C9">
        <w:tc>
          <w:tcPr>
            <w:tcW w:w="2802" w:type="dxa"/>
            <w:vMerge/>
            <w:shd w:val="clear" w:color="auto" w:fill="auto"/>
            <w:vAlign w:val="center"/>
          </w:tcPr>
          <w:p w14:paraId="7DA8B966" w14:textId="77777777" w:rsidR="00722A47" w:rsidRPr="00722A47" w:rsidRDefault="00722A47" w:rsidP="00722A47">
            <w:pPr>
              <w:spacing w:before="0" w:after="0"/>
              <w:jc w:val="left"/>
              <w:rPr>
                <w:rFonts w:eastAsia="Times New Roman"/>
                <w:b/>
                <w:bCs/>
                <w:lang w:eastAsia="de-DE"/>
              </w:rPr>
            </w:pPr>
          </w:p>
        </w:tc>
        <w:tc>
          <w:tcPr>
            <w:tcW w:w="1373" w:type="dxa"/>
            <w:shd w:val="clear" w:color="auto" w:fill="auto"/>
            <w:vAlign w:val="bottom"/>
          </w:tcPr>
          <w:p w14:paraId="4CDD8633"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mg/kg</w:t>
            </w:r>
          </w:p>
        </w:tc>
        <w:tc>
          <w:tcPr>
            <w:tcW w:w="0" w:type="auto"/>
            <w:shd w:val="clear" w:color="auto" w:fill="auto"/>
            <w:vAlign w:val="center"/>
          </w:tcPr>
          <w:p w14:paraId="69722E03" w14:textId="77777777" w:rsidR="00722A47" w:rsidRPr="00722A47" w:rsidRDefault="00722A47" w:rsidP="00722A47">
            <w:pPr>
              <w:spacing w:before="0" w:after="0"/>
              <w:jc w:val="center"/>
              <w:rPr>
                <w:rFonts w:eastAsia="Times New Roman"/>
                <w:b/>
                <w:bCs/>
                <w:lang w:eastAsia="de-DE"/>
              </w:rPr>
            </w:pPr>
          </w:p>
        </w:tc>
        <w:tc>
          <w:tcPr>
            <w:tcW w:w="0" w:type="auto"/>
            <w:shd w:val="clear" w:color="auto" w:fill="auto"/>
            <w:vAlign w:val="center"/>
          </w:tcPr>
          <w:p w14:paraId="5C5C20F9"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30</w:t>
            </w:r>
          </w:p>
        </w:tc>
      </w:tr>
      <w:tr w:rsidR="00722A47" w:rsidRPr="00722A47" w14:paraId="6C57AF6C" w14:textId="77777777" w:rsidTr="004954C9">
        <w:tc>
          <w:tcPr>
            <w:tcW w:w="2802" w:type="dxa"/>
            <w:shd w:val="clear" w:color="auto" w:fill="auto"/>
            <w:vAlign w:val="center"/>
          </w:tcPr>
          <w:p w14:paraId="5A1A6DE5" w14:textId="77777777" w:rsidR="00722A47" w:rsidRPr="00722A47" w:rsidRDefault="00722A47" w:rsidP="00722A47">
            <w:pPr>
              <w:spacing w:before="0" w:after="0"/>
              <w:jc w:val="left"/>
              <w:rPr>
                <w:rFonts w:eastAsia="Times New Roman"/>
                <w:b/>
                <w:bCs/>
                <w:lang w:eastAsia="de-DE"/>
              </w:rPr>
            </w:pPr>
            <w:r w:rsidRPr="00722A47">
              <w:rPr>
                <w:rFonts w:eastAsia="Times New Roman"/>
                <w:b/>
                <w:bCs/>
                <w:lang w:eastAsia="de-DE"/>
              </w:rPr>
              <w:t>Cyanide</w:t>
            </w:r>
          </w:p>
        </w:tc>
        <w:tc>
          <w:tcPr>
            <w:tcW w:w="1373" w:type="dxa"/>
            <w:shd w:val="clear" w:color="auto" w:fill="auto"/>
            <w:vAlign w:val="bottom"/>
          </w:tcPr>
          <w:p w14:paraId="42F6DB8F"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mg/kg</w:t>
            </w:r>
          </w:p>
        </w:tc>
        <w:tc>
          <w:tcPr>
            <w:tcW w:w="0" w:type="auto"/>
            <w:shd w:val="clear" w:color="auto" w:fill="auto"/>
            <w:vAlign w:val="center"/>
          </w:tcPr>
          <w:p w14:paraId="1351CFF9" w14:textId="77777777" w:rsidR="00722A47" w:rsidRPr="00722A47" w:rsidRDefault="00722A47" w:rsidP="00722A47">
            <w:pPr>
              <w:spacing w:before="0" w:after="0"/>
              <w:jc w:val="center"/>
              <w:rPr>
                <w:rFonts w:eastAsia="Times New Roman"/>
                <w:b/>
                <w:bCs/>
                <w:lang w:eastAsia="de-DE"/>
              </w:rPr>
            </w:pPr>
          </w:p>
        </w:tc>
        <w:tc>
          <w:tcPr>
            <w:tcW w:w="0" w:type="auto"/>
            <w:shd w:val="clear" w:color="auto" w:fill="auto"/>
            <w:vAlign w:val="center"/>
          </w:tcPr>
          <w:p w14:paraId="44A440D3"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30</w:t>
            </w:r>
          </w:p>
        </w:tc>
      </w:tr>
      <w:tr w:rsidR="00722A47" w:rsidRPr="00722A47" w14:paraId="32EF6411" w14:textId="77777777" w:rsidTr="004954C9">
        <w:tc>
          <w:tcPr>
            <w:tcW w:w="2802" w:type="dxa"/>
            <w:shd w:val="clear" w:color="auto" w:fill="auto"/>
            <w:vAlign w:val="center"/>
          </w:tcPr>
          <w:p w14:paraId="7AF1BB17" w14:textId="77777777" w:rsidR="00722A47" w:rsidRPr="00722A47" w:rsidRDefault="00722A47" w:rsidP="00722A47">
            <w:pPr>
              <w:spacing w:before="0" w:after="0"/>
              <w:jc w:val="left"/>
              <w:rPr>
                <w:rFonts w:eastAsia="Times New Roman"/>
                <w:b/>
                <w:bCs/>
                <w:lang w:eastAsia="de-DE"/>
              </w:rPr>
            </w:pPr>
            <w:proofErr w:type="spellStart"/>
            <w:r w:rsidRPr="00722A47">
              <w:rPr>
                <w:rFonts w:eastAsia="Times New Roman"/>
                <w:b/>
                <w:bCs/>
                <w:lang w:eastAsia="de-DE"/>
              </w:rPr>
              <w:t>Tributylzinn</w:t>
            </w:r>
            <w:proofErr w:type="spellEnd"/>
            <w:r w:rsidRPr="00722A47">
              <w:rPr>
                <w:rFonts w:eastAsia="Times New Roman"/>
                <w:b/>
                <w:bCs/>
                <w:lang w:eastAsia="de-DE"/>
              </w:rPr>
              <w:t>-Kation</w:t>
            </w:r>
          </w:p>
        </w:tc>
        <w:tc>
          <w:tcPr>
            <w:tcW w:w="1373" w:type="dxa"/>
            <w:shd w:val="clear" w:color="auto" w:fill="auto"/>
            <w:vAlign w:val="bottom"/>
          </w:tcPr>
          <w:p w14:paraId="26A3611C"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µg/kg</w:t>
            </w:r>
          </w:p>
        </w:tc>
        <w:tc>
          <w:tcPr>
            <w:tcW w:w="0" w:type="auto"/>
            <w:shd w:val="clear" w:color="auto" w:fill="auto"/>
            <w:vAlign w:val="center"/>
          </w:tcPr>
          <w:p w14:paraId="64D13D78" w14:textId="77777777" w:rsidR="00722A47" w:rsidRPr="00722A47" w:rsidRDefault="00722A47" w:rsidP="00722A47">
            <w:pPr>
              <w:spacing w:before="0" w:after="0"/>
              <w:jc w:val="center"/>
              <w:rPr>
                <w:rFonts w:eastAsia="Times New Roman"/>
                <w:b/>
                <w:bCs/>
                <w:lang w:eastAsia="de-DE"/>
              </w:rPr>
            </w:pPr>
          </w:p>
        </w:tc>
        <w:tc>
          <w:tcPr>
            <w:tcW w:w="0" w:type="auto"/>
            <w:shd w:val="clear" w:color="auto" w:fill="auto"/>
            <w:vAlign w:val="center"/>
          </w:tcPr>
          <w:p w14:paraId="4A301DAD"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30</w:t>
            </w:r>
          </w:p>
        </w:tc>
      </w:tr>
      <w:tr w:rsidR="00722A47" w:rsidRPr="00722A47" w14:paraId="09B5117F" w14:textId="77777777" w:rsidTr="004954C9">
        <w:tc>
          <w:tcPr>
            <w:tcW w:w="2802" w:type="dxa"/>
            <w:shd w:val="clear" w:color="auto" w:fill="auto"/>
            <w:vAlign w:val="center"/>
          </w:tcPr>
          <w:p w14:paraId="24DEC16F" w14:textId="77777777" w:rsidR="00722A47" w:rsidRPr="00722A47" w:rsidRDefault="00722A47" w:rsidP="00722A47">
            <w:pPr>
              <w:spacing w:before="0" w:after="0"/>
              <w:jc w:val="left"/>
              <w:rPr>
                <w:rFonts w:eastAsia="Times New Roman"/>
                <w:b/>
                <w:bCs/>
                <w:lang w:eastAsia="de-DE"/>
              </w:rPr>
            </w:pPr>
            <w:r w:rsidRPr="00722A47">
              <w:rPr>
                <w:rFonts w:eastAsia="Times New Roman"/>
                <w:b/>
                <w:bCs/>
                <w:lang w:eastAsia="de-DE"/>
              </w:rPr>
              <w:t>TOC</w:t>
            </w:r>
          </w:p>
        </w:tc>
        <w:tc>
          <w:tcPr>
            <w:tcW w:w="1373" w:type="dxa"/>
            <w:shd w:val="clear" w:color="auto" w:fill="auto"/>
            <w:vAlign w:val="bottom"/>
          </w:tcPr>
          <w:p w14:paraId="10AF9053"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M%</w:t>
            </w:r>
          </w:p>
        </w:tc>
        <w:tc>
          <w:tcPr>
            <w:tcW w:w="0" w:type="auto"/>
            <w:shd w:val="clear" w:color="auto" w:fill="auto"/>
            <w:vAlign w:val="center"/>
          </w:tcPr>
          <w:p w14:paraId="3A408131" w14:textId="77777777" w:rsidR="00722A47" w:rsidRPr="00722A47" w:rsidRDefault="00722A47" w:rsidP="00722A47">
            <w:pPr>
              <w:spacing w:before="0" w:after="0"/>
              <w:jc w:val="center"/>
              <w:rPr>
                <w:rFonts w:eastAsia="Times New Roman"/>
                <w:b/>
                <w:bCs/>
                <w:lang w:eastAsia="de-DE"/>
              </w:rPr>
            </w:pPr>
          </w:p>
        </w:tc>
        <w:tc>
          <w:tcPr>
            <w:tcW w:w="0" w:type="auto"/>
            <w:shd w:val="clear" w:color="auto" w:fill="auto"/>
            <w:vAlign w:val="center"/>
          </w:tcPr>
          <w:p w14:paraId="57A901C0"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30</w:t>
            </w:r>
          </w:p>
        </w:tc>
      </w:tr>
      <w:tr w:rsidR="00722A47" w:rsidRPr="00722A47" w14:paraId="33F013FE" w14:textId="77777777" w:rsidTr="004954C9">
        <w:tc>
          <w:tcPr>
            <w:tcW w:w="2802" w:type="dxa"/>
            <w:shd w:val="clear" w:color="auto" w:fill="auto"/>
            <w:vAlign w:val="center"/>
          </w:tcPr>
          <w:p w14:paraId="026CFA73" w14:textId="77777777" w:rsidR="00722A47" w:rsidRPr="00722A47" w:rsidRDefault="00722A47" w:rsidP="00722A47">
            <w:pPr>
              <w:spacing w:before="0" w:after="0"/>
              <w:jc w:val="left"/>
              <w:rPr>
                <w:rFonts w:eastAsia="Times New Roman"/>
                <w:b/>
                <w:bCs/>
                <w:lang w:eastAsia="de-DE"/>
              </w:rPr>
            </w:pPr>
            <w:r w:rsidRPr="00722A47">
              <w:rPr>
                <w:rFonts w:eastAsia="Times New Roman"/>
                <w:b/>
                <w:bCs/>
                <w:lang w:eastAsia="de-DE"/>
              </w:rPr>
              <w:t>EOX</w:t>
            </w:r>
          </w:p>
        </w:tc>
        <w:tc>
          <w:tcPr>
            <w:tcW w:w="1373" w:type="dxa"/>
            <w:shd w:val="clear" w:color="auto" w:fill="auto"/>
            <w:vAlign w:val="bottom"/>
          </w:tcPr>
          <w:p w14:paraId="29D0C1EE"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mg/kg</w:t>
            </w:r>
          </w:p>
        </w:tc>
        <w:tc>
          <w:tcPr>
            <w:tcW w:w="0" w:type="auto"/>
            <w:shd w:val="clear" w:color="auto" w:fill="auto"/>
            <w:vAlign w:val="center"/>
          </w:tcPr>
          <w:p w14:paraId="48AC8B20" w14:textId="77777777" w:rsidR="00722A47" w:rsidRPr="00722A47" w:rsidRDefault="00722A47" w:rsidP="00722A47">
            <w:pPr>
              <w:spacing w:before="0" w:after="0"/>
              <w:jc w:val="center"/>
              <w:rPr>
                <w:rFonts w:eastAsia="Times New Roman"/>
                <w:b/>
                <w:bCs/>
                <w:lang w:eastAsia="de-DE"/>
              </w:rPr>
            </w:pPr>
          </w:p>
        </w:tc>
        <w:tc>
          <w:tcPr>
            <w:tcW w:w="0" w:type="auto"/>
            <w:shd w:val="clear" w:color="auto" w:fill="auto"/>
            <w:vAlign w:val="center"/>
          </w:tcPr>
          <w:p w14:paraId="1E6215EE"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20</w:t>
            </w:r>
          </w:p>
        </w:tc>
      </w:tr>
      <w:tr w:rsidR="00722A47" w:rsidRPr="00722A47" w14:paraId="6122A9E6" w14:textId="77777777" w:rsidTr="004954C9">
        <w:tc>
          <w:tcPr>
            <w:tcW w:w="2802" w:type="dxa"/>
            <w:vMerge w:val="restart"/>
            <w:shd w:val="clear" w:color="auto" w:fill="auto"/>
            <w:vAlign w:val="center"/>
          </w:tcPr>
          <w:p w14:paraId="1C3BCA85" w14:textId="77777777" w:rsidR="00722A47" w:rsidRPr="00722A47" w:rsidRDefault="00722A47" w:rsidP="00722A47">
            <w:pPr>
              <w:spacing w:before="0" w:after="0"/>
              <w:jc w:val="left"/>
              <w:rPr>
                <w:rFonts w:eastAsia="Times New Roman"/>
                <w:b/>
                <w:bCs/>
                <w:lang w:eastAsia="de-DE"/>
              </w:rPr>
            </w:pPr>
            <w:r w:rsidRPr="00722A47">
              <w:rPr>
                <w:rFonts w:eastAsia="Times New Roman"/>
                <w:b/>
                <w:bCs/>
                <w:lang w:eastAsia="de-DE"/>
              </w:rPr>
              <w:t>MKW</w:t>
            </w:r>
          </w:p>
        </w:tc>
        <w:tc>
          <w:tcPr>
            <w:tcW w:w="1373" w:type="dxa"/>
            <w:shd w:val="clear" w:color="auto" w:fill="auto"/>
            <w:vAlign w:val="bottom"/>
          </w:tcPr>
          <w:p w14:paraId="3CD52297"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mg/kg</w:t>
            </w:r>
          </w:p>
        </w:tc>
        <w:tc>
          <w:tcPr>
            <w:tcW w:w="0" w:type="auto"/>
            <w:shd w:val="clear" w:color="auto" w:fill="auto"/>
            <w:vAlign w:val="center"/>
          </w:tcPr>
          <w:p w14:paraId="579CBF44" w14:textId="77777777" w:rsidR="00722A47" w:rsidRPr="00722A47" w:rsidRDefault="00722A47" w:rsidP="00722A47">
            <w:pPr>
              <w:spacing w:before="0" w:after="0"/>
              <w:jc w:val="center"/>
              <w:rPr>
                <w:rFonts w:eastAsia="Times New Roman"/>
                <w:b/>
                <w:bCs/>
                <w:lang w:eastAsia="de-DE"/>
              </w:rPr>
            </w:pPr>
          </w:p>
        </w:tc>
        <w:tc>
          <w:tcPr>
            <w:tcW w:w="0" w:type="auto"/>
            <w:shd w:val="clear" w:color="auto" w:fill="auto"/>
            <w:vAlign w:val="center"/>
          </w:tcPr>
          <w:p w14:paraId="33626753"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30</w:t>
            </w:r>
          </w:p>
        </w:tc>
      </w:tr>
      <w:tr w:rsidR="00722A47" w:rsidRPr="00722A47" w14:paraId="6EED5DFF" w14:textId="77777777" w:rsidTr="004954C9">
        <w:tc>
          <w:tcPr>
            <w:tcW w:w="2802" w:type="dxa"/>
            <w:vMerge/>
            <w:shd w:val="clear" w:color="auto" w:fill="auto"/>
            <w:vAlign w:val="center"/>
          </w:tcPr>
          <w:p w14:paraId="09DCD917" w14:textId="77777777" w:rsidR="00722A47" w:rsidRPr="00722A47" w:rsidRDefault="00722A47" w:rsidP="00722A47">
            <w:pPr>
              <w:spacing w:before="0" w:after="0"/>
              <w:jc w:val="left"/>
              <w:rPr>
                <w:rFonts w:eastAsia="Times New Roman"/>
                <w:b/>
                <w:bCs/>
                <w:lang w:eastAsia="de-DE"/>
              </w:rPr>
            </w:pPr>
          </w:p>
        </w:tc>
        <w:tc>
          <w:tcPr>
            <w:tcW w:w="1373" w:type="dxa"/>
            <w:shd w:val="clear" w:color="auto" w:fill="auto"/>
            <w:vAlign w:val="bottom"/>
          </w:tcPr>
          <w:p w14:paraId="7880F67B"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µg/l</w:t>
            </w:r>
          </w:p>
        </w:tc>
        <w:tc>
          <w:tcPr>
            <w:tcW w:w="0" w:type="auto"/>
            <w:shd w:val="clear" w:color="auto" w:fill="auto"/>
            <w:vAlign w:val="center"/>
          </w:tcPr>
          <w:p w14:paraId="067CD68E" w14:textId="77777777" w:rsidR="00722A47" w:rsidRPr="00722A47" w:rsidRDefault="00722A47" w:rsidP="00722A47">
            <w:pPr>
              <w:spacing w:before="0" w:after="0"/>
              <w:jc w:val="center"/>
              <w:rPr>
                <w:rFonts w:eastAsia="Times New Roman"/>
                <w:b/>
                <w:bCs/>
                <w:lang w:eastAsia="de-DE"/>
              </w:rPr>
            </w:pPr>
          </w:p>
        </w:tc>
        <w:tc>
          <w:tcPr>
            <w:tcW w:w="0" w:type="auto"/>
            <w:shd w:val="clear" w:color="auto" w:fill="auto"/>
            <w:vAlign w:val="center"/>
          </w:tcPr>
          <w:p w14:paraId="7E3FC173"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30</w:t>
            </w:r>
          </w:p>
        </w:tc>
      </w:tr>
      <w:tr w:rsidR="00722A47" w:rsidRPr="00722A47" w14:paraId="155B2B0D" w14:textId="77777777" w:rsidTr="004954C9">
        <w:tc>
          <w:tcPr>
            <w:tcW w:w="2802" w:type="dxa"/>
            <w:vMerge w:val="restart"/>
            <w:shd w:val="clear" w:color="auto" w:fill="auto"/>
            <w:vAlign w:val="center"/>
          </w:tcPr>
          <w:p w14:paraId="233BFE58" w14:textId="77777777" w:rsidR="00722A47" w:rsidRPr="00722A47" w:rsidRDefault="00722A47" w:rsidP="00722A47">
            <w:pPr>
              <w:spacing w:before="0" w:after="0"/>
              <w:jc w:val="left"/>
              <w:rPr>
                <w:rFonts w:eastAsia="Times New Roman"/>
                <w:b/>
                <w:bCs/>
                <w:lang w:eastAsia="de-DE"/>
              </w:rPr>
            </w:pPr>
            <w:r w:rsidRPr="00722A47">
              <w:rPr>
                <w:rFonts w:eastAsia="Times New Roman"/>
                <w:b/>
                <w:bCs/>
                <w:lang w:eastAsia="de-DE"/>
              </w:rPr>
              <w:t>BTEX</w:t>
            </w:r>
          </w:p>
        </w:tc>
        <w:tc>
          <w:tcPr>
            <w:tcW w:w="1373" w:type="dxa"/>
            <w:shd w:val="clear" w:color="auto" w:fill="auto"/>
            <w:vAlign w:val="bottom"/>
          </w:tcPr>
          <w:p w14:paraId="4F992F70"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µg/l</w:t>
            </w:r>
          </w:p>
        </w:tc>
        <w:tc>
          <w:tcPr>
            <w:tcW w:w="0" w:type="auto"/>
            <w:shd w:val="clear" w:color="auto" w:fill="auto"/>
            <w:vAlign w:val="center"/>
          </w:tcPr>
          <w:p w14:paraId="42BDC1BD" w14:textId="77777777" w:rsidR="00722A47" w:rsidRPr="00722A47" w:rsidRDefault="00722A47" w:rsidP="00722A47">
            <w:pPr>
              <w:spacing w:before="0" w:after="0"/>
              <w:jc w:val="center"/>
              <w:rPr>
                <w:rFonts w:eastAsia="Times New Roman"/>
                <w:b/>
                <w:bCs/>
                <w:lang w:eastAsia="de-DE"/>
              </w:rPr>
            </w:pPr>
          </w:p>
        </w:tc>
        <w:tc>
          <w:tcPr>
            <w:tcW w:w="0" w:type="auto"/>
            <w:shd w:val="clear" w:color="auto" w:fill="auto"/>
            <w:vAlign w:val="center"/>
          </w:tcPr>
          <w:p w14:paraId="04BE58A3"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30</w:t>
            </w:r>
          </w:p>
        </w:tc>
      </w:tr>
      <w:tr w:rsidR="00722A47" w:rsidRPr="00722A47" w14:paraId="0BFFD4F3" w14:textId="77777777" w:rsidTr="004954C9">
        <w:tc>
          <w:tcPr>
            <w:tcW w:w="2802" w:type="dxa"/>
            <w:vMerge/>
            <w:shd w:val="clear" w:color="auto" w:fill="auto"/>
            <w:vAlign w:val="center"/>
          </w:tcPr>
          <w:p w14:paraId="658F5049" w14:textId="77777777" w:rsidR="00722A47" w:rsidRPr="00722A47" w:rsidRDefault="00722A47" w:rsidP="00722A47">
            <w:pPr>
              <w:spacing w:before="0" w:after="0"/>
              <w:jc w:val="left"/>
              <w:rPr>
                <w:rFonts w:eastAsia="Times New Roman"/>
                <w:b/>
                <w:bCs/>
                <w:lang w:eastAsia="de-DE"/>
              </w:rPr>
            </w:pPr>
          </w:p>
        </w:tc>
        <w:tc>
          <w:tcPr>
            <w:tcW w:w="1373" w:type="dxa"/>
            <w:shd w:val="clear" w:color="auto" w:fill="auto"/>
            <w:vAlign w:val="bottom"/>
          </w:tcPr>
          <w:p w14:paraId="4607F40F"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mg/kg</w:t>
            </w:r>
          </w:p>
        </w:tc>
        <w:tc>
          <w:tcPr>
            <w:tcW w:w="0" w:type="auto"/>
            <w:shd w:val="clear" w:color="auto" w:fill="auto"/>
            <w:vAlign w:val="center"/>
          </w:tcPr>
          <w:p w14:paraId="3A2AC0BC" w14:textId="77777777" w:rsidR="00722A47" w:rsidRPr="00722A47" w:rsidRDefault="00722A47" w:rsidP="00722A47">
            <w:pPr>
              <w:spacing w:before="0" w:after="0"/>
              <w:jc w:val="center"/>
              <w:rPr>
                <w:rFonts w:eastAsia="Times New Roman"/>
                <w:bCs/>
                <w:lang w:eastAsia="de-DE"/>
              </w:rPr>
            </w:pPr>
          </w:p>
        </w:tc>
        <w:tc>
          <w:tcPr>
            <w:tcW w:w="0" w:type="auto"/>
            <w:shd w:val="clear" w:color="auto" w:fill="auto"/>
            <w:vAlign w:val="center"/>
          </w:tcPr>
          <w:p w14:paraId="1530CB9C"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20</w:t>
            </w:r>
          </w:p>
        </w:tc>
      </w:tr>
      <w:tr w:rsidR="00722A47" w:rsidRPr="00722A47" w14:paraId="39F306D5" w14:textId="77777777" w:rsidTr="004954C9">
        <w:tc>
          <w:tcPr>
            <w:tcW w:w="2802" w:type="dxa"/>
            <w:vMerge w:val="restart"/>
            <w:shd w:val="clear" w:color="auto" w:fill="auto"/>
            <w:vAlign w:val="center"/>
          </w:tcPr>
          <w:p w14:paraId="7099275F" w14:textId="77777777" w:rsidR="00722A47" w:rsidRPr="00722A47" w:rsidRDefault="00722A47" w:rsidP="00722A47">
            <w:pPr>
              <w:spacing w:before="0" w:after="0"/>
              <w:jc w:val="left"/>
              <w:rPr>
                <w:rFonts w:eastAsia="Times New Roman"/>
                <w:b/>
                <w:bCs/>
                <w:lang w:eastAsia="de-DE"/>
              </w:rPr>
            </w:pPr>
            <w:r w:rsidRPr="00722A47">
              <w:rPr>
                <w:rFonts w:eastAsia="Times New Roman"/>
                <w:b/>
                <w:bCs/>
                <w:lang w:eastAsia="de-DE"/>
              </w:rPr>
              <w:t>LHKW</w:t>
            </w:r>
          </w:p>
        </w:tc>
        <w:tc>
          <w:tcPr>
            <w:tcW w:w="1373" w:type="dxa"/>
            <w:shd w:val="clear" w:color="auto" w:fill="auto"/>
            <w:vAlign w:val="bottom"/>
          </w:tcPr>
          <w:p w14:paraId="3E885116"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µg/l</w:t>
            </w:r>
          </w:p>
        </w:tc>
        <w:tc>
          <w:tcPr>
            <w:tcW w:w="0" w:type="auto"/>
            <w:shd w:val="clear" w:color="auto" w:fill="auto"/>
            <w:vAlign w:val="center"/>
          </w:tcPr>
          <w:p w14:paraId="0E9B9049" w14:textId="77777777" w:rsidR="00722A47" w:rsidRPr="00722A47" w:rsidRDefault="00722A47" w:rsidP="00722A47">
            <w:pPr>
              <w:spacing w:before="0" w:after="0"/>
              <w:jc w:val="center"/>
              <w:rPr>
                <w:rFonts w:eastAsia="Times New Roman"/>
                <w:b/>
                <w:bCs/>
                <w:lang w:eastAsia="de-DE"/>
              </w:rPr>
            </w:pPr>
          </w:p>
        </w:tc>
        <w:tc>
          <w:tcPr>
            <w:tcW w:w="0" w:type="auto"/>
            <w:shd w:val="clear" w:color="auto" w:fill="auto"/>
            <w:vAlign w:val="center"/>
          </w:tcPr>
          <w:p w14:paraId="00FB0B74"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30</w:t>
            </w:r>
          </w:p>
        </w:tc>
      </w:tr>
      <w:tr w:rsidR="00722A47" w:rsidRPr="00722A47" w14:paraId="1709F6FC" w14:textId="77777777" w:rsidTr="004954C9">
        <w:tc>
          <w:tcPr>
            <w:tcW w:w="2802" w:type="dxa"/>
            <w:vMerge/>
            <w:shd w:val="clear" w:color="auto" w:fill="auto"/>
            <w:vAlign w:val="center"/>
          </w:tcPr>
          <w:p w14:paraId="3B59DADE" w14:textId="77777777" w:rsidR="00722A47" w:rsidRPr="00722A47" w:rsidRDefault="00722A47" w:rsidP="00722A47">
            <w:pPr>
              <w:spacing w:before="0" w:after="0"/>
              <w:jc w:val="left"/>
              <w:rPr>
                <w:rFonts w:eastAsia="Times New Roman"/>
                <w:b/>
                <w:bCs/>
                <w:lang w:eastAsia="de-DE"/>
              </w:rPr>
            </w:pPr>
          </w:p>
        </w:tc>
        <w:tc>
          <w:tcPr>
            <w:tcW w:w="1373" w:type="dxa"/>
            <w:shd w:val="clear" w:color="auto" w:fill="auto"/>
            <w:vAlign w:val="bottom"/>
          </w:tcPr>
          <w:p w14:paraId="012E5284"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mg/kg</w:t>
            </w:r>
          </w:p>
        </w:tc>
        <w:tc>
          <w:tcPr>
            <w:tcW w:w="0" w:type="auto"/>
            <w:shd w:val="clear" w:color="auto" w:fill="auto"/>
            <w:vAlign w:val="center"/>
          </w:tcPr>
          <w:p w14:paraId="69203997" w14:textId="77777777" w:rsidR="00722A47" w:rsidRPr="00722A47" w:rsidRDefault="00722A47" w:rsidP="00722A47">
            <w:pPr>
              <w:spacing w:before="0" w:after="0"/>
              <w:jc w:val="center"/>
              <w:rPr>
                <w:rFonts w:eastAsia="Times New Roman"/>
                <w:b/>
                <w:bCs/>
                <w:lang w:eastAsia="de-DE"/>
              </w:rPr>
            </w:pPr>
          </w:p>
        </w:tc>
        <w:tc>
          <w:tcPr>
            <w:tcW w:w="0" w:type="auto"/>
            <w:shd w:val="clear" w:color="auto" w:fill="auto"/>
            <w:vAlign w:val="center"/>
          </w:tcPr>
          <w:p w14:paraId="144E3312"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20</w:t>
            </w:r>
          </w:p>
        </w:tc>
      </w:tr>
      <w:tr w:rsidR="00722A47" w:rsidRPr="00722A47" w14:paraId="1203C7EB" w14:textId="77777777" w:rsidTr="004954C9">
        <w:tc>
          <w:tcPr>
            <w:tcW w:w="2802" w:type="dxa"/>
            <w:vMerge w:val="restart"/>
            <w:shd w:val="clear" w:color="auto" w:fill="auto"/>
            <w:vAlign w:val="center"/>
          </w:tcPr>
          <w:p w14:paraId="7454D2EC" w14:textId="77777777" w:rsidR="00722A47" w:rsidRPr="00722A47" w:rsidRDefault="00722A47" w:rsidP="00722A47">
            <w:pPr>
              <w:spacing w:before="0" w:after="0"/>
              <w:jc w:val="left"/>
              <w:rPr>
                <w:rFonts w:eastAsia="Times New Roman"/>
                <w:b/>
                <w:bCs/>
                <w:lang w:eastAsia="de-DE"/>
              </w:rPr>
            </w:pPr>
            <w:r w:rsidRPr="00722A47">
              <w:rPr>
                <w:rFonts w:eastAsia="Times New Roman"/>
                <w:b/>
                <w:bCs/>
                <w:lang w:eastAsia="de-DE"/>
              </w:rPr>
              <w:t>PCB</w:t>
            </w:r>
          </w:p>
        </w:tc>
        <w:tc>
          <w:tcPr>
            <w:tcW w:w="1373" w:type="dxa"/>
            <w:shd w:val="clear" w:color="auto" w:fill="auto"/>
            <w:vAlign w:val="bottom"/>
          </w:tcPr>
          <w:p w14:paraId="752C9C78"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µg/l</w:t>
            </w:r>
          </w:p>
        </w:tc>
        <w:tc>
          <w:tcPr>
            <w:tcW w:w="0" w:type="auto"/>
            <w:shd w:val="clear" w:color="auto" w:fill="auto"/>
            <w:vAlign w:val="center"/>
          </w:tcPr>
          <w:p w14:paraId="4B7BA7CC" w14:textId="77777777" w:rsidR="00722A47" w:rsidRPr="00722A47" w:rsidRDefault="00722A47" w:rsidP="00722A47">
            <w:pPr>
              <w:spacing w:before="0" w:after="0"/>
              <w:jc w:val="center"/>
              <w:rPr>
                <w:rFonts w:eastAsia="Times New Roman"/>
                <w:b/>
                <w:bCs/>
                <w:lang w:eastAsia="de-DE"/>
              </w:rPr>
            </w:pPr>
          </w:p>
        </w:tc>
        <w:tc>
          <w:tcPr>
            <w:tcW w:w="0" w:type="auto"/>
            <w:shd w:val="clear" w:color="auto" w:fill="auto"/>
            <w:vAlign w:val="center"/>
          </w:tcPr>
          <w:p w14:paraId="61E10EDB"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40</w:t>
            </w:r>
          </w:p>
        </w:tc>
      </w:tr>
      <w:tr w:rsidR="00722A47" w:rsidRPr="00722A47" w14:paraId="40F1A572" w14:textId="77777777" w:rsidTr="004954C9">
        <w:tc>
          <w:tcPr>
            <w:tcW w:w="2802" w:type="dxa"/>
            <w:vMerge/>
            <w:shd w:val="clear" w:color="auto" w:fill="auto"/>
            <w:vAlign w:val="center"/>
          </w:tcPr>
          <w:p w14:paraId="36194C7A" w14:textId="77777777" w:rsidR="00722A47" w:rsidRPr="00722A47" w:rsidRDefault="00722A47" w:rsidP="00722A47">
            <w:pPr>
              <w:spacing w:before="0" w:after="0"/>
              <w:jc w:val="left"/>
              <w:rPr>
                <w:rFonts w:eastAsia="Times New Roman"/>
                <w:b/>
                <w:bCs/>
                <w:lang w:eastAsia="de-DE"/>
              </w:rPr>
            </w:pPr>
          </w:p>
        </w:tc>
        <w:tc>
          <w:tcPr>
            <w:tcW w:w="1373" w:type="dxa"/>
            <w:shd w:val="clear" w:color="auto" w:fill="auto"/>
            <w:vAlign w:val="bottom"/>
          </w:tcPr>
          <w:p w14:paraId="0397B074"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mg/kg</w:t>
            </w:r>
          </w:p>
        </w:tc>
        <w:tc>
          <w:tcPr>
            <w:tcW w:w="0" w:type="auto"/>
            <w:shd w:val="clear" w:color="auto" w:fill="auto"/>
            <w:vAlign w:val="center"/>
          </w:tcPr>
          <w:p w14:paraId="6D58F43B" w14:textId="77777777" w:rsidR="00722A47" w:rsidRPr="00722A47" w:rsidRDefault="00722A47" w:rsidP="00722A47">
            <w:pPr>
              <w:spacing w:before="0" w:after="0"/>
              <w:jc w:val="center"/>
              <w:rPr>
                <w:rFonts w:eastAsia="Times New Roman"/>
                <w:bCs/>
                <w:lang w:eastAsia="de-DE"/>
              </w:rPr>
            </w:pPr>
          </w:p>
        </w:tc>
        <w:tc>
          <w:tcPr>
            <w:tcW w:w="0" w:type="auto"/>
            <w:shd w:val="clear" w:color="auto" w:fill="auto"/>
            <w:vAlign w:val="center"/>
          </w:tcPr>
          <w:p w14:paraId="089E6E14"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30</w:t>
            </w:r>
          </w:p>
        </w:tc>
      </w:tr>
      <w:tr w:rsidR="00722A47" w:rsidRPr="00722A47" w14:paraId="72913504" w14:textId="77777777" w:rsidTr="004954C9">
        <w:tc>
          <w:tcPr>
            <w:tcW w:w="2802" w:type="dxa"/>
            <w:shd w:val="clear" w:color="auto" w:fill="auto"/>
            <w:vAlign w:val="center"/>
          </w:tcPr>
          <w:p w14:paraId="1164D864" w14:textId="77777777" w:rsidR="00722A47" w:rsidRPr="00722A47" w:rsidRDefault="00722A47" w:rsidP="00722A47">
            <w:pPr>
              <w:spacing w:before="0" w:after="0"/>
              <w:jc w:val="left"/>
              <w:rPr>
                <w:rFonts w:eastAsia="Times New Roman"/>
                <w:b/>
                <w:bCs/>
                <w:lang w:eastAsia="de-DE"/>
              </w:rPr>
            </w:pPr>
            <w:r w:rsidRPr="00722A47">
              <w:rPr>
                <w:rFonts w:eastAsia="Times New Roman"/>
                <w:b/>
                <w:bCs/>
                <w:lang w:eastAsia="de-DE"/>
              </w:rPr>
              <w:t>aromatische Chlorkohlenwasserstoffe</w:t>
            </w:r>
          </w:p>
        </w:tc>
        <w:tc>
          <w:tcPr>
            <w:tcW w:w="1373" w:type="dxa"/>
            <w:shd w:val="clear" w:color="auto" w:fill="auto"/>
            <w:vAlign w:val="bottom"/>
          </w:tcPr>
          <w:p w14:paraId="64CE1CDD"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µg/l</w:t>
            </w:r>
          </w:p>
        </w:tc>
        <w:tc>
          <w:tcPr>
            <w:tcW w:w="0" w:type="auto"/>
            <w:shd w:val="clear" w:color="auto" w:fill="auto"/>
            <w:vAlign w:val="center"/>
          </w:tcPr>
          <w:p w14:paraId="52362E63" w14:textId="77777777" w:rsidR="00722A47" w:rsidRPr="00722A47" w:rsidRDefault="00722A47" w:rsidP="00722A47">
            <w:pPr>
              <w:spacing w:before="0" w:after="0"/>
              <w:jc w:val="center"/>
              <w:rPr>
                <w:rFonts w:eastAsia="Times New Roman"/>
                <w:b/>
                <w:bCs/>
                <w:lang w:eastAsia="de-DE"/>
              </w:rPr>
            </w:pPr>
          </w:p>
        </w:tc>
        <w:tc>
          <w:tcPr>
            <w:tcW w:w="0" w:type="auto"/>
            <w:shd w:val="clear" w:color="auto" w:fill="auto"/>
            <w:vAlign w:val="center"/>
          </w:tcPr>
          <w:p w14:paraId="039E7F95"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30</w:t>
            </w:r>
          </w:p>
        </w:tc>
      </w:tr>
      <w:tr w:rsidR="00722A47" w:rsidRPr="00722A47" w14:paraId="2C36DEB3" w14:textId="77777777" w:rsidTr="004954C9">
        <w:tc>
          <w:tcPr>
            <w:tcW w:w="2802" w:type="dxa"/>
            <w:shd w:val="clear" w:color="auto" w:fill="auto"/>
            <w:vAlign w:val="center"/>
          </w:tcPr>
          <w:p w14:paraId="47ABDC01" w14:textId="77777777" w:rsidR="00722A47" w:rsidRPr="00722A47" w:rsidRDefault="00722A47" w:rsidP="00722A47">
            <w:pPr>
              <w:spacing w:before="0" w:after="0"/>
              <w:jc w:val="left"/>
              <w:rPr>
                <w:rFonts w:eastAsia="Times New Roman"/>
                <w:b/>
                <w:bCs/>
                <w:lang w:eastAsia="de-DE"/>
              </w:rPr>
            </w:pPr>
            <w:r w:rsidRPr="00722A47">
              <w:rPr>
                <w:rFonts w:eastAsia="Times New Roman"/>
                <w:b/>
                <w:bCs/>
                <w:lang w:eastAsia="de-DE"/>
              </w:rPr>
              <w:t>Herbizide</w:t>
            </w:r>
          </w:p>
        </w:tc>
        <w:tc>
          <w:tcPr>
            <w:tcW w:w="1373" w:type="dxa"/>
            <w:shd w:val="clear" w:color="auto" w:fill="auto"/>
            <w:vAlign w:val="bottom"/>
          </w:tcPr>
          <w:p w14:paraId="2723EE74"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µg/l</w:t>
            </w:r>
          </w:p>
        </w:tc>
        <w:tc>
          <w:tcPr>
            <w:tcW w:w="0" w:type="auto"/>
            <w:shd w:val="clear" w:color="auto" w:fill="auto"/>
            <w:vAlign w:val="center"/>
          </w:tcPr>
          <w:p w14:paraId="287F94AF" w14:textId="77777777" w:rsidR="00722A47" w:rsidRPr="00722A47" w:rsidRDefault="00722A47" w:rsidP="00722A47">
            <w:pPr>
              <w:spacing w:before="0" w:after="0"/>
              <w:jc w:val="center"/>
              <w:rPr>
                <w:rFonts w:eastAsia="Times New Roman"/>
                <w:b/>
                <w:bCs/>
                <w:lang w:eastAsia="de-DE"/>
              </w:rPr>
            </w:pPr>
          </w:p>
        </w:tc>
        <w:tc>
          <w:tcPr>
            <w:tcW w:w="0" w:type="auto"/>
            <w:shd w:val="clear" w:color="auto" w:fill="auto"/>
            <w:vAlign w:val="center"/>
          </w:tcPr>
          <w:p w14:paraId="4177CE6C" w14:textId="77777777" w:rsidR="00722A47" w:rsidRPr="00722A47" w:rsidRDefault="00722A47" w:rsidP="00722A47">
            <w:pPr>
              <w:spacing w:before="0" w:after="0"/>
              <w:jc w:val="center"/>
              <w:rPr>
                <w:rFonts w:eastAsia="Times New Roman"/>
                <w:bCs/>
                <w:lang w:eastAsia="de-DE"/>
              </w:rPr>
            </w:pPr>
            <w:r w:rsidRPr="00722A47">
              <w:rPr>
                <w:rFonts w:eastAsia="Times New Roman"/>
                <w:bCs/>
                <w:lang w:eastAsia="de-DE"/>
              </w:rPr>
              <w:t>30</w:t>
            </w:r>
          </w:p>
        </w:tc>
      </w:tr>
    </w:tbl>
    <w:p w14:paraId="500A4E38" w14:textId="77777777" w:rsidR="00722A47" w:rsidRDefault="00722A47" w:rsidP="00722A47">
      <w:pPr>
        <w:sectPr w:rsidR="00722A47" w:rsidSect="007947FE">
          <w:pgSz w:w="11907" w:h="16839"/>
          <w:pgMar w:top="1134" w:right="1417" w:bottom="1134" w:left="1701" w:header="709" w:footer="709" w:gutter="0"/>
          <w:cols w:space="708"/>
          <w:docGrid w:linePitch="360"/>
        </w:sectPr>
      </w:pPr>
    </w:p>
    <w:p w14:paraId="3667A857" w14:textId="77777777" w:rsidR="00722A47" w:rsidRPr="00722A47" w:rsidRDefault="00722A47" w:rsidP="00722A47">
      <w:pPr>
        <w:pStyle w:val="AnlageBezeichnernummeriert"/>
      </w:pPr>
    </w:p>
    <w:p w14:paraId="41B1DDF5" w14:textId="77777777" w:rsidR="00722A47" w:rsidRPr="00722A47" w:rsidRDefault="00722A47" w:rsidP="00722A47">
      <w:pPr>
        <w:pStyle w:val="AnlageVerweis"/>
      </w:pPr>
      <w:r w:rsidRPr="008D0377">
        <w:t>(zu § 25 Absatz 1 Satz 2)</w:t>
      </w:r>
    </w:p>
    <w:p w14:paraId="5F9CDD5D" w14:textId="77777777" w:rsidR="00722A47" w:rsidRPr="00722A47" w:rsidRDefault="00722A47" w:rsidP="00722A47">
      <w:pPr>
        <w:pStyle w:val="Anlageberschrift"/>
      </w:pPr>
      <w:bookmarkStart w:id="52" w:name="_Toc64380072"/>
      <w:r w:rsidRPr="008D0377">
        <w:t>Muster Lieferschein</w:t>
      </w:r>
      <w:bookmarkEnd w:id="52"/>
    </w:p>
    <w:tbl>
      <w:tblPr>
        <w:tblStyle w:val="Tabellenraster72"/>
        <w:tblW w:w="5161" w:type="pct"/>
        <w:tblLook w:val="04A0" w:firstRow="1" w:lastRow="0" w:firstColumn="1" w:lastColumn="0" w:noHBand="0" w:noVBand="1"/>
      </w:tblPr>
      <w:tblGrid>
        <w:gridCol w:w="9062"/>
      </w:tblGrid>
      <w:tr w:rsidR="00722A47" w:rsidRPr="00722A47" w14:paraId="65D02A26" w14:textId="77777777" w:rsidTr="004954C9">
        <w:tc>
          <w:tcPr>
            <w:tcW w:w="5000" w:type="pct"/>
          </w:tcPr>
          <w:p w14:paraId="1FE51F11" w14:textId="77777777" w:rsidR="00722A47" w:rsidRPr="00722A47" w:rsidRDefault="00722A47" w:rsidP="00656043">
            <w:pPr>
              <w:numPr>
                <w:ilvl w:val="1"/>
                <w:numId w:val="2"/>
              </w:numPr>
              <w:overflowPunct w:val="0"/>
              <w:autoSpaceDE w:val="0"/>
              <w:autoSpaceDN w:val="0"/>
              <w:adjustRightInd w:val="0"/>
              <w:spacing w:before="0" w:after="0" w:line="300" w:lineRule="exact"/>
              <w:ind w:left="426"/>
              <w:contextualSpacing/>
              <w:jc w:val="left"/>
              <w:textAlignment w:val="baseline"/>
              <w:rPr>
                <w:rFonts w:asciiTheme="minorHAnsi" w:hAnsiTheme="minorHAnsi" w:cstheme="minorBidi"/>
                <w:b/>
                <w:sz w:val="20"/>
              </w:rPr>
            </w:pPr>
            <w:r w:rsidRPr="00722A47">
              <w:rPr>
                <w:rFonts w:asciiTheme="minorHAnsi" w:hAnsiTheme="minorHAnsi" w:cstheme="minorBidi"/>
                <w:b/>
                <w:sz w:val="20"/>
                <w:szCs w:val="20"/>
              </w:rPr>
              <w:t xml:space="preserve">Betreiber der Aufbereitungsanlage, Inverkehrbringer von </w:t>
            </w:r>
            <w:proofErr w:type="spellStart"/>
            <w:r w:rsidRPr="00722A47">
              <w:rPr>
                <w:rFonts w:asciiTheme="minorHAnsi" w:hAnsiTheme="minorHAnsi" w:cstheme="minorBidi"/>
                <w:b/>
                <w:sz w:val="20"/>
                <w:szCs w:val="20"/>
              </w:rPr>
              <w:t>unaufbereitetem</w:t>
            </w:r>
            <w:proofErr w:type="spellEnd"/>
            <w:r w:rsidRPr="00722A47">
              <w:rPr>
                <w:rFonts w:asciiTheme="minorHAnsi" w:hAnsiTheme="minorHAnsi" w:cstheme="minorBidi"/>
                <w:b/>
                <w:sz w:val="20"/>
                <w:szCs w:val="20"/>
              </w:rPr>
              <w:t xml:space="preserve"> Bodenmaterial oder sonstiger Inverkehrbringer</w:t>
            </w:r>
            <w:r w:rsidRPr="00722A47">
              <w:rPr>
                <w:rFonts w:asciiTheme="minorHAnsi" w:hAnsiTheme="minorHAnsi" w:cstheme="minorBidi"/>
                <w:b/>
                <w:sz w:val="20"/>
              </w:rPr>
              <w:t xml:space="preserve"> des mineralischen Ersatzbaustoffes oder des Gemisches (Hauptsitz des Betriebes)</w:t>
            </w:r>
          </w:p>
          <w:p w14:paraId="33E58054" w14:textId="77777777" w:rsidR="00722A47" w:rsidRPr="00722A47" w:rsidRDefault="00722A47" w:rsidP="00656043">
            <w:pPr>
              <w:numPr>
                <w:ilvl w:val="1"/>
                <w:numId w:val="26"/>
              </w:numPr>
              <w:overflowPunct w:val="0"/>
              <w:autoSpaceDE w:val="0"/>
              <w:autoSpaceDN w:val="0"/>
              <w:adjustRightInd w:val="0"/>
              <w:spacing w:before="0" w:after="0" w:line="300" w:lineRule="exact"/>
              <w:ind w:left="851"/>
              <w:contextualSpacing/>
              <w:jc w:val="left"/>
              <w:textAlignment w:val="baseline"/>
              <w:rPr>
                <w:rFonts w:asciiTheme="minorHAnsi" w:hAnsiTheme="minorHAnsi" w:cstheme="minorBidi"/>
                <w:sz w:val="20"/>
              </w:rPr>
            </w:pPr>
            <w:r w:rsidRPr="00722A47">
              <w:rPr>
                <w:rFonts w:asciiTheme="minorHAnsi" w:hAnsiTheme="minorHAnsi" w:cstheme="minorBidi"/>
                <w:sz w:val="20"/>
              </w:rPr>
              <w:t xml:space="preserve">Firma/Körperschaft </w:t>
            </w:r>
            <w:r w:rsidRPr="00722A47">
              <w:rPr>
                <w:rFonts w:asciiTheme="minorHAnsi" w:hAnsiTheme="minorHAnsi" w:cstheme="minorBidi"/>
                <w:sz w:val="20"/>
                <w:szCs w:val="20"/>
              </w:rPr>
              <w:t>…</w:t>
            </w:r>
          </w:p>
          <w:p w14:paraId="0678F65A" w14:textId="77777777" w:rsidR="00722A47" w:rsidRPr="00722A47" w:rsidRDefault="00722A47" w:rsidP="00656043">
            <w:pPr>
              <w:numPr>
                <w:ilvl w:val="1"/>
                <w:numId w:val="26"/>
              </w:numPr>
              <w:overflowPunct w:val="0"/>
              <w:autoSpaceDE w:val="0"/>
              <w:autoSpaceDN w:val="0"/>
              <w:adjustRightInd w:val="0"/>
              <w:spacing w:before="0" w:after="0" w:line="300" w:lineRule="exact"/>
              <w:ind w:left="851"/>
              <w:contextualSpacing/>
              <w:jc w:val="left"/>
              <w:textAlignment w:val="baseline"/>
              <w:rPr>
                <w:rFonts w:asciiTheme="minorHAnsi" w:hAnsiTheme="minorHAnsi" w:cstheme="minorBidi"/>
                <w:sz w:val="20"/>
              </w:rPr>
            </w:pPr>
            <w:r w:rsidRPr="00722A47">
              <w:rPr>
                <w:rFonts w:asciiTheme="minorHAnsi" w:hAnsiTheme="minorHAnsi" w:cstheme="minorBidi"/>
                <w:sz w:val="20"/>
              </w:rPr>
              <w:t xml:space="preserve">Straße und Hausnummer </w:t>
            </w:r>
            <w:r w:rsidRPr="00722A47">
              <w:rPr>
                <w:rFonts w:asciiTheme="minorHAnsi" w:hAnsiTheme="minorHAnsi" w:cstheme="minorBidi"/>
                <w:sz w:val="20"/>
                <w:szCs w:val="20"/>
              </w:rPr>
              <w:t>…</w:t>
            </w:r>
          </w:p>
          <w:p w14:paraId="698F9A62" w14:textId="77777777" w:rsidR="00722A47" w:rsidRPr="00722A47" w:rsidRDefault="00722A47" w:rsidP="00656043">
            <w:pPr>
              <w:numPr>
                <w:ilvl w:val="1"/>
                <w:numId w:val="26"/>
              </w:numPr>
              <w:overflowPunct w:val="0"/>
              <w:autoSpaceDE w:val="0"/>
              <w:autoSpaceDN w:val="0"/>
              <w:adjustRightInd w:val="0"/>
              <w:spacing w:before="0" w:after="0" w:line="300" w:lineRule="exact"/>
              <w:ind w:left="851"/>
              <w:contextualSpacing/>
              <w:jc w:val="left"/>
              <w:textAlignment w:val="baseline"/>
              <w:rPr>
                <w:rFonts w:asciiTheme="minorHAnsi" w:hAnsiTheme="minorHAnsi" w:cstheme="minorBidi"/>
                <w:sz w:val="20"/>
              </w:rPr>
            </w:pPr>
            <w:r w:rsidRPr="00722A47">
              <w:rPr>
                <w:rFonts w:asciiTheme="minorHAnsi" w:hAnsiTheme="minorHAnsi" w:cstheme="minorBidi"/>
                <w:sz w:val="20"/>
              </w:rPr>
              <w:t xml:space="preserve">Postleitzahl </w:t>
            </w:r>
            <w:r w:rsidRPr="00722A47">
              <w:rPr>
                <w:rFonts w:asciiTheme="minorHAnsi" w:hAnsiTheme="minorHAnsi" w:cstheme="minorBidi"/>
                <w:sz w:val="20"/>
                <w:szCs w:val="20"/>
              </w:rPr>
              <w:t>…</w:t>
            </w:r>
          </w:p>
          <w:p w14:paraId="45228A93" w14:textId="77777777" w:rsidR="00722A47" w:rsidRPr="00722A47" w:rsidRDefault="00722A47" w:rsidP="00656043">
            <w:pPr>
              <w:numPr>
                <w:ilvl w:val="1"/>
                <w:numId w:val="26"/>
              </w:numPr>
              <w:overflowPunct w:val="0"/>
              <w:autoSpaceDE w:val="0"/>
              <w:autoSpaceDN w:val="0"/>
              <w:adjustRightInd w:val="0"/>
              <w:spacing w:before="0" w:after="0" w:line="300" w:lineRule="exact"/>
              <w:ind w:left="851"/>
              <w:contextualSpacing/>
              <w:jc w:val="left"/>
              <w:textAlignment w:val="baseline"/>
              <w:rPr>
                <w:rFonts w:asciiTheme="minorHAnsi" w:hAnsiTheme="minorHAnsi" w:cstheme="minorBidi"/>
                <w:sz w:val="20"/>
                <w:szCs w:val="20"/>
              </w:rPr>
            </w:pPr>
            <w:r w:rsidRPr="00722A47">
              <w:rPr>
                <w:rFonts w:asciiTheme="minorHAnsi" w:hAnsiTheme="minorHAnsi" w:cstheme="minorBidi"/>
                <w:sz w:val="20"/>
                <w:szCs w:val="20"/>
              </w:rPr>
              <w:t>Ort …</w:t>
            </w:r>
          </w:p>
          <w:p w14:paraId="592B1599" w14:textId="77777777" w:rsidR="00722A47" w:rsidRPr="00722A47" w:rsidRDefault="00722A47" w:rsidP="00656043">
            <w:pPr>
              <w:numPr>
                <w:ilvl w:val="1"/>
                <w:numId w:val="26"/>
              </w:numPr>
              <w:overflowPunct w:val="0"/>
              <w:autoSpaceDE w:val="0"/>
              <w:autoSpaceDN w:val="0"/>
              <w:adjustRightInd w:val="0"/>
              <w:spacing w:before="0" w:after="0" w:line="300" w:lineRule="exact"/>
              <w:ind w:left="851"/>
              <w:contextualSpacing/>
              <w:jc w:val="left"/>
              <w:textAlignment w:val="baseline"/>
              <w:rPr>
                <w:rFonts w:asciiTheme="minorHAnsi" w:hAnsiTheme="minorHAnsi" w:cstheme="minorBidi"/>
                <w:sz w:val="20"/>
              </w:rPr>
            </w:pPr>
            <w:r w:rsidRPr="00722A47">
              <w:rPr>
                <w:rFonts w:asciiTheme="minorHAnsi" w:hAnsiTheme="minorHAnsi" w:cstheme="minorBidi"/>
                <w:sz w:val="20"/>
              </w:rPr>
              <w:t xml:space="preserve">Telefon und Telefax </w:t>
            </w:r>
            <w:r w:rsidRPr="00722A47">
              <w:rPr>
                <w:rFonts w:asciiTheme="minorHAnsi" w:hAnsiTheme="minorHAnsi" w:cstheme="minorBidi"/>
                <w:sz w:val="20"/>
                <w:szCs w:val="20"/>
              </w:rPr>
              <w:t xml:space="preserve">…                             </w:t>
            </w:r>
          </w:p>
          <w:p w14:paraId="64E87382" w14:textId="77777777" w:rsidR="00722A47" w:rsidRPr="00722A47" w:rsidRDefault="00722A47" w:rsidP="00656043">
            <w:pPr>
              <w:numPr>
                <w:ilvl w:val="1"/>
                <w:numId w:val="26"/>
              </w:numPr>
              <w:overflowPunct w:val="0"/>
              <w:autoSpaceDE w:val="0"/>
              <w:autoSpaceDN w:val="0"/>
              <w:adjustRightInd w:val="0"/>
              <w:spacing w:before="0" w:after="0" w:line="300" w:lineRule="exact"/>
              <w:ind w:left="851"/>
              <w:contextualSpacing/>
              <w:jc w:val="left"/>
              <w:textAlignment w:val="baseline"/>
              <w:rPr>
                <w:rFonts w:asciiTheme="minorHAnsi" w:hAnsiTheme="minorHAnsi" w:cstheme="minorBidi"/>
                <w:sz w:val="20"/>
                <w:szCs w:val="20"/>
              </w:rPr>
            </w:pPr>
            <w:r w:rsidRPr="00722A47">
              <w:rPr>
                <w:rFonts w:asciiTheme="minorHAnsi" w:hAnsiTheme="minorHAnsi" w:cstheme="minorBidi"/>
                <w:sz w:val="20"/>
                <w:szCs w:val="20"/>
              </w:rPr>
              <w:t>E-Mail …</w:t>
            </w:r>
          </w:p>
          <w:p w14:paraId="44A435C4" w14:textId="77777777" w:rsidR="00722A47" w:rsidRPr="00722A47" w:rsidRDefault="00722A47" w:rsidP="00656043">
            <w:pPr>
              <w:numPr>
                <w:ilvl w:val="1"/>
                <w:numId w:val="2"/>
              </w:numPr>
              <w:overflowPunct w:val="0"/>
              <w:autoSpaceDE w:val="0"/>
              <w:autoSpaceDN w:val="0"/>
              <w:adjustRightInd w:val="0"/>
              <w:spacing w:before="0" w:after="0" w:line="300" w:lineRule="exact"/>
              <w:ind w:left="426"/>
              <w:contextualSpacing/>
              <w:jc w:val="left"/>
              <w:textAlignment w:val="baseline"/>
              <w:rPr>
                <w:rFonts w:asciiTheme="minorHAnsi" w:hAnsiTheme="minorHAnsi" w:cstheme="minorBidi"/>
                <w:b/>
                <w:sz w:val="20"/>
                <w:szCs w:val="20"/>
              </w:rPr>
            </w:pPr>
            <w:r w:rsidRPr="00722A47">
              <w:rPr>
                <w:rFonts w:asciiTheme="minorHAnsi" w:hAnsiTheme="minorHAnsi" w:cstheme="minorBidi"/>
                <w:b/>
                <w:sz w:val="20"/>
                <w:szCs w:val="20"/>
              </w:rPr>
              <w:t>Art und Beschaffenheit des mineralischen Ersatzbaustoffes oder des Gemisches</w:t>
            </w:r>
          </w:p>
          <w:p w14:paraId="6AAF7D7D"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sidRPr="00722A47">
              <w:rPr>
                <w:rFonts w:asciiTheme="minorHAnsi" w:hAnsiTheme="minorHAnsi" w:cstheme="minorBidi"/>
                <w:sz w:val="20"/>
                <w:szCs w:val="20"/>
              </w:rPr>
              <w:t xml:space="preserve">2.1 </w:t>
            </w:r>
            <w:r w:rsidRPr="00722A47">
              <w:rPr>
                <w:rFonts w:ascii="MS Gothic" w:eastAsia="MS Gothic" w:hAnsi="MS Gothic" w:cs="MS Gothic" w:hint="eastAsia"/>
                <w:sz w:val="20"/>
                <w:szCs w:val="20"/>
              </w:rPr>
              <w:t>☐</w:t>
            </w:r>
            <w:r w:rsidRPr="00722A47">
              <w:rPr>
                <w:rFonts w:asciiTheme="minorHAnsi" w:hAnsiTheme="minorHAnsi" w:cstheme="minorBidi"/>
                <w:sz w:val="20"/>
                <w:szCs w:val="20"/>
              </w:rPr>
              <w:t xml:space="preserve"> Mineralischer Ersatzbaustoff</w:t>
            </w:r>
          </w:p>
          <w:p w14:paraId="696E03B7" w14:textId="77777777" w:rsidR="00722A47" w:rsidRPr="00722A47" w:rsidRDefault="00722A47" w:rsidP="00722A47">
            <w:pPr>
              <w:overflowPunct w:val="0"/>
              <w:autoSpaceDE w:val="0"/>
              <w:autoSpaceDN w:val="0"/>
              <w:adjustRightInd w:val="0"/>
              <w:spacing w:before="0" w:after="0" w:line="300" w:lineRule="exact"/>
              <w:ind w:left="1778" w:hanging="502"/>
              <w:jc w:val="left"/>
              <w:textAlignment w:val="baseline"/>
              <w:rPr>
                <w:rFonts w:asciiTheme="minorHAnsi" w:hAnsiTheme="minorHAnsi" w:cstheme="minorBidi"/>
                <w:sz w:val="20"/>
                <w:szCs w:val="20"/>
              </w:rPr>
            </w:pPr>
            <w:r w:rsidRPr="00722A47">
              <w:rPr>
                <w:rFonts w:asciiTheme="minorHAnsi" w:hAnsiTheme="minorHAnsi" w:cstheme="minorBidi"/>
                <w:sz w:val="20"/>
                <w:szCs w:val="20"/>
              </w:rPr>
              <w:t>2.1.1 Bezeichnung des mineralischen Ersatzbaustoffes, Abkürzung und Materialklasse …</w:t>
            </w:r>
          </w:p>
          <w:p w14:paraId="3C91857B"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sidRPr="00722A47">
              <w:rPr>
                <w:rFonts w:asciiTheme="minorHAnsi" w:hAnsiTheme="minorHAnsi" w:cstheme="minorBidi"/>
                <w:sz w:val="20"/>
                <w:szCs w:val="20"/>
              </w:rPr>
              <w:t xml:space="preserve">2.2 </w:t>
            </w:r>
            <w:r w:rsidRPr="00722A47">
              <w:rPr>
                <w:rFonts w:ascii="MS Gothic" w:eastAsia="MS Gothic" w:hAnsi="MS Gothic" w:cs="MS Gothic" w:hint="eastAsia"/>
                <w:sz w:val="20"/>
                <w:szCs w:val="20"/>
              </w:rPr>
              <w:t>☐</w:t>
            </w:r>
            <w:r w:rsidRPr="00722A47">
              <w:rPr>
                <w:rFonts w:asciiTheme="minorHAnsi" w:hAnsiTheme="minorHAnsi" w:cstheme="minorBidi"/>
                <w:sz w:val="20"/>
                <w:szCs w:val="20"/>
              </w:rPr>
              <w:t xml:space="preserve"> Gemisch</w:t>
            </w:r>
          </w:p>
          <w:p w14:paraId="35BA9F25" w14:textId="77777777" w:rsidR="00722A47" w:rsidRPr="00722A47" w:rsidRDefault="00722A47" w:rsidP="00722A47">
            <w:pPr>
              <w:overflowPunct w:val="0"/>
              <w:autoSpaceDE w:val="0"/>
              <w:autoSpaceDN w:val="0"/>
              <w:adjustRightInd w:val="0"/>
              <w:spacing w:before="0" w:after="0" w:line="300" w:lineRule="exact"/>
              <w:ind w:left="1792" w:hanging="516"/>
              <w:jc w:val="left"/>
              <w:textAlignment w:val="baseline"/>
              <w:rPr>
                <w:rFonts w:asciiTheme="minorHAnsi" w:hAnsiTheme="minorHAnsi" w:cstheme="minorBidi"/>
                <w:sz w:val="20"/>
                <w:szCs w:val="20"/>
              </w:rPr>
            </w:pPr>
            <w:r w:rsidRPr="00722A47">
              <w:rPr>
                <w:rFonts w:asciiTheme="minorHAnsi" w:hAnsiTheme="minorHAnsi" w:cstheme="minorBidi"/>
                <w:sz w:val="20"/>
                <w:szCs w:val="20"/>
              </w:rPr>
              <w:t>2.2.1 In dem Gemisch enthaltene mineralische Ersatzbaustoffe, zugehörige Kurzbezeichnung(en), Klasse(n) sowie deren Anteile …</w:t>
            </w:r>
          </w:p>
          <w:p w14:paraId="537811A7"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lang w:eastAsia="de-DE"/>
              </w:rPr>
            </w:pPr>
            <w:r w:rsidRPr="00722A47">
              <w:rPr>
                <w:rFonts w:asciiTheme="minorHAnsi" w:hAnsiTheme="minorHAnsi" w:cstheme="minorBidi"/>
                <w:sz w:val="20"/>
                <w:szCs w:val="20"/>
              </w:rPr>
              <w:t xml:space="preserve">2.3 Soweit es sich um Abfälle handelt </w:t>
            </w:r>
            <w:r w:rsidRPr="00722A47">
              <w:rPr>
                <w:rFonts w:ascii="Calibri" w:hAnsi="Calibri" w:cs="Calibri"/>
                <w:sz w:val="20"/>
                <w:szCs w:val="20"/>
              </w:rPr>
              <w:t>Abfallschlüssel gemäß Abfallverzeichnisverordnung</w:t>
            </w:r>
            <w:r w:rsidRPr="00722A47">
              <w:rPr>
                <w:rFonts w:asciiTheme="minorHAnsi" w:hAnsiTheme="minorHAnsi" w:cstheme="minorBidi"/>
                <w:sz w:val="20"/>
                <w:szCs w:val="20"/>
              </w:rPr>
              <w:t xml:space="preserve"> </w:t>
            </w:r>
            <w:r w:rsidRPr="00722A47">
              <w:rPr>
                <w:rFonts w:asciiTheme="minorHAnsi" w:hAnsiTheme="minorHAnsi" w:cstheme="minorBidi"/>
                <w:sz w:val="20"/>
                <w:lang w:eastAsia="de-DE"/>
              </w:rPr>
              <w:t>(zum Zwecke der Zuordenbarkeit z.B. bei bestehenden Registerpflichten) …</w:t>
            </w:r>
          </w:p>
          <w:p w14:paraId="404A0AE3" w14:textId="77777777" w:rsidR="00722A47" w:rsidRPr="00722A47" w:rsidRDefault="00722A47" w:rsidP="00656043">
            <w:pPr>
              <w:numPr>
                <w:ilvl w:val="1"/>
                <w:numId w:val="2"/>
              </w:numPr>
              <w:overflowPunct w:val="0"/>
              <w:autoSpaceDE w:val="0"/>
              <w:autoSpaceDN w:val="0"/>
              <w:adjustRightInd w:val="0"/>
              <w:spacing w:before="0" w:after="0" w:line="300" w:lineRule="exact"/>
              <w:ind w:left="426"/>
              <w:contextualSpacing/>
              <w:jc w:val="left"/>
              <w:textAlignment w:val="baseline"/>
              <w:rPr>
                <w:rFonts w:asciiTheme="minorHAnsi" w:hAnsiTheme="minorHAnsi" w:cstheme="minorBidi"/>
                <w:b/>
                <w:sz w:val="20"/>
                <w:szCs w:val="20"/>
              </w:rPr>
            </w:pPr>
            <w:r w:rsidRPr="00722A47">
              <w:rPr>
                <w:rFonts w:asciiTheme="minorHAnsi" w:hAnsiTheme="minorHAnsi" w:cstheme="minorBidi"/>
                <w:b/>
                <w:sz w:val="20"/>
                <w:szCs w:val="20"/>
              </w:rPr>
              <w:t>Güteüberwachende Stelle</w:t>
            </w:r>
          </w:p>
          <w:p w14:paraId="73906A6C"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sidRPr="00722A47">
              <w:rPr>
                <w:rFonts w:asciiTheme="minorHAnsi" w:hAnsiTheme="minorHAnsi" w:cstheme="minorBidi"/>
                <w:sz w:val="20"/>
                <w:szCs w:val="20"/>
              </w:rPr>
              <w:t>3.1 Name …</w:t>
            </w:r>
          </w:p>
          <w:p w14:paraId="064FA7C6"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sidRPr="00722A47">
              <w:rPr>
                <w:rFonts w:asciiTheme="minorHAnsi" w:hAnsiTheme="minorHAnsi" w:cstheme="minorBidi"/>
                <w:sz w:val="20"/>
                <w:szCs w:val="20"/>
              </w:rPr>
              <w:t>3.2 Straße und Hausnummer …</w:t>
            </w:r>
          </w:p>
          <w:p w14:paraId="38E41831"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sidRPr="00722A47">
              <w:rPr>
                <w:rFonts w:asciiTheme="minorHAnsi" w:hAnsiTheme="minorHAnsi" w:cstheme="minorBidi"/>
                <w:sz w:val="20"/>
                <w:szCs w:val="20"/>
              </w:rPr>
              <w:t>3.3 Postleitzahl …</w:t>
            </w:r>
          </w:p>
          <w:p w14:paraId="2180F1A9"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sidRPr="00722A47">
              <w:rPr>
                <w:rFonts w:asciiTheme="minorHAnsi" w:hAnsiTheme="minorHAnsi" w:cstheme="minorBidi"/>
                <w:sz w:val="20"/>
                <w:szCs w:val="20"/>
              </w:rPr>
              <w:t>3.4 Ort …</w:t>
            </w:r>
          </w:p>
          <w:p w14:paraId="6AC39C69"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sidRPr="00722A47">
              <w:rPr>
                <w:rFonts w:asciiTheme="minorHAnsi" w:hAnsiTheme="minorHAnsi" w:cstheme="minorBidi"/>
                <w:sz w:val="20"/>
                <w:szCs w:val="20"/>
              </w:rPr>
              <w:t>3.5 Staat …</w:t>
            </w:r>
          </w:p>
          <w:p w14:paraId="6D5454F0" w14:textId="77777777" w:rsidR="00722A47" w:rsidRPr="00722A47" w:rsidRDefault="00722A47" w:rsidP="00656043">
            <w:pPr>
              <w:numPr>
                <w:ilvl w:val="1"/>
                <w:numId w:val="2"/>
              </w:numPr>
              <w:overflowPunct w:val="0"/>
              <w:autoSpaceDE w:val="0"/>
              <w:autoSpaceDN w:val="0"/>
              <w:adjustRightInd w:val="0"/>
              <w:spacing w:before="0" w:after="0" w:line="300" w:lineRule="exact"/>
              <w:ind w:left="426"/>
              <w:contextualSpacing/>
              <w:jc w:val="left"/>
              <w:textAlignment w:val="baseline"/>
              <w:rPr>
                <w:rFonts w:asciiTheme="minorHAnsi" w:hAnsiTheme="minorHAnsi" w:cstheme="minorBidi"/>
                <w:b/>
                <w:sz w:val="20"/>
                <w:szCs w:val="20"/>
              </w:rPr>
            </w:pPr>
            <w:r w:rsidRPr="00722A47">
              <w:rPr>
                <w:rFonts w:asciiTheme="minorHAnsi" w:hAnsiTheme="minorHAnsi" w:cstheme="minorBidi"/>
                <w:b/>
                <w:sz w:val="20"/>
                <w:szCs w:val="20"/>
              </w:rPr>
              <w:t>Anforderungen für bestimmte Einbauweisen</w:t>
            </w:r>
          </w:p>
          <w:p w14:paraId="574B7180" w14:textId="77777777" w:rsidR="00722A47" w:rsidRPr="00722A47" w:rsidRDefault="00722A47" w:rsidP="00722A47">
            <w:pPr>
              <w:overflowPunct w:val="0"/>
              <w:autoSpaceDE w:val="0"/>
              <w:autoSpaceDN w:val="0"/>
              <w:adjustRightInd w:val="0"/>
              <w:spacing w:before="0" w:after="0" w:line="300" w:lineRule="exact"/>
              <w:ind w:left="952" w:hanging="352"/>
              <w:jc w:val="left"/>
              <w:textAlignment w:val="baseline"/>
              <w:rPr>
                <w:rFonts w:asciiTheme="minorHAnsi" w:hAnsiTheme="minorHAnsi" w:cstheme="minorBidi"/>
                <w:sz w:val="20"/>
                <w:szCs w:val="20"/>
              </w:rPr>
            </w:pPr>
            <w:r w:rsidRPr="00722A47">
              <w:rPr>
                <w:rFonts w:asciiTheme="minorHAnsi" w:hAnsiTheme="minorHAnsi" w:cstheme="minorBidi"/>
                <w:sz w:val="20"/>
                <w:szCs w:val="20"/>
              </w:rPr>
              <w:t>4.1 Angaben über die Einhaltung von in den Fußnoten der jeweiligen Einbautabelle für bestimmte Einbauweisen nach Anlage 2 oder 3 genannten Anforderungen …</w:t>
            </w:r>
          </w:p>
          <w:p w14:paraId="044E0E26" w14:textId="77777777" w:rsidR="00722A47" w:rsidRPr="00722A47" w:rsidRDefault="00722A47" w:rsidP="00656043">
            <w:pPr>
              <w:numPr>
                <w:ilvl w:val="1"/>
                <w:numId w:val="2"/>
              </w:numPr>
              <w:overflowPunct w:val="0"/>
              <w:autoSpaceDE w:val="0"/>
              <w:autoSpaceDN w:val="0"/>
              <w:adjustRightInd w:val="0"/>
              <w:spacing w:before="0" w:after="0" w:line="300" w:lineRule="exact"/>
              <w:ind w:left="426"/>
              <w:contextualSpacing/>
              <w:jc w:val="left"/>
              <w:textAlignment w:val="baseline"/>
              <w:rPr>
                <w:rFonts w:asciiTheme="minorHAnsi" w:hAnsiTheme="minorHAnsi" w:cstheme="minorBidi"/>
                <w:b/>
                <w:sz w:val="20"/>
                <w:szCs w:val="20"/>
              </w:rPr>
            </w:pPr>
            <w:r w:rsidRPr="00722A47">
              <w:rPr>
                <w:rFonts w:asciiTheme="minorHAnsi" w:hAnsiTheme="minorHAnsi" w:cstheme="minorBidi"/>
                <w:b/>
                <w:sz w:val="20"/>
                <w:szCs w:val="20"/>
              </w:rPr>
              <w:t>Angaben zur Lieferung</w:t>
            </w:r>
          </w:p>
          <w:p w14:paraId="418188B1"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sidRPr="00722A47">
              <w:rPr>
                <w:rFonts w:asciiTheme="minorHAnsi" w:hAnsiTheme="minorHAnsi" w:cstheme="minorBidi"/>
                <w:sz w:val="20"/>
                <w:szCs w:val="20"/>
              </w:rPr>
              <w:t xml:space="preserve">5.1 Liefermenge (in Tonnen) …     </w:t>
            </w:r>
          </w:p>
          <w:p w14:paraId="2165D3AE"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sidRPr="00722A47">
              <w:rPr>
                <w:rFonts w:asciiTheme="minorHAnsi" w:hAnsiTheme="minorHAnsi" w:cstheme="minorBidi"/>
                <w:sz w:val="20"/>
                <w:szCs w:val="20"/>
              </w:rPr>
              <w:t>5.2 Abgabedatum …</w:t>
            </w:r>
          </w:p>
          <w:p w14:paraId="5A768AD5" w14:textId="77777777" w:rsidR="00722A47" w:rsidRPr="00722A47" w:rsidRDefault="00722A47" w:rsidP="00722A47">
            <w:pPr>
              <w:overflowPunct w:val="0"/>
              <w:autoSpaceDE w:val="0"/>
              <w:autoSpaceDN w:val="0"/>
              <w:adjustRightInd w:val="0"/>
              <w:spacing w:before="0" w:after="0" w:line="300" w:lineRule="exact"/>
              <w:ind w:left="885" w:hanging="284"/>
              <w:jc w:val="left"/>
              <w:textAlignment w:val="baseline"/>
              <w:rPr>
                <w:rFonts w:asciiTheme="minorHAnsi" w:hAnsiTheme="minorHAnsi" w:cstheme="minorBidi"/>
                <w:sz w:val="20"/>
                <w:szCs w:val="20"/>
              </w:rPr>
            </w:pPr>
            <w:r w:rsidRPr="00722A47">
              <w:rPr>
                <w:rFonts w:asciiTheme="minorHAnsi" w:hAnsiTheme="minorHAnsi" w:cstheme="minorBidi"/>
                <w:sz w:val="20"/>
                <w:szCs w:val="20"/>
              </w:rPr>
              <w:t>5.3 Lieferkörnung oder Bodengruppe ….</w:t>
            </w:r>
          </w:p>
          <w:p w14:paraId="10B8F84E" w14:textId="77777777" w:rsidR="00722A47" w:rsidRPr="00722A47" w:rsidRDefault="00722A47" w:rsidP="00656043">
            <w:pPr>
              <w:numPr>
                <w:ilvl w:val="1"/>
                <w:numId w:val="2"/>
              </w:numPr>
              <w:overflowPunct w:val="0"/>
              <w:autoSpaceDE w:val="0"/>
              <w:autoSpaceDN w:val="0"/>
              <w:adjustRightInd w:val="0"/>
              <w:spacing w:before="0" w:after="0" w:line="300" w:lineRule="exact"/>
              <w:ind w:left="426"/>
              <w:contextualSpacing/>
              <w:jc w:val="left"/>
              <w:textAlignment w:val="baseline"/>
              <w:rPr>
                <w:rFonts w:asciiTheme="minorHAnsi" w:hAnsiTheme="minorHAnsi" w:cstheme="minorBidi"/>
                <w:b/>
                <w:sz w:val="20"/>
                <w:szCs w:val="20"/>
              </w:rPr>
            </w:pPr>
            <w:r w:rsidRPr="00722A47">
              <w:rPr>
                <w:rFonts w:asciiTheme="minorHAnsi" w:hAnsiTheme="minorHAnsi" w:cstheme="minorBidi"/>
                <w:b/>
                <w:sz w:val="20"/>
                <w:szCs w:val="20"/>
              </w:rPr>
              <w:t>Beförderer des mineralischen Ersatzbaustoffes oder des Gemisches (Hauptsitz des Betriebes)</w:t>
            </w:r>
          </w:p>
          <w:p w14:paraId="231A8388"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sidRPr="00722A47">
              <w:rPr>
                <w:rFonts w:asciiTheme="minorHAnsi" w:hAnsiTheme="minorHAnsi" w:cstheme="minorBidi"/>
                <w:sz w:val="20"/>
                <w:szCs w:val="20"/>
              </w:rPr>
              <w:t>6.1 Name/Firma/Körperschaft …</w:t>
            </w:r>
          </w:p>
          <w:p w14:paraId="4B34BEEA"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sidRPr="00722A47">
              <w:rPr>
                <w:rFonts w:asciiTheme="minorHAnsi" w:hAnsiTheme="minorHAnsi" w:cstheme="minorBidi"/>
                <w:sz w:val="20"/>
                <w:szCs w:val="20"/>
              </w:rPr>
              <w:t>6.2 Straße und Hausnummer …</w:t>
            </w:r>
          </w:p>
          <w:p w14:paraId="418CEDED"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sidRPr="00722A47">
              <w:rPr>
                <w:rFonts w:asciiTheme="minorHAnsi" w:hAnsiTheme="minorHAnsi" w:cstheme="minorBidi"/>
                <w:sz w:val="20"/>
                <w:szCs w:val="20"/>
              </w:rPr>
              <w:t>6.3 Postleitzahl …</w:t>
            </w:r>
          </w:p>
          <w:p w14:paraId="56906B8C"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sidRPr="00722A47">
              <w:rPr>
                <w:rFonts w:asciiTheme="minorHAnsi" w:hAnsiTheme="minorHAnsi" w:cstheme="minorBidi"/>
                <w:sz w:val="20"/>
                <w:szCs w:val="20"/>
              </w:rPr>
              <w:t>6.4 Ort …</w:t>
            </w:r>
          </w:p>
          <w:p w14:paraId="7D7ABA83"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sidRPr="00722A47">
              <w:rPr>
                <w:rFonts w:asciiTheme="minorHAnsi" w:hAnsiTheme="minorHAnsi" w:cstheme="minorBidi"/>
                <w:sz w:val="20"/>
                <w:szCs w:val="20"/>
              </w:rPr>
              <w:t>6.5 Staat …</w:t>
            </w:r>
          </w:p>
          <w:p w14:paraId="68523FEE"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sidRPr="00722A47">
              <w:rPr>
                <w:rFonts w:asciiTheme="minorHAnsi" w:hAnsiTheme="minorHAnsi" w:cstheme="minorBidi"/>
                <w:sz w:val="20"/>
                <w:szCs w:val="20"/>
              </w:rPr>
              <w:t>6.6 Telefon und Telefax …</w:t>
            </w:r>
          </w:p>
          <w:p w14:paraId="366B6F8B"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rPr>
            </w:pPr>
            <w:r w:rsidRPr="00722A47">
              <w:rPr>
                <w:rFonts w:asciiTheme="minorHAnsi" w:hAnsiTheme="minorHAnsi" w:cstheme="minorBidi"/>
                <w:sz w:val="20"/>
                <w:szCs w:val="20"/>
              </w:rPr>
              <w:t>6</w:t>
            </w:r>
            <w:r w:rsidRPr="00722A47">
              <w:rPr>
                <w:rFonts w:asciiTheme="minorHAnsi" w:hAnsiTheme="minorHAnsi" w:cstheme="minorBidi"/>
                <w:sz w:val="20"/>
              </w:rPr>
              <w:t xml:space="preserve">.7 E-Mail </w:t>
            </w:r>
            <w:r w:rsidRPr="00722A47">
              <w:rPr>
                <w:rFonts w:asciiTheme="minorHAnsi" w:hAnsiTheme="minorHAnsi" w:cstheme="minorBidi"/>
                <w:sz w:val="20"/>
                <w:szCs w:val="20"/>
              </w:rPr>
              <w:t>…</w:t>
            </w:r>
          </w:p>
          <w:p w14:paraId="52A2F86B" w14:textId="77777777" w:rsidR="00722A47" w:rsidRPr="00722A47" w:rsidRDefault="00722A47" w:rsidP="00656043">
            <w:pPr>
              <w:numPr>
                <w:ilvl w:val="1"/>
                <w:numId w:val="2"/>
              </w:numPr>
              <w:overflowPunct w:val="0"/>
              <w:autoSpaceDE w:val="0"/>
              <w:autoSpaceDN w:val="0"/>
              <w:adjustRightInd w:val="0"/>
              <w:spacing w:before="0" w:after="0" w:line="300" w:lineRule="exact"/>
              <w:ind w:left="426"/>
              <w:contextualSpacing/>
              <w:jc w:val="left"/>
              <w:textAlignment w:val="baseline"/>
              <w:rPr>
                <w:rFonts w:asciiTheme="minorHAnsi" w:hAnsiTheme="minorHAnsi" w:cstheme="minorBidi"/>
                <w:b/>
                <w:sz w:val="20"/>
                <w:szCs w:val="20"/>
              </w:rPr>
            </w:pPr>
            <w:r w:rsidRPr="00722A47">
              <w:rPr>
                <w:rFonts w:asciiTheme="minorHAnsi" w:hAnsiTheme="minorHAnsi" w:cstheme="minorBidi"/>
                <w:b/>
                <w:sz w:val="20"/>
                <w:szCs w:val="20"/>
              </w:rPr>
              <w:t>Datum und Unterschrift</w:t>
            </w:r>
          </w:p>
          <w:p w14:paraId="5121014E"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sidRPr="00722A47">
              <w:rPr>
                <w:rFonts w:asciiTheme="minorHAnsi" w:hAnsiTheme="minorHAnsi" w:cstheme="minorBidi"/>
                <w:sz w:val="20"/>
                <w:szCs w:val="20"/>
              </w:rPr>
              <w:t>7.1 Datum …</w:t>
            </w:r>
          </w:p>
          <w:p w14:paraId="7A3BDE68"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rPr>
            </w:pPr>
            <w:r w:rsidRPr="00722A47">
              <w:rPr>
                <w:rFonts w:asciiTheme="minorHAnsi" w:hAnsiTheme="minorHAnsi" w:cstheme="minorBidi"/>
                <w:sz w:val="20"/>
                <w:szCs w:val="20"/>
              </w:rPr>
              <w:t>7.2. Unterschrift des Inverkehrbringers (als Versicherung der Richtigkeit getroffener Angaben) …</w:t>
            </w:r>
          </w:p>
        </w:tc>
      </w:tr>
    </w:tbl>
    <w:p w14:paraId="7DEDE312" w14:textId="77777777" w:rsidR="00722A47" w:rsidRDefault="00722A47" w:rsidP="00722A47">
      <w:pPr>
        <w:sectPr w:rsidR="00722A47" w:rsidSect="007947FE">
          <w:pgSz w:w="11907" w:h="16839"/>
          <w:pgMar w:top="1134" w:right="1417" w:bottom="1134" w:left="1701" w:header="709" w:footer="709" w:gutter="0"/>
          <w:cols w:space="708"/>
          <w:docGrid w:linePitch="360"/>
        </w:sectPr>
      </w:pPr>
    </w:p>
    <w:p w14:paraId="2A2D1FA1" w14:textId="77777777" w:rsidR="00722A47" w:rsidRPr="00722A47" w:rsidRDefault="00722A47" w:rsidP="00722A47">
      <w:pPr>
        <w:pStyle w:val="AnlageBezeichnernummeriert"/>
      </w:pPr>
    </w:p>
    <w:p w14:paraId="20232128" w14:textId="77777777" w:rsidR="00722A47" w:rsidRPr="00722A47" w:rsidRDefault="00722A47" w:rsidP="00722A47">
      <w:pPr>
        <w:pStyle w:val="AnlageVerweis"/>
      </w:pPr>
      <w:r w:rsidRPr="008D0377">
        <w:t>(zu § 22 Absatz 1 Satz 1, § 22 Absatz 2, § 22 Absatz 4 und § 25 Absatz 3)</w:t>
      </w:r>
    </w:p>
    <w:p w14:paraId="7EBBC1CF" w14:textId="77777777" w:rsidR="00722A47" w:rsidRPr="00722A47" w:rsidRDefault="00722A47" w:rsidP="00722A47">
      <w:pPr>
        <w:pStyle w:val="Anlageberschrift"/>
      </w:pPr>
      <w:bookmarkStart w:id="53" w:name="_Toc64380074"/>
      <w:r w:rsidRPr="008D0377">
        <w:t>Muster Deckblatt/ Voranzeige/ Abschlussanzeige</w:t>
      </w:r>
      <w:bookmarkEnd w:id="53"/>
    </w:p>
    <w:p w14:paraId="040730F1" w14:textId="77777777" w:rsidR="00722A47" w:rsidRPr="00722A47" w:rsidRDefault="00722A47" w:rsidP="00656043">
      <w:pPr>
        <w:numPr>
          <w:ilvl w:val="0"/>
          <w:numId w:val="6"/>
        </w:numPr>
        <w:spacing w:before="0" w:after="0" w:line="360" w:lineRule="atLeast"/>
        <w:jc w:val="center"/>
        <w:rPr>
          <w:b/>
          <w:sz w:val="26"/>
        </w:rPr>
      </w:pPr>
    </w:p>
    <w:tbl>
      <w:tblPr>
        <w:tblStyle w:val="Tabellenraster62"/>
        <w:tblW w:w="5162" w:type="pct"/>
        <w:tblLook w:val="04A0" w:firstRow="1" w:lastRow="0" w:firstColumn="1" w:lastColumn="0" w:noHBand="0" w:noVBand="1"/>
      </w:tblPr>
      <w:tblGrid>
        <w:gridCol w:w="9063"/>
      </w:tblGrid>
      <w:tr w:rsidR="00722A47" w:rsidRPr="00722A47" w14:paraId="2BCBF851" w14:textId="77777777" w:rsidTr="004954C9">
        <w:tc>
          <w:tcPr>
            <w:tcW w:w="5000" w:type="pct"/>
            <w:tcBorders>
              <w:bottom w:val="single" w:sz="4" w:space="0" w:color="auto"/>
            </w:tcBorders>
          </w:tcPr>
          <w:p w14:paraId="22ED4214" w14:textId="77777777" w:rsidR="00722A47" w:rsidRPr="00722A47" w:rsidRDefault="00722A47" w:rsidP="00722A47">
            <w:pPr>
              <w:overflowPunct w:val="0"/>
              <w:autoSpaceDE w:val="0"/>
              <w:autoSpaceDN w:val="0"/>
              <w:adjustRightInd w:val="0"/>
              <w:spacing w:before="0" w:after="0" w:line="300" w:lineRule="exact"/>
              <w:jc w:val="left"/>
              <w:textAlignment w:val="baseline"/>
              <w:rPr>
                <w:rFonts w:asciiTheme="minorHAnsi" w:hAnsiTheme="minorHAnsi" w:cstheme="minorBidi"/>
                <w:b/>
              </w:rPr>
            </w:pPr>
            <w:r w:rsidRPr="00722A47">
              <w:rPr>
                <w:rFonts w:asciiTheme="minorHAnsi" w:hAnsiTheme="minorHAnsi" w:cstheme="minorBidi"/>
                <w:b/>
              </w:rPr>
              <w:t>Bezeichnung der Baumaßnahme: …</w:t>
            </w:r>
          </w:p>
          <w:p w14:paraId="030CB969" w14:textId="77777777" w:rsidR="00722A47" w:rsidRPr="00722A47" w:rsidRDefault="00722A47" w:rsidP="00722A47">
            <w:pPr>
              <w:pBdr>
                <w:bottom w:val="single" w:sz="6" w:space="1" w:color="auto"/>
              </w:pBdr>
              <w:overflowPunct w:val="0"/>
              <w:autoSpaceDE w:val="0"/>
              <w:autoSpaceDN w:val="0"/>
              <w:adjustRightInd w:val="0"/>
              <w:spacing w:before="0" w:after="0" w:line="300" w:lineRule="exact"/>
              <w:jc w:val="left"/>
              <w:textAlignment w:val="baseline"/>
              <w:rPr>
                <w:rFonts w:asciiTheme="minorHAnsi" w:hAnsiTheme="minorHAnsi" w:cstheme="minorBidi"/>
              </w:rPr>
            </w:pPr>
            <w:r w:rsidRPr="00722A47">
              <w:rPr>
                <w:rFonts w:asciiTheme="minorHAnsi" w:hAnsiTheme="minorHAnsi" w:cstheme="minorBidi"/>
                <w:b/>
              </w:rPr>
              <w:t xml:space="preserve">Koordinaten des Einbaus: </w:t>
            </w:r>
            <w:r w:rsidRPr="00722A47">
              <w:rPr>
                <w:rFonts w:asciiTheme="minorHAnsi" w:hAnsiTheme="minorHAnsi" w:cstheme="minorBidi"/>
              </w:rPr>
              <w:t>…</w:t>
            </w:r>
          </w:p>
          <w:p w14:paraId="1A3190D8" w14:textId="77777777" w:rsidR="00722A47" w:rsidRPr="00722A47" w:rsidRDefault="00722A47" w:rsidP="00722A47">
            <w:pPr>
              <w:overflowPunct w:val="0"/>
              <w:autoSpaceDE w:val="0"/>
              <w:autoSpaceDN w:val="0"/>
              <w:adjustRightInd w:val="0"/>
              <w:spacing w:before="0" w:after="0" w:line="300" w:lineRule="exact"/>
              <w:jc w:val="left"/>
              <w:textAlignment w:val="baseline"/>
              <w:rPr>
                <w:rFonts w:asciiTheme="minorHAnsi" w:hAnsiTheme="minorHAnsi" w:cstheme="minorBidi"/>
              </w:rPr>
            </w:pPr>
            <w:proofErr w:type="gramStart"/>
            <w:r w:rsidRPr="00722A47">
              <w:rPr>
                <w:rFonts w:ascii="MS Gothic" w:eastAsia="MS Gothic" w:hAnsi="MS Gothic" w:cs="MS Gothic"/>
              </w:rPr>
              <w:t xml:space="preserve">☐  </w:t>
            </w:r>
            <w:r w:rsidRPr="00722A47">
              <w:rPr>
                <w:rFonts w:asciiTheme="minorHAnsi" w:eastAsia="MS Gothic" w:hAnsiTheme="minorHAnsi" w:cstheme="minorBidi"/>
              </w:rPr>
              <w:t>Es</w:t>
            </w:r>
            <w:proofErr w:type="gramEnd"/>
            <w:r w:rsidRPr="00722A47">
              <w:rPr>
                <w:rFonts w:asciiTheme="minorHAnsi" w:eastAsia="MS Gothic" w:hAnsiTheme="minorHAnsi" w:cstheme="minorBidi"/>
              </w:rPr>
              <w:t xml:space="preserve"> handelt sich um das</w:t>
            </w:r>
            <w:r w:rsidRPr="00722A47">
              <w:rPr>
                <w:rFonts w:asciiTheme="minorHAnsi" w:hAnsiTheme="minorHAnsi" w:cstheme="minorBidi"/>
              </w:rPr>
              <w:t xml:space="preserve"> </w:t>
            </w:r>
            <w:r w:rsidRPr="00722A47">
              <w:rPr>
                <w:rFonts w:asciiTheme="minorHAnsi" w:hAnsiTheme="minorHAnsi" w:cstheme="minorBidi"/>
                <w:b/>
              </w:rPr>
              <w:t>Deckblatt</w:t>
            </w:r>
            <w:r w:rsidRPr="00722A47">
              <w:rPr>
                <w:rFonts w:asciiTheme="minorHAnsi" w:hAnsiTheme="minorHAnsi" w:cstheme="minorBidi"/>
              </w:rPr>
              <w:t xml:space="preserve"> nach § 25 Absatz 3 Satz 1:</w:t>
            </w:r>
          </w:p>
          <w:p w14:paraId="7A8E5B93" w14:textId="77777777" w:rsidR="00722A47" w:rsidRPr="00722A47" w:rsidRDefault="00722A47" w:rsidP="00722A47">
            <w:pPr>
              <w:overflowPunct w:val="0"/>
              <w:autoSpaceDE w:val="0"/>
              <w:autoSpaceDN w:val="0"/>
              <w:adjustRightInd w:val="0"/>
              <w:spacing w:before="0" w:after="0" w:line="300" w:lineRule="exact"/>
              <w:jc w:val="left"/>
              <w:textAlignment w:val="baseline"/>
              <w:rPr>
                <w:rFonts w:asciiTheme="minorHAnsi" w:hAnsiTheme="minorHAnsi" w:cstheme="minorBidi"/>
              </w:rPr>
            </w:pPr>
            <w:r w:rsidRPr="00722A47">
              <w:rPr>
                <w:rFonts w:asciiTheme="minorHAnsi" w:hAnsiTheme="minorHAnsi" w:cstheme="minorBidi"/>
              </w:rPr>
              <w:t xml:space="preserve">         Es sind Angaben zu den Nummern </w:t>
            </w:r>
            <w:r w:rsidRPr="00722A47">
              <w:rPr>
                <w:rFonts w:asciiTheme="minorHAnsi" w:hAnsiTheme="minorHAnsi" w:cstheme="minorBidi"/>
                <w:b/>
              </w:rPr>
              <w:t>1, 2, 4, 5, 8, 9 und 10</w:t>
            </w:r>
            <w:r w:rsidRPr="00722A47">
              <w:rPr>
                <w:rFonts w:asciiTheme="minorHAnsi" w:hAnsiTheme="minorHAnsi" w:cstheme="minorBidi"/>
              </w:rPr>
              <w:t xml:space="preserve"> erforderlich.</w:t>
            </w:r>
          </w:p>
          <w:p w14:paraId="425C1495" w14:textId="77777777" w:rsidR="00722A47" w:rsidRPr="00722A47" w:rsidRDefault="00722A47" w:rsidP="00722A47">
            <w:pPr>
              <w:pBdr>
                <w:bottom w:val="single" w:sz="6" w:space="1" w:color="auto"/>
              </w:pBdr>
              <w:tabs>
                <w:tab w:val="left" w:pos="284"/>
              </w:tabs>
              <w:spacing w:before="0" w:after="0" w:line="300" w:lineRule="exact"/>
              <w:jc w:val="left"/>
              <w:rPr>
                <w:rFonts w:asciiTheme="minorHAnsi" w:hAnsiTheme="minorHAnsi" w:cstheme="minorBidi"/>
              </w:rPr>
            </w:pPr>
            <w:proofErr w:type="gramStart"/>
            <w:r w:rsidRPr="00722A47">
              <w:rPr>
                <w:rFonts w:ascii="MS Gothic" w:eastAsia="MS Gothic" w:hAnsi="MS Gothic" w:cs="MS Gothic"/>
              </w:rPr>
              <w:t xml:space="preserve">☐  </w:t>
            </w:r>
            <w:r w:rsidRPr="00722A47">
              <w:rPr>
                <w:rFonts w:asciiTheme="minorHAnsi" w:hAnsiTheme="minorHAnsi" w:cstheme="minorBidi"/>
              </w:rPr>
              <w:t>Es</w:t>
            </w:r>
            <w:proofErr w:type="gramEnd"/>
            <w:r w:rsidRPr="00722A47">
              <w:rPr>
                <w:rFonts w:asciiTheme="minorHAnsi" w:hAnsiTheme="minorHAnsi" w:cstheme="minorBidi"/>
              </w:rPr>
              <w:t xml:space="preserve"> handelt sich um die </w:t>
            </w:r>
            <w:r w:rsidRPr="00722A47">
              <w:rPr>
                <w:rFonts w:asciiTheme="minorHAnsi" w:hAnsiTheme="minorHAnsi" w:cstheme="minorBidi"/>
                <w:b/>
              </w:rPr>
              <w:t>Voranzeige</w:t>
            </w:r>
            <w:r w:rsidRPr="00722A47">
              <w:rPr>
                <w:rFonts w:asciiTheme="minorHAnsi" w:hAnsiTheme="minorHAnsi" w:cstheme="minorBidi"/>
              </w:rPr>
              <w:t xml:space="preserve"> nach § 22 Absatz 1 Satz 1 oder Absatz 2 Satz 1:</w:t>
            </w:r>
          </w:p>
          <w:p w14:paraId="618E6D78" w14:textId="77777777" w:rsidR="00722A47" w:rsidRPr="00722A47" w:rsidRDefault="00722A47" w:rsidP="00722A47">
            <w:pPr>
              <w:pBdr>
                <w:bottom w:val="single" w:sz="6" w:space="1" w:color="auto"/>
              </w:pBdr>
              <w:tabs>
                <w:tab w:val="left" w:pos="284"/>
              </w:tabs>
              <w:spacing w:before="0" w:after="0" w:line="300" w:lineRule="exact"/>
              <w:jc w:val="left"/>
              <w:rPr>
                <w:rFonts w:asciiTheme="minorHAnsi" w:hAnsiTheme="minorHAnsi" w:cstheme="minorBidi"/>
              </w:rPr>
            </w:pPr>
            <w:r w:rsidRPr="00722A47">
              <w:rPr>
                <w:rFonts w:asciiTheme="minorHAnsi" w:hAnsiTheme="minorHAnsi" w:cstheme="minorBidi"/>
              </w:rPr>
              <w:t xml:space="preserve">         Es sind Angaben zu den Nummern </w:t>
            </w:r>
            <w:r w:rsidRPr="00722A47">
              <w:rPr>
                <w:rFonts w:asciiTheme="minorHAnsi" w:hAnsiTheme="minorHAnsi" w:cstheme="minorBidi"/>
                <w:b/>
              </w:rPr>
              <w:t>1, 2, 3, 4, 5, 8, 9 und 10</w:t>
            </w:r>
            <w:r w:rsidRPr="00722A47">
              <w:rPr>
                <w:rFonts w:asciiTheme="minorHAnsi" w:hAnsiTheme="minorHAnsi" w:cstheme="minorBidi"/>
              </w:rPr>
              <w:t xml:space="preserve"> erforderlich.</w:t>
            </w:r>
          </w:p>
          <w:p w14:paraId="300A9087" w14:textId="77777777" w:rsidR="00722A47" w:rsidRPr="00722A47" w:rsidRDefault="00722A47" w:rsidP="00722A47">
            <w:pPr>
              <w:pBdr>
                <w:bottom w:val="single" w:sz="6" w:space="1" w:color="auto"/>
              </w:pBdr>
              <w:tabs>
                <w:tab w:val="left" w:pos="284"/>
              </w:tabs>
              <w:spacing w:before="0" w:after="0" w:line="300" w:lineRule="exact"/>
              <w:jc w:val="left"/>
              <w:rPr>
                <w:rFonts w:asciiTheme="minorHAnsi" w:hAnsiTheme="minorHAnsi" w:cstheme="minorBidi"/>
              </w:rPr>
            </w:pPr>
            <w:proofErr w:type="gramStart"/>
            <w:r w:rsidRPr="00722A47">
              <w:rPr>
                <w:rFonts w:ascii="MS Gothic" w:eastAsia="MS Gothic" w:hAnsi="MS Gothic" w:cs="MS Gothic"/>
              </w:rPr>
              <w:t xml:space="preserve">☐  </w:t>
            </w:r>
            <w:r w:rsidRPr="00722A47">
              <w:rPr>
                <w:rFonts w:asciiTheme="minorHAnsi" w:hAnsiTheme="minorHAnsi" w:cstheme="minorBidi"/>
              </w:rPr>
              <w:t>Es</w:t>
            </w:r>
            <w:proofErr w:type="gramEnd"/>
            <w:r w:rsidRPr="00722A47">
              <w:rPr>
                <w:rFonts w:asciiTheme="minorHAnsi" w:hAnsiTheme="minorHAnsi" w:cstheme="minorBidi"/>
              </w:rPr>
              <w:t xml:space="preserve"> handelt sich um die </w:t>
            </w:r>
            <w:r w:rsidRPr="00722A47">
              <w:rPr>
                <w:rFonts w:asciiTheme="minorHAnsi" w:hAnsiTheme="minorHAnsi" w:cstheme="minorBidi"/>
                <w:b/>
              </w:rPr>
              <w:t>Abschlussanzeige</w:t>
            </w:r>
            <w:r w:rsidRPr="00722A47">
              <w:rPr>
                <w:rFonts w:asciiTheme="minorHAnsi" w:hAnsiTheme="minorHAnsi" w:cstheme="minorBidi"/>
              </w:rPr>
              <w:t xml:space="preserve"> nach § 22 Absatz 4: </w:t>
            </w:r>
          </w:p>
          <w:p w14:paraId="20574F28" w14:textId="77777777" w:rsidR="00722A47" w:rsidRPr="00722A47" w:rsidRDefault="00722A47" w:rsidP="00722A47">
            <w:pPr>
              <w:pBdr>
                <w:bottom w:val="single" w:sz="6" w:space="1" w:color="auto"/>
              </w:pBdr>
              <w:tabs>
                <w:tab w:val="left" w:pos="284"/>
              </w:tabs>
              <w:spacing w:before="0" w:after="0" w:line="300" w:lineRule="exact"/>
              <w:jc w:val="left"/>
              <w:rPr>
                <w:rFonts w:asciiTheme="minorHAnsi" w:hAnsiTheme="minorHAnsi" w:cstheme="minorBidi"/>
              </w:rPr>
            </w:pPr>
            <w:r w:rsidRPr="00722A47">
              <w:rPr>
                <w:rFonts w:asciiTheme="minorHAnsi" w:hAnsiTheme="minorHAnsi" w:cstheme="minorBidi"/>
              </w:rPr>
              <w:t xml:space="preserve">         Es sind Angaben zu den Nummern </w:t>
            </w:r>
            <w:r w:rsidRPr="00722A47">
              <w:rPr>
                <w:rFonts w:asciiTheme="minorHAnsi" w:hAnsiTheme="minorHAnsi" w:cstheme="minorBidi"/>
                <w:b/>
              </w:rPr>
              <w:t>1, 2,</w:t>
            </w:r>
            <w:r w:rsidRPr="00722A47">
              <w:rPr>
                <w:rFonts w:asciiTheme="minorHAnsi" w:hAnsiTheme="minorHAnsi" w:cstheme="minorBidi"/>
              </w:rPr>
              <w:t xml:space="preserve"> </w:t>
            </w:r>
            <w:r w:rsidRPr="00722A47">
              <w:rPr>
                <w:rFonts w:asciiTheme="minorHAnsi" w:hAnsiTheme="minorHAnsi" w:cstheme="minorBidi"/>
                <w:b/>
              </w:rPr>
              <w:t xml:space="preserve">6, 7 und 8 </w:t>
            </w:r>
            <w:r w:rsidRPr="00722A47">
              <w:rPr>
                <w:rFonts w:asciiTheme="minorHAnsi" w:hAnsiTheme="minorHAnsi" w:cstheme="minorBidi"/>
              </w:rPr>
              <w:t>erforderlich.</w:t>
            </w:r>
          </w:p>
          <w:p w14:paraId="50846947" w14:textId="77777777" w:rsidR="00722A47" w:rsidRPr="00722A47" w:rsidRDefault="00722A47" w:rsidP="00656043">
            <w:pPr>
              <w:numPr>
                <w:ilvl w:val="0"/>
                <w:numId w:val="24"/>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b/>
              </w:rPr>
            </w:pPr>
            <w:proofErr w:type="gramStart"/>
            <w:r w:rsidRPr="00722A47">
              <w:rPr>
                <w:rFonts w:ascii="MS Gothic" w:eastAsia="MS Gothic" w:hAnsi="MS Gothic" w:cs="MS Gothic"/>
              </w:rPr>
              <w:t xml:space="preserve">☐  </w:t>
            </w:r>
            <w:r w:rsidRPr="00722A47">
              <w:rPr>
                <w:rFonts w:asciiTheme="minorHAnsi" w:hAnsiTheme="minorHAnsi" w:cstheme="minorBidi"/>
                <w:b/>
              </w:rPr>
              <w:t>Verwender</w:t>
            </w:r>
            <w:proofErr w:type="gramEnd"/>
            <w:r w:rsidRPr="00722A47">
              <w:rPr>
                <w:rFonts w:asciiTheme="minorHAnsi" w:hAnsiTheme="minorHAnsi" w:cstheme="minorBidi"/>
                <w:b/>
              </w:rPr>
              <w:t xml:space="preserve"> des mineralischen Ersatzbaustoffes oder des Gemisches (Hauptsitz des Betriebes)</w:t>
            </w:r>
          </w:p>
          <w:p w14:paraId="02C7A808" w14:textId="77777777" w:rsidR="00722A47" w:rsidRPr="00722A47" w:rsidRDefault="00722A47" w:rsidP="00656043">
            <w:pPr>
              <w:numPr>
                <w:ilvl w:val="1"/>
                <w:numId w:val="23"/>
              </w:numPr>
              <w:overflowPunct w:val="0"/>
              <w:autoSpaceDE w:val="0"/>
              <w:autoSpaceDN w:val="0"/>
              <w:adjustRightInd w:val="0"/>
              <w:spacing w:before="0" w:after="0" w:line="300" w:lineRule="exact"/>
              <w:ind w:left="884"/>
              <w:contextualSpacing/>
              <w:jc w:val="left"/>
              <w:textAlignment w:val="baseline"/>
              <w:rPr>
                <w:rFonts w:asciiTheme="minorHAnsi" w:hAnsiTheme="minorHAnsi" w:cstheme="minorBidi"/>
              </w:rPr>
            </w:pPr>
            <w:r w:rsidRPr="00722A47">
              <w:rPr>
                <w:rFonts w:asciiTheme="minorHAnsi" w:hAnsiTheme="minorHAnsi" w:cstheme="minorBidi"/>
              </w:rPr>
              <w:t>Firma/Körperschaft …</w:t>
            </w:r>
          </w:p>
          <w:p w14:paraId="4085E936" w14:textId="77777777" w:rsidR="00722A47" w:rsidRPr="00722A47" w:rsidRDefault="00722A47" w:rsidP="00656043">
            <w:pPr>
              <w:numPr>
                <w:ilvl w:val="1"/>
                <w:numId w:val="23"/>
              </w:numPr>
              <w:overflowPunct w:val="0"/>
              <w:autoSpaceDE w:val="0"/>
              <w:autoSpaceDN w:val="0"/>
              <w:adjustRightInd w:val="0"/>
              <w:spacing w:before="0" w:after="0" w:line="300" w:lineRule="exact"/>
              <w:ind w:left="884"/>
              <w:contextualSpacing/>
              <w:jc w:val="left"/>
              <w:textAlignment w:val="baseline"/>
              <w:rPr>
                <w:rFonts w:asciiTheme="minorHAnsi" w:hAnsiTheme="minorHAnsi" w:cstheme="minorBidi"/>
              </w:rPr>
            </w:pPr>
            <w:r w:rsidRPr="00722A47">
              <w:rPr>
                <w:rFonts w:asciiTheme="minorHAnsi" w:hAnsiTheme="minorHAnsi" w:cstheme="minorBidi"/>
              </w:rPr>
              <w:t>Straße und Hausnummer …</w:t>
            </w:r>
          </w:p>
          <w:p w14:paraId="6C50A032" w14:textId="77777777" w:rsidR="00722A47" w:rsidRPr="00722A47" w:rsidRDefault="00722A47" w:rsidP="00656043">
            <w:pPr>
              <w:numPr>
                <w:ilvl w:val="1"/>
                <w:numId w:val="23"/>
              </w:numPr>
              <w:overflowPunct w:val="0"/>
              <w:autoSpaceDE w:val="0"/>
              <w:autoSpaceDN w:val="0"/>
              <w:adjustRightInd w:val="0"/>
              <w:spacing w:before="0" w:after="0" w:line="300" w:lineRule="exact"/>
              <w:ind w:left="884"/>
              <w:contextualSpacing/>
              <w:jc w:val="left"/>
              <w:textAlignment w:val="baseline"/>
              <w:rPr>
                <w:rFonts w:asciiTheme="minorHAnsi" w:hAnsiTheme="minorHAnsi" w:cstheme="minorBidi"/>
              </w:rPr>
            </w:pPr>
            <w:r w:rsidRPr="00722A47">
              <w:rPr>
                <w:rFonts w:asciiTheme="minorHAnsi" w:hAnsiTheme="minorHAnsi" w:cstheme="minorBidi"/>
              </w:rPr>
              <w:t>Postleitzahl …</w:t>
            </w:r>
          </w:p>
          <w:p w14:paraId="6C1E9E5D" w14:textId="77777777" w:rsidR="00722A47" w:rsidRPr="00722A47" w:rsidRDefault="00722A47" w:rsidP="00656043">
            <w:pPr>
              <w:numPr>
                <w:ilvl w:val="1"/>
                <w:numId w:val="23"/>
              </w:numPr>
              <w:overflowPunct w:val="0"/>
              <w:autoSpaceDE w:val="0"/>
              <w:autoSpaceDN w:val="0"/>
              <w:adjustRightInd w:val="0"/>
              <w:spacing w:before="0" w:after="0" w:line="300" w:lineRule="exact"/>
              <w:ind w:left="884"/>
              <w:contextualSpacing/>
              <w:jc w:val="left"/>
              <w:textAlignment w:val="baseline"/>
              <w:rPr>
                <w:rFonts w:asciiTheme="minorHAnsi" w:hAnsiTheme="minorHAnsi" w:cstheme="minorBidi"/>
              </w:rPr>
            </w:pPr>
            <w:r w:rsidRPr="00722A47">
              <w:rPr>
                <w:rFonts w:asciiTheme="minorHAnsi" w:hAnsiTheme="minorHAnsi" w:cstheme="minorBidi"/>
              </w:rPr>
              <w:t>Ort …</w:t>
            </w:r>
          </w:p>
          <w:p w14:paraId="6DAE4DE5" w14:textId="77777777" w:rsidR="00722A47" w:rsidRPr="00722A47" w:rsidRDefault="00722A47" w:rsidP="00656043">
            <w:pPr>
              <w:numPr>
                <w:ilvl w:val="1"/>
                <w:numId w:val="23"/>
              </w:numPr>
              <w:overflowPunct w:val="0"/>
              <w:autoSpaceDE w:val="0"/>
              <w:autoSpaceDN w:val="0"/>
              <w:adjustRightInd w:val="0"/>
              <w:spacing w:before="0" w:after="0" w:line="300" w:lineRule="exact"/>
              <w:ind w:left="884"/>
              <w:contextualSpacing/>
              <w:jc w:val="left"/>
              <w:textAlignment w:val="baseline"/>
              <w:rPr>
                <w:rFonts w:asciiTheme="minorHAnsi" w:hAnsiTheme="minorHAnsi" w:cstheme="minorBidi"/>
              </w:rPr>
            </w:pPr>
            <w:r w:rsidRPr="00722A47">
              <w:rPr>
                <w:rFonts w:asciiTheme="minorHAnsi" w:hAnsiTheme="minorHAnsi" w:cstheme="minorBidi"/>
              </w:rPr>
              <w:t>Staat …</w:t>
            </w:r>
          </w:p>
          <w:p w14:paraId="52EF2AA0" w14:textId="77777777" w:rsidR="00722A47" w:rsidRPr="00722A47" w:rsidRDefault="00722A47" w:rsidP="00656043">
            <w:pPr>
              <w:numPr>
                <w:ilvl w:val="1"/>
                <w:numId w:val="23"/>
              </w:numPr>
              <w:overflowPunct w:val="0"/>
              <w:autoSpaceDE w:val="0"/>
              <w:autoSpaceDN w:val="0"/>
              <w:adjustRightInd w:val="0"/>
              <w:spacing w:before="0" w:after="0" w:line="300" w:lineRule="exact"/>
              <w:ind w:left="884"/>
              <w:contextualSpacing/>
              <w:jc w:val="left"/>
              <w:textAlignment w:val="baseline"/>
              <w:rPr>
                <w:rFonts w:asciiTheme="minorHAnsi" w:hAnsiTheme="minorHAnsi" w:cstheme="minorBidi"/>
              </w:rPr>
            </w:pPr>
            <w:r w:rsidRPr="00722A47">
              <w:rPr>
                <w:rFonts w:asciiTheme="minorHAnsi" w:hAnsiTheme="minorHAnsi" w:cstheme="minorBidi"/>
              </w:rPr>
              <w:t>Telefon und Telefax …</w:t>
            </w:r>
          </w:p>
          <w:p w14:paraId="3C430D46" w14:textId="77777777" w:rsidR="00722A47" w:rsidRPr="00722A47" w:rsidRDefault="00722A47" w:rsidP="00656043">
            <w:pPr>
              <w:numPr>
                <w:ilvl w:val="1"/>
                <w:numId w:val="23"/>
              </w:numPr>
              <w:overflowPunct w:val="0"/>
              <w:autoSpaceDE w:val="0"/>
              <w:autoSpaceDN w:val="0"/>
              <w:adjustRightInd w:val="0"/>
              <w:spacing w:before="0" w:after="0" w:line="300" w:lineRule="exact"/>
              <w:ind w:left="884"/>
              <w:contextualSpacing/>
              <w:jc w:val="left"/>
              <w:textAlignment w:val="baseline"/>
              <w:rPr>
                <w:rFonts w:ascii="MS Gothic" w:eastAsia="MS Gothic" w:hAnsi="MS Gothic" w:cs="MS Gothic"/>
              </w:rPr>
            </w:pPr>
            <w:r w:rsidRPr="00722A47">
              <w:rPr>
                <w:rFonts w:asciiTheme="minorHAnsi" w:hAnsiTheme="minorHAnsi" w:cstheme="minorBidi"/>
              </w:rPr>
              <w:t>E-Mail …</w:t>
            </w:r>
          </w:p>
          <w:p w14:paraId="73610567" w14:textId="77777777" w:rsidR="00722A47" w:rsidRPr="00722A47" w:rsidRDefault="00722A47" w:rsidP="00722A47">
            <w:pPr>
              <w:pBdr>
                <w:bottom w:val="single" w:sz="6" w:space="1" w:color="auto"/>
              </w:pBdr>
              <w:spacing w:before="0" w:after="0" w:line="300" w:lineRule="exact"/>
              <w:jc w:val="left"/>
              <w:rPr>
                <w:rFonts w:asciiTheme="minorHAnsi" w:hAnsiTheme="minorHAnsi" w:cstheme="minorBidi"/>
              </w:rPr>
            </w:pPr>
            <w:r w:rsidRPr="00722A47">
              <w:rPr>
                <w:rFonts w:ascii="MS Gothic" w:eastAsia="MS Gothic" w:hAnsi="MS Gothic" w:cs="MS Gothic" w:hint="eastAsia"/>
              </w:rPr>
              <w:t>☐</w:t>
            </w:r>
            <w:r w:rsidRPr="00722A47">
              <w:rPr>
                <w:rFonts w:asciiTheme="minorHAnsi" w:hAnsiTheme="minorHAnsi" w:cstheme="minorBidi"/>
              </w:rPr>
              <w:t xml:space="preserve"> Der Verwender ist zugleich Bauherr (in diesem Fall weiter unter </w:t>
            </w:r>
            <w:r w:rsidRPr="00722A47">
              <w:rPr>
                <w:rFonts w:asciiTheme="minorHAnsi" w:hAnsiTheme="minorHAnsi" w:cstheme="minorBidi"/>
                <w:b/>
              </w:rPr>
              <w:t>3</w:t>
            </w:r>
            <w:r w:rsidRPr="00722A47">
              <w:rPr>
                <w:rFonts w:asciiTheme="minorHAnsi" w:hAnsiTheme="minorHAnsi" w:cstheme="minorBidi"/>
              </w:rPr>
              <w:t>.)</w:t>
            </w:r>
          </w:p>
          <w:p w14:paraId="6C192B7D" w14:textId="77777777" w:rsidR="00722A47" w:rsidRPr="00722A47" w:rsidRDefault="00722A47" w:rsidP="00656043">
            <w:pPr>
              <w:numPr>
                <w:ilvl w:val="0"/>
                <w:numId w:val="24"/>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b/>
              </w:rPr>
            </w:pPr>
            <w:r w:rsidRPr="00722A47">
              <w:rPr>
                <w:rFonts w:asciiTheme="minorHAnsi" w:hAnsiTheme="minorHAnsi" w:cstheme="minorBidi"/>
                <w:b/>
              </w:rPr>
              <w:t>Bauherr (wenn dieser nicht selbst Verwender ist)</w:t>
            </w:r>
          </w:p>
          <w:p w14:paraId="1CA649FB"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rPr>
            </w:pPr>
            <w:r w:rsidRPr="00722A47">
              <w:rPr>
                <w:rFonts w:asciiTheme="minorHAnsi" w:hAnsiTheme="minorHAnsi" w:cstheme="minorBidi"/>
              </w:rPr>
              <w:t xml:space="preserve">2.1 Firma/Körperschaft …      </w:t>
            </w:r>
          </w:p>
          <w:p w14:paraId="3270E77E"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rPr>
            </w:pPr>
            <w:r w:rsidRPr="00722A47">
              <w:rPr>
                <w:rFonts w:asciiTheme="minorHAnsi" w:hAnsiTheme="minorHAnsi" w:cstheme="minorBidi"/>
              </w:rPr>
              <w:t xml:space="preserve">2.2 Straße und Hausnummer …      </w:t>
            </w:r>
          </w:p>
          <w:p w14:paraId="306DA74A"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rPr>
            </w:pPr>
            <w:r w:rsidRPr="00722A47">
              <w:rPr>
                <w:rFonts w:asciiTheme="minorHAnsi" w:hAnsiTheme="minorHAnsi" w:cstheme="minorBidi"/>
              </w:rPr>
              <w:t xml:space="preserve">2.3 Postleitzahl …      </w:t>
            </w:r>
          </w:p>
          <w:p w14:paraId="79B7858A"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rPr>
            </w:pPr>
            <w:r w:rsidRPr="00722A47">
              <w:rPr>
                <w:rFonts w:asciiTheme="minorHAnsi" w:hAnsiTheme="minorHAnsi" w:cstheme="minorBidi"/>
              </w:rPr>
              <w:t xml:space="preserve">2.4 Ort …      </w:t>
            </w:r>
          </w:p>
          <w:p w14:paraId="108B002A"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rPr>
            </w:pPr>
            <w:r w:rsidRPr="00722A47">
              <w:rPr>
                <w:rFonts w:asciiTheme="minorHAnsi" w:hAnsiTheme="minorHAnsi" w:cstheme="minorBidi"/>
              </w:rPr>
              <w:t xml:space="preserve">2.5 Staat …      </w:t>
            </w:r>
          </w:p>
          <w:p w14:paraId="3F91F6A4"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rPr>
            </w:pPr>
            <w:r w:rsidRPr="00722A47">
              <w:rPr>
                <w:rFonts w:asciiTheme="minorHAnsi" w:hAnsiTheme="minorHAnsi" w:cstheme="minorBidi"/>
              </w:rPr>
              <w:t xml:space="preserve">2.6 Telefon und Telefax …      </w:t>
            </w:r>
          </w:p>
          <w:p w14:paraId="5DAFD1EF" w14:textId="77777777" w:rsidR="00722A47" w:rsidRPr="00722A47" w:rsidRDefault="00722A47" w:rsidP="00722A47">
            <w:pPr>
              <w:overflowPunct w:val="0"/>
              <w:autoSpaceDE w:val="0"/>
              <w:autoSpaceDN w:val="0"/>
              <w:adjustRightInd w:val="0"/>
              <w:spacing w:before="0" w:after="0" w:line="300" w:lineRule="exact"/>
              <w:ind w:left="884" w:hanging="284"/>
              <w:jc w:val="left"/>
              <w:textAlignment w:val="baseline"/>
              <w:rPr>
                <w:rFonts w:ascii="MS Gothic" w:eastAsia="MS Gothic" w:hAnsi="MS Gothic" w:cs="MS Gothic"/>
                <w:highlight w:val="yellow"/>
              </w:rPr>
            </w:pPr>
            <w:r w:rsidRPr="00722A47">
              <w:rPr>
                <w:rFonts w:asciiTheme="minorHAnsi" w:hAnsiTheme="minorHAnsi" w:cstheme="minorBidi"/>
              </w:rPr>
              <w:t>2.7 E-Mail …</w:t>
            </w:r>
            <w:r w:rsidRPr="00722A47">
              <w:rPr>
                <w:rFonts w:asciiTheme="minorHAnsi" w:hAnsiTheme="minorHAnsi" w:cstheme="minorBidi"/>
                <w:highlight w:val="yellow"/>
              </w:rPr>
              <w:t xml:space="preserve">      </w:t>
            </w:r>
          </w:p>
          <w:p w14:paraId="3D15AE4B" w14:textId="77777777" w:rsidR="00722A47" w:rsidRPr="00722A47" w:rsidRDefault="00722A47" w:rsidP="00722A47">
            <w:pPr>
              <w:tabs>
                <w:tab w:val="left" w:pos="284"/>
              </w:tabs>
              <w:spacing w:before="0" w:after="0" w:line="300" w:lineRule="exact"/>
              <w:jc w:val="left"/>
              <w:rPr>
                <w:rFonts w:asciiTheme="minorHAnsi" w:hAnsiTheme="minorHAnsi" w:cstheme="minorBidi"/>
              </w:rPr>
            </w:pPr>
            <w:r w:rsidRPr="00722A47">
              <w:rPr>
                <w:rFonts w:asciiTheme="minorHAnsi" w:hAnsiTheme="minorHAnsi" w:cstheme="minorBidi"/>
              </w:rPr>
              <w:t xml:space="preserve">(Im Falle des Deckblatts nach § 25 Absatz 3 Satz 1 weiter unter </w:t>
            </w:r>
            <w:r w:rsidRPr="00722A47">
              <w:rPr>
                <w:rFonts w:asciiTheme="minorHAnsi" w:hAnsiTheme="minorHAnsi" w:cstheme="minorBidi"/>
                <w:b/>
              </w:rPr>
              <w:t>4.</w:t>
            </w:r>
            <w:r w:rsidRPr="00722A47">
              <w:rPr>
                <w:rFonts w:asciiTheme="minorHAnsi" w:hAnsiTheme="minorHAnsi" w:cstheme="minorBidi"/>
              </w:rPr>
              <w:t xml:space="preserve">, </w:t>
            </w:r>
          </w:p>
          <w:p w14:paraId="03CC3F61" w14:textId="77777777" w:rsidR="00722A47" w:rsidRPr="00722A47" w:rsidRDefault="00722A47" w:rsidP="00722A47">
            <w:pPr>
              <w:tabs>
                <w:tab w:val="left" w:pos="284"/>
              </w:tabs>
              <w:spacing w:before="0" w:after="0" w:line="300" w:lineRule="exact"/>
              <w:jc w:val="left"/>
              <w:rPr>
                <w:rFonts w:asciiTheme="minorHAnsi" w:hAnsiTheme="minorHAnsi" w:cstheme="minorBidi"/>
              </w:rPr>
            </w:pPr>
            <w:r w:rsidRPr="00722A47">
              <w:rPr>
                <w:rFonts w:asciiTheme="minorHAnsi" w:hAnsiTheme="minorHAnsi" w:cstheme="minorBidi"/>
              </w:rPr>
              <w:t xml:space="preserve">im Falle der Abschlussanzeige nach § 22 Absatz 4 weiter unter </w:t>
            </w:r>
            <w:r w:rsidRPr="00722A47">
              <w:rPr>
                <w:rFonts w:asciiTheme="minorHAnsi" w:hAnsiTheme="minorHAnsi" w:cstheme="minorBidi"/>
                <w:b/>
              </w:rPr>
              <w:t>6.</w:t>
            </w:r>
            <w:r w:rsidRPr="00722A47">
              <w:rPr>
                <w:rFonts w:asciiTheme="minorHAnsi" w:hAnsiTheme="minorHAnsi" w:cstheme="minorBidi"/>
              </w:rPr>
              <w:t>)</w:t>
            </w:r>
          </w:p>
          <w:p w14:paraId="4DA80E55" w14:textId="77777777" w:rsidR="00722A47" w:rsidRPr="00722A47" w:rsidRDefault="00722A47" w:rsidP="00656043">
            <w:pPr>
              <w:numPr>
                <w:ilvl w:val="0"/>
                <w:numId w:val="25"/>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b/>
              </w:rPr>
            </w:pPr>
            <w:r w:rsidRPr="00722A47">
              <w:rPr>
                <w:rFonts w:asciiTheme="minorHAnsi" w:hAnsiTheme="minorHAnsi" w:cstheme="minorBidi"/>
                <w:b/>
              </w:rPr>
              <w:t>Angaben zur Art der Ersatzbaustoffe und zum Umfang der Maßnahme</w:t>
            </w:r>
          </w:p>
          <w:p w14:paraId="433A9F28" w14:textId="77777777" w:rsidR="00722A47" w:rsidRPr="00722A47" w:rsidRDefault="00722A47" w:rsidP="00656043">
            <w:pPr>
              <w:numPr>
                <w:ilvl w:val="1"/>
                <w:numId w:val="25"/>
              </w:numPr>
              <w:overflowPunct w:val="0"/>
              <w:autoSpaceDE w:val="0"/>
              <w:autoSpaceDN w:val="0"/>
              <w:adjustRightInd w:val="0"/>
              <w:spacing w:before="0" w:after="0" w:line="300" w:lineRule="exact"/>
              <w:ind w:left="1026"/>
              <w:contextualSpacing/>
              <w:jc w:val="left"/>
              <w:textAlignment w:val="baseline"/>
              <w:rPr>
                <w:rFonts w:asciiTheme="minorHAnsi" w:hAnsiTheme="minorHAnsi" w:cstheme="minorBidi"/>
              </w:rPr>
            </w:pPr>
            <w:r w:rsidRPr="00722A47">
              <w:rPr>
                <w:rFonts w:ascii="MS Gothic" w:eastAsia="MS Gothic" w:hAnsi="MS Gothic" w:cs="MS Gothic" w:hint="eastAsia"/>
              </w:rPr>
              <w:t>☐</w:t>
            </w:r>
            <w:r w:rsidRPr="00722A47">
              <w:rPr>
                <w:rFonts w:asciiTheme="minorHAnsi" w:hAnsiTheme="minorHAnsi" w:cstheme="minorBidi"/>
              </w:rPr>
              <w:t xml:space="preserve"> Mineralische Ersatzbaustoffe</w:t>
            </w:r>
          </w:p>
          <w:p w14:paraId="3AF897ED" w14:textId="77777777" w:rsidR="00722A47" w:rsidRPr="00722A47" w:rsidRDefault="00722A47" w:rsidP="00656043">
            <w:pPr>
              <w:numPr>
                <w:ilvl w:val="2"/>
                <w:numId w:val="25"/>
              </w:numPr>
              <w:overflowPunct w:val="0"/>
              <w:autoSpaceDE w:val="0"/>
              <w:autoSpaceDN w:val="0"/>
              <w:adjustRightInd w:val="0"/>
              <w:spacing w:before="0" w:after="0" w:line="300" w:lineRule="exact"/>
              <w:ind w:left="1876"/>
              <w:contextualSpacing/>
              <w:jc w:val="left"/>
              <w:textAlignment w:val="baseline"/>
              <w:rPr>
                <w:rFonts w:asciiTheme="minorHAnsi" w:hAnsiTheme="minorHAnsi" w:cstheme="minorBidi"/>
              </w:rPr>
            </w:pPr>
            <w:r w:rsidRPr="00722A47">
              <w:rPr>
                <w:rFonts w:asciiTheme="minorHAnsi" w:hAnsiTheme="minorHAnsi" w:cstheme="minorBidi"/>
              </w:rPr>
              <w:t xml:space="preserve">Bezeichnung, Materialklasse des Ersatzbaustoffes sowie geplante Masse und Volumen der Baumaßnahme </w:t>
            </w:r>
          </w:p>
          <w:p w14:paraId="6DE92321" w14:textId="77777777" w:rsidR="00722A47" w:rsidRPr="00722A47" w:rsidRDefault="00722A47" w:rsidP="00656043">
            <w:pPr>
              <w:numPr>
                <w:ilvl w:val="1"/>
                <w:numId w:val="25"/>
              </w:numPr>
              <w:overflowPunct w:val="0"/>
              <w:autoSpaceDE w:val="0"/>
              <w:autoSpaceDN w:val="0"/>
              <w:adjustRightInd w:val="0"/>
              <w:spacing w:before="0" w:after="0" w:line="300" w:lineRule="exact"/>
              <w:ind w:left="1026"/>
              <w:contextualSpacing/>
              <w:jc w:val="left"/>
              <w:textAlignment w:val="baseline"/>
              <w:rPr>
                <w:rFonts w:asciiTheme="minorHAnsi" w:hAnsiTheme="minorHAnsi" w:cstheme="minorBidi"/>
              </w:rPr>
            </w:pPr>
            <w:r w:rsidRPr="00722A47">
              <w:rPr>
                <w:rFonts w:ascii="MS Gothic" w:eastAsia="MS Gothic" w:hAnsi="MS Gothic" w:cs="MS Gothic" w:hint="eastAsia"/>
              </w:rPr>
              <w:t>☐</w:t>
            </w:r>
            <w:r w:rsidRPr="00722A47">
              <w:rPr>
                <w:rFonts w:asciiTheme="minorHAnsi" w:hAnsiTheme="minorHAnsi" w:cstheme="minorBidi"/>
              </w:rPr>
              <w:t xml:space="preserve"> Gemische</w:t>
            </w:r>
          </w:p>
          <w:p w14:paraId="23F5A67F" w14:textId="77777777" w:rsidR="00722A47" w:rsidRPr="00722A47" w:rsidRDefault="00722A47" w:rsidP="00656043">
            <w:pPr>
              <w:numPr>
                <w:ilvl w:val="2"/>
                <w:numId w:val="25"/>
              </w:numPr>
              <w:overflowPunct w:val="0"/>
              <w:autoSpaceDE w:val="0"/>
              <w:autoSpaceDN w:val="0"/>
              <w:adjustRightInd w:val="0"/>
              <w:spacing w:before="0" w:after="0" w:line="300" w:lineRule="exact"/>
              <w:ind w:left="1876"/>
              <w:contextualSpacing/>
              <w:jc w:val="left"/>
              <w:textAlignment w:val="baseline"/>
              <w:rPr>
                <w:rFonts w:asciiTheme="minorHAnsi" w:hAnsiTheme="minorHAnsi" w:cstheme="minorBidi"/>
              </w:rPr>
            </w:pPr>
            <w:r w:rsidRPr="00722A47">
              <w:rPr>
                <w:rFonts w:asciiTheme="minorHAnsi" w:hAnsiTheme="minorHAnsi" w:cstheme="minorBidi"/>
              </w:rPr>
              <w:t>Benennung und Materialklassen und Anteile der einzelnen in dem Gemisch enthaltenen mineralischen Ersatzbaustoffe sowie geplante Masse und Volumen der Baumaßnahme …</w:t>
            </w:r>
          </w:p>
          <w:p w14:paraId="22011335" w14:textId="77777777" w:rsidR="00722A47" w:rsidRPr="00722A47" w:rsidRDefault="00722A47" w:rsidP="00722A47">
            <w:pPr>
              <w:overflowPunct w:val="0"/>
              <w:autoSpaceDE w:val="0"/>
              <w:autoSpaceDN w:val="0"/>
              <w:adjustRightInd w:val="0"/>
              <w:spacing w:line="300" w:lineRule="exact"/>
              <w:ind w:left="1876"/>
              <w:contextualSpacing/>
              <w:textAlignment w:val="baseline"/>
              <w:rPr>
                <w:rFonts w:asciiTheme="minorHAnsi" w:hAnsiTheme="minorHAnsi" w:cstheme="minorBidi"/>
              </w:rPr>
            </w:pPr>
          </w:p>
          <w:p w14:paraId="1E4A8D28" w14:textId="77777777" w:rsidR="00722A47" w:rsidRPr="00722A47" w:rsidRDefault="00722A47" w:rsidP="00656043">
            <w:pPr>
              <w:numPr>
                <w:ilvl w:val="0"/>
                <w:numId w:val="25"/>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b/>
              </w:rPr>
            </w:pPr>
            <w:r w:rsidRPr="00722A47">
              <w:rPr>
                <w:rFonts w:asciiTheme="minorHAnsi" w:hAnsiTheme="minorHAnsi" w:cstheme="minorBidi"/>
                <w:b/>
              </w:rPr>
              <w:t>Einbauweisen</w:t>
            </w:r>
          </w:p>
          <w:p w14:paraId="2D15F426" w14:textId="77777777" w:rsidR="00722A47" w:rsidRPr="00722A47" w:rsidRDefault="00722A47" w:rsidP="00656043">
            <w:pPr>
              <w:numPr>
                <w:ilvl w:val="1"/>
                <w:numId w:val="25"/>
              </w:numPr>
              <w:overflowPunct w:val="0"/>
              <w:autoSpaceDE w:val="0"/>
              <w:autoSpaceDN w:val="0"/>
              <w:adjustRightInd w:val="0"/>
              <w:spacing w:before="0" w:after="0" w:line="300" w:lineRule="exact"/>
              <w:ind w:left="1026"/>
              <w:contextualSpacing/>
              <w:jc w:val="left"/>
              <w:textAlignment w:val="baseline"/>
              <w:rPr>
                <w:rFonts w:asciiTheme="minorHAnsi" w:hAnsiTheme="minorHAnsi" w:cstheme="minorBidi"/>
              </w:rPr>
            </w:pPr>
            <w:r w:rsidRPr="00722A47">
              <w:rPr>
                <w:rFonts w:asciiTheme="minorHAnsi" w:hAnsiTheme="minorHAnsi" w:cstheme="minorBidi"/>
              </w:rPr>
              <w:t>Nummer und Bezeichnung der Einbauweisen nach Anlage 2 oder 3 EBV …</w:t>
            </w:r>
          </w:p>
          <w:p w14:paraId="3E442D9F" w14:textId="77777777" w:rsidR="00722A47" w:rsidRPr="00722A47" w:rsidRDefault="00722A47" w:rsidP="00722A47">
            <w:pPr>
              <w:spacing w:before="0" w:after="200" w:line="300" w:lineRule="exact"/>
              <w:ind w:left="720"/>
              <w:contextualSpacing/>
              <w:jc w:val="left"/>
              <w:rPr>
                <w:rFonts w:asciiTheme="minorHAnsi" w:hAnsiTheme="minorHAnsi" w:cstheme="minorBidi"/>
              </w:rPr>
            </w:pPr>
          </w:p>
          <w:p w14:paraId="5897021B" w14:textId="77777777" w:rsidR="00722A47" w:rsidRPr="00722A47" w:rsidRDefault="00722A47" w:rsidP="00656043">
            <w:pPr>
              <w:numPr>
                <w:ilvl w:val="0"/>
                <w:numId w:val="25"/>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b/>
              </w:rPr>
            </w:pPr>
            <w:r w:rsidRPr="00722A47">
              <w:rPr>
                <w:rFonts w:asciiTheme="minorHAnsi" w:hAnsiTheme="minorHAnsi" w:cstheme="minorBidi"/>
                <w:b/>
              </w:rPr>
              <w:t>Grundwasserstand, Grundwasserdeckschichten, Schutzgebiete</w:t>
            </w:r>
          </w:p>
          <w:p w14:paraId="34389B61" w14:textId="77777777" w:rsidR="00722A47" w:rsidRPr="00722A47" w:rsidRDefault="00722A47" w:rsidP="00656043">
            <w:pPr>
              <w:numPr>
                <w:ilvl w:val="1"/>
                <w:numId w:val="25"/>
              </w:numPr>
              <w:overflowPunct w:val="0"/>
              <w:autoSpaceDE w:val="0"/>
              <w:autoSpaceDN w:val="0"/>
              <w:adjustRightInd w:val="0"/>
              <w:spacing w:before="0" w:after="0" w:line="300" w:lineRule="exact"/>
              <w:ind w:left="1026"/>
              <w:contextualSpacing/>
              <w:jc w:val="left"/>
              <w:textAlignment w:val="baseline"/>
              <w:rPr>
                <w:rFonts w:asciiTheme="minorHAnsi" w:hAnsiTheme="minorHAnsi" w:cstheme="minorBidi"/>
              </w:rPr>
            </w:pPr>
            <w:r w:rsidRPr="00722A47">
              <w:rPr>
                <w:rFonts w:asciiTheme="minorHAnsi" w:hAnsiTheme="minorHAnsi" w:cstheme="minorBidi"/>
              </w:rPr>
              <w:lastRenderedPageBreak/>
              <w:t>Angaben zu dem höchsten zu erwartenden Grundwasserstand …</w:t>
            </w:r>
          </w:p>
          <w:p w14:paraId="7AAD9C58" w14:textId="77777777" w:rsidR="00722A47" w:rsidRPr="00722A47" w:rsidRDefault="00722A47" w:rsidP="00656043">
            <w:pPr>
              <w:numPr>
                <w:ilvl w:val="1"/>
                <w:numId w:val="25"/>
              </w:numPr>
              <w:overflowPunct w:val="0"/>
              <w:autoSpaceDE w:val="0"/>
              <w:autoSpaceDN w:val="0"/>
              <w:adjustRightInd w:val="0"/>
              <w:spacing w:before="0" w:after="0" w:line="300" w:lineRule="exact"/>
              <w:ind w:left="1026"/>
              <w:contextualSpacing/>
              <w:jc w:val="left"/>
              <w:textAlignment w:val="baseline"/>
              <w:rPr>
                <w:rFonts w:asciiTheme="minorHAnsi" w:hAnsiTheme="minorHAnsi" w:cstheme="minorBidi"/>
              </w:rPr>
            </w:pPr>
            <w:r w:rsidRPr="00722A47">
              <w:rPr>
                <w:rFonts w:asciiTheme="minorHAnsi" w:hAnsiTheme="minorHAnsi" w:cstheme="minorBidi"/>
              </w:rPr>
              <w:t>Angaben zur Mächtigkeit der Grundwasserdeckschicht …</w:t>
            </w:r>
          </w:p>
          <w:p w14:paraId="7153E070" w14:textId="77777777" w:rsidR="00722A47" w:rsidRPr="00722A47" w:rsidRDefault="00722A47" w:rsidP="00656043">
            <w:pPr>
              <w:numPr>
                <w:ilvl w:val="1"/>
                <w:numId w:val="25"/>
              </w:numPr>
              <w:overflowPunct w:val="0"/>
              <w:autoSpaceDE w:val="0"/>
              <w:autoSpaceDN w:val="0"/>
              <w:adjustRightInd w:val="0"/>
              <w:spacing w:before="0" w:after="0" w:line="300" w:lineRule="exact"/>
              <w:ind w:left="1026"/>
              <w:contextualSpacing/>
              <w:jc w:val="left"/>
              <w:textAlignment w:val="baseline"/>
              <w:rPr>
                <w:rFonts w:asciiTheme="minorHAnsi" w:hAnsiTheme="minorHAnsi" w:cstheme="minorBidi"/>
              </w:rPr>
            </w:pPr>
            <w:r w:rsidRPr="00722A47">
              <w:rPr>
                <w:rFonts w:asciiTheme="minorHAnsi" w:hAnsiTheme="minorHAnsi" w:cstheme="minorBidi"/>
              </w:rPr>
              <w:t>Angaben zur Bodenart der Grundwasserdeckschicht …</w:t>
            </w:r>
          </w:p>
          <w:p w14:paraId="39D62E49" w14:textId="77777777" w:rsidR="00722A47" w:rsidRPr="00722A47" w:rsidRDefault="00722A47" w:rsidP="00656043">
            <w:pPr>
              <w:numPr>
                <w:ilvl w:val="1"/>
                <w:numId w:val="25"/>
              </w:numPr>
              <w:overflowPunct w:val="0"/>
              <w:autoSpaceDE w:val="0"/>
              <w:autoSpaceDN w:val="0"/>
              <w:adjustRightInd w:val="0"/>
              <w:spacing w:before="0" w:after="0" w:line="300" w:lineRule="exact"/>
              <w:ind w:left="1026"/>
              <w:contextualSpacing/>
              <w:jc w:val="left"/>
              <w:textAlignment w:val="baseline"/>
              <w:rPr>
                <w:rFonts w:asciiTheme="minorHAnsi" w:hAnsiTheme="minorHAnsi" w:cstheme="minorBidi"/>
              </w:rPr>
            </w:pPr>
            <w:r w:rsidRPr="00722A47">
              <w:rPr>
                <w:rFonts w:asciiTheme="minorHAnsi" w:hAnsiTheme="minorHAnsi" w:cstheme="minorBidi"/>
              </w:rPr>
              <w:t xml:space="preserve">Lage der Baumaßnahme </w:t>
            </w:r>
            <w:proofErr w:type="gramStart"/>
            <w:r w:rsidRPr="00722A47">
              <w:rPr>
                <w:rFonts w:asciiTheme="minorHAnsi" w:hAnsiTheme="minorHAnsi" w:cstheme="minorBidi"/>
              </w:rPr>
              <w:t>bezüglich Wasserschutzgebieten</w:t>
            </w:r>
            <w:proofErr w:type="gramEnd"/>
            <w:r w:rsidRPr="00722A47">
              <w:rPr>
                <w:rFonts w:asciiTheme="minorHAnsi" w:hAnsiTheme="minorHAnsi" w:cstheme="minorBidi"/>
              </w:rPr>
              <w:t>, Heilquellenschutzgebieten oder Wasservorranggebieten nach den Spalten 4 bis 6 der Anlage 2 oder 3 EBV …</w:t>
            </w:r>
          </w:p>
          <w:p w14:paraId="68BA7B43" w14:textId="77777777" w:rsidR="00722A47" w:rsidRPr="00722A47" w:rsidRDefault="00722A47" w:rsidP="00722A47">
            <w:pPr>
              <w:pBdr>
                <w:bottom w:val="single" w:sz="6" w:space="1" w:color="auto"/>
              </w:pBdr>
              <w:tabs>
                <w:tab w:val="left" w:pos="284"/>
              </w:tabs>
              <w:spacing w:before="0" w:after="0" w:line="300" w:lineRule="exact"/>
              <w:jc w:val="left"/>
              <w:rPr>
                <w:rFonts w:asciiTheme="minorHAnsi" w:hAnsiTheme="minorHAnsi" w:cstheme="minorBidi"/>
                <w:highlight w:val="red"/>
              </w:rPr>
            </w:pPr>
            <w:r w:rsidRPr="00722A47">
              <w:rPr>
                <w:rFonts w:asciiTheme="minorHAnsi" w:hAnsiTheme="minorHAnsi" w:cstheme="minorBidi"/>
              </w:rPr>
              <w:t xml:space="preserve">(Im Falle der Voranzeige nach § 22 Absatz 1 oder Absatz 2 Satz 1 weiter unter </w:t>
            </w:r>
            <w:r w:rsidRPr="00722A47">
              <w:rPr>
                <w:rFonts w:asciiTheme="minorHAnsi" w:hAnsiTheme="minorHAnsi" w:cstheme="minorBidi"/>
                <w:b/>
              </w:rPr>
              <w:t>8.</w:t>
            </w:r>
            <w:r w:rsidRPr="00722A47">
              <w:rPr>
                <w:rFonts w:asciiTheme="minorHAnsi" w:hAnsiTheme="minorHAnsi" w:cstheme="minorBidi"/>
              </w:rPr>
              <w:t>)</w:t>
            </w:r>
          </w:p>
          <w:p w14:paraId="5517A3E3" w14:textId="77777777" w:rsidR="00722A47" w:rsidRPr="00722A47" w:rsidRDefault="00722A47" w:rsidP="00656043">
            <w:pPr>
              <w:numPr>
                <w:ilvl w:val="0"/>
                <w:numId w:val="25"/>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b/>
              </w:rPr>
            </w:pPr>
            <w:r w:rsidRPr="00722A47">
              <w:rPr>
                <w:rFonts w:asciiTheme="minorHAnsi" w:hAnsiTheme="minorHAnsi" w:cstheme="minorBidi"/>
                <w:b/>
              </w:rPr>
              <w:t>Zusammenfassung der Angaben aus den Lieferscheinen</w:t>
            </w:r>
          </w:p>
          <w:p w14:paraId="06F7208C" w14:textId="77777777" w:rsidR="00722A47" w:rsidRPr="00722A47" w:rsidRDefault="00722A47" w:rsidP="00656043">
            <w:pPr>
              <w:numPr>
                <w:ilvl w:val="1"/>
                <w:numId w:val="25"/>
              </w:numPr>
              <w:spacing w:before="0" w:after="0" w:line="300" w:lineRule="exact"/>
              <w:ind w:left="1026"/>
              <w:contextualSpacing/>
              <w:jc w:val="left"/>
              <w:rPr>
                <w:rFonts w:asciiTheme="minorHAnsi" w:hAnsiTheme="minorHAnsi" w:cstheme="minorBidi"/>
              </w:rPr>
            </w:pPr>
            <w:r w:rsidRPr="00722A47">
              <w:rPr>
                <w:rFonts w:asciiTheme="minorHAnsi" w:hAnsiTheme="minorHAnsi" w:cstheme="minorBidi"/>
              </w:rPr>
              <w:t>Tatsächlich eingebaute Menge in Tonnen: …</w:t>
            </w:r>
          </w:p>
          <w:p w14:paraId="51A84F9C" w14:textId="77777777" w:rsidR="00722A47" w:rsidRPr="00722A47" w:rsidRDefault="00722A47" w:rsidP="00656043">
            <w:pPr>
              <w:numPr>
                <w:ilvl w:val="1"/>
                <w:numId w:val="25"/>
              </w:numPr>
              <w:tabs>
                <w:tab w:val="left" w:pos="284"/>
              </w:tabs>
              <w:spacing w:before="0" w:after="0" w:line="300" w:lineRule="exact"/>
              <w:ind w:left="1026"/>
              <w:contextualSpacing/>
              <w:jc w:val="left"/>
              <w:rPr>
                <w:rFonts w:asciiTheme="minorHAnsi" w:hAnsiTheme="minorHAnsi" w:cstheme="minorBidi"/>
              </w:rPr>
            </w:pPr>
            <w:r w:rsidRPr="00722A47">
              <w:rPr>
                <w:rFonts w:asciiTheme="minorHAnsi" w:hAnsiTheme="minorHAnsi" w:cstheme="minorBidi"/>
              </w:rPr>
              <w:t>Datum / Zeitraum der Anlieferungen: am …  / von … bis …</w:t>
            </w:r>
          </w:p>
          <w:p w14:paraId="4102E8B7" w14:textId="77777777" w:rsidR="00722A47" w:rsidRPr="00722A47" w:rsidRDefault="00722A47" w:rsidP="00656043">
            <w:pPr>
              <w:numPr>
                <w:ilvl w:val="1"/>
                <w:numId w:val="25"/>
              </w:numPr>
              <w:tabs>
                <w:tab w:val="left" w:pos="284"/>
              </w:tabs>
              <w:spacing w:before="0" w:after="0" w:line="300" w:lineRule="exact"/>
              <w:ind w:left="1026"/>
              <w:contextualSpacing/>
              <w:jc w:val="left"/>
              <w:rPr>
                <w:rFonts w:asciiTheme="minorHAnsi" w:hAnsiTheme="minorHAnsi" w:cstheme="minorBidi"/>
              </w:rPr>
            </w:pPr>
            <w:r w:rsidRPr="00722A47">
              <w:rPr>
                <w:rFonts w:asciiTheme="minorHAnsi" w:hAnsiTheme="minorHAnsi" w:cstheme="minorBidi"/>
              </w:rPr>
              <w:t>Anzahl der Lieferscheine: …</w:t>
            </w:r>
          </w:p>
          <w:p w14:paraId="27A6948A" w14:textId="77777777" w:rsidR="00722A47" w:rsidRPr="00722A47" w:rsidRDefault="00722A47" w:rsidP="00656043">
            <w:pPr>
              <w:numPr>
                <w:ilvl w:val="1"/>
                <w:numId w:val="25"/>
              </w:numPr>
              <w:tabs>
                <w:tab w:val="left" w:pos="284"/>
              </w:tabs>
              <w:spacing w:before="0" w:after="0" w:line="300" w:lineRule="exact"/>
              <w:ind w:left="1026"/>
              <w:contextualSpacing/>
              <w:jc w:val="left"/>
              <w:rPr>
                <w:rFonts w:asciiTheme="minorHAnsi" w:hAnsiTheme="minorHAnsi" w:cstheme="minorBidi"/>
              </w:rPr>
            </w:pPr>
            <w:r w:rsidRPr="00722A47">
              <w:rPr>
                <w:rFonts w:ascii="MS Gothic" w:eastAsia="MS Gothic" w:hAnsi="MS Gothic" w:cs="MS Gothic" w:hint="eastAsia"/>
              </w:rPr>
              <w:t>☐</w:t>
            </w:r>
            <w:r w:rsidRPr="00722A47">
              <w:rPr>
                <w:rFonts w:asciiTheme="minorHAnsi" w:hAnsiTheme="minorHAnsi" w:cstheme="minorBidi"/>
              </w:rPr>
              <w:t xml:space="preserve"> Mineralischer Ersatzbaustoff </w:t>
            </w:r>
          </w:p>
          <w:p w14:paraId="3C9D46BA" w14:textId="77777777" w:rsidR="00722A47" w:rsidRPr="00722A47" w:rsidRDefault="00722A47" w:rsidP="00656043">
            <w:pPr>
              <w:numPr>
                <w:ilvl w:val="2"/>
                <w:numId w:val="25"/>
              </w:numPr>
              <w:spacing w:before="0" w:after="0" w:line="300" w:lineRule="exact"/>
              <w:ind w:left="1876"/>
              <w:contextualSpacing/>
              <w:jc w:val="left"/>
              <w:rPr>
                <w:rFonts w:asciiTheme="minorHAnsi" w:hAnsiTheme="minorHAnsi" w:cstheme="minorBidi"/>
              </w:rPr>
            </w:pPr>
            <w:r w:rsidRPr="00722A47">
              <w:rPr>
                <w:rFonts w:asciiTheme="minorHAnsi" w:hAnsiTheme="minorHAnsi" w:cstheme="minorBidi"/>
              </w:rPr>
              <w:t>Bezeichnung und Materialklasse eingebaute(r) mineralische(r) Ersatzbaustoff(e) …</w:t>
            </w:r>
          </w:p>
          <w:p w14:paraId="78AF2A2E" w14:textId="77777777" w:rsidR="00722A47" w:rsidRPr="00722A47" w:rsidRDefault="00722A47" w:rsidP="00656043">
            <w:pPr>
              <w:numPr>
                <w:ilvl w:val="1"/>
                <w:numId w:val="25"/>
              </w:numPr>
              <w:tabs>
                <w:tab w:val="left" w:pos="284"/>
              </w:tabs>
              <w:spacing w:before="0" w:after="0" w:line="300" w:lineRule="exact"/>
              <w:ind w:left="1026"/>
              <w:contextualSpacing/>
              <w:jc w:val="left"/>
              <w:rPr>
                <w:rFonts w:asciiTheme="minorHAnsi" w:hAnsiTheme="minorHAnsi" w:cstheme="minorBidi"/>
              </w:rPr>
            </w:pPr>
            <w:r w:rsidRPr="00722A47">
              <w:rPr>
                <w:rFonts w:ascii="MS Gothic" w:eastAsia="MS Gothic" w:hAnsi="MS Gothic" w:cs="MS Gothic" w:hint="eastAsia"/>
              </w:rPr>
              <w:t>☐</w:t>
            </w:r>
            <w:r w:rsidRPr="00722A47">
              <w:rPr>
                <w:rFonts w:asciiTheme="minorHAnsi" w:hAnsiTheme="minorHAnsi" w:cstheme="minorBidi"/>
              </w:rPr>
              <w:t xml:space="preserve"> Gemisch </w:t>
            </w:r>
          </w:p>
          <w:p w14:paraId="72F21407" w14:textId="77777777" w:rsidR="00722A47" w:rsidRPr="00722A47" w:rsidRDefault="00722A47" w:rsidP="00656043">
            <w:pPr>
              <w:numPr>
                <w:ilvl w:val="2"/>
                <w:numId w:val="25"/>
              </w:numPr>
              <w:spacing w:before="0" w:after="0" w:line="300" w:lineRule="exact"/>
              <w:ind w:left="1876"/>
              <w:contextualSpacing/>
              <w:jc w:val="left"/>
              <w:rPr>
                <w:rFonts w:asciiTheme="minorHAnsi" w:hAnsiTheme="minorHAnsi" w:cstheme="minorBidi"/>
              </w:rPr>
            </w:pPr>
            <w:r w:rsidRPr="00722A47">
              <w:rPr>
                <w:rFonts w:asciiTheme="minorHAnsi" w:hAnsiTheme="minorHAnsi" w:cstheme="minorBidi"/>
              </w:rPr>
              <w:t>Benennung der einzelnen in dem verwendeten Gemisch enthaltenen mineralischen Ersatzbaustoffe sowie deren Materialklassen und Anteile: …</w:t>
            </w:r>
          </w:p>
          <w:p w14:paraId="4BF75158" w14:textId="77777777" w:rsidR="00722A47" w:rsidRPr="00722A47" w:rsidRDefault="00722A47" w:rsidP="00722A47">
            <w:pPr>
              <w:pBdr>
                <w:bottom w:val="single" w:sz="6" w:space="1" w:color="auto"/>
              </w:pBdr>
              <w:tabs>
                <w:tab w:val="left" w:pos="284"/>
              </w:tabs>
              <w:spacing w:before="0" w:after="0" w:line="300" w:lineRule="exact"/>
              <w:jc w:val="left"/>
              <w:rPr>
                <w:rFonts w:asciiTheme="minorHAnsi" w:hAnsiTheme="minorHAnsi" w:cstheme="minorBidi"/>
              </w:rPr>
            </w:pPr>
            <w:r w:rsidRPr="00722A47">
              <w:rPr>
                <w:rFonts w:asciiTheme="minorHAnsi" w:hAnsiTheme="minorHAnsi" w:cstheme="minorBidi"/>
              </w:rPr>
              <w:t xml:space="preserve">(Im Falle der Abschlussanzeige nach § 22 Absatz 4 weiter unter </w:t>
            </w:r>
            <w:r w:rsidRPr="00722A47">
              <w:rPr>
                <w:rFonts w:asciiTheme="minorHAnsi" w:hAnsiTheme="minorHAnsi" w:cstheme="minorBidi"/>
                <w:b/>
              </w:rPr>
              <w:t>7.2.</w:t>
            </w:r>
            <w:r w:rsidRPr="00722A47">
              <w:rPr>
                <w:rFonts w:asciiTheme="minorHAnsi" w:hAnsiTheme="minorHAnsi" w:cstheme="minorBidi"/>
              </w:rPr>
              <w:t>)</w:t>
            </w:r>
          </w:p>
          <w:p w14:paraId="69F88019" w14:textId="77777777" w:rsidR="00722A47" w:rsidRPr="00722A47" w:rsidRDefault="00722A47" w:rsidP="00656043">
            <w:pPr>
              <w:numPr>
                <w:ilvl w:val="0"/>
                <w:numId w:val="25"/>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b/>
              </w:rPr>
            </w:pPr>
            <w:r w:rsidRPr="00722A47">
              <w:rPr>
                <w:rFonts w:asciiTheme="minorHAnsi" w:hAnsiTheme="minorHAnsi" w:cstheme="minorBidi"/>
                <w:b/>
              </w:rPr>
              <w:t>Übergabe von Dokumenten</w:t>
            </w:r>
          </w:p>
          <w:p w14:paraId="7D5724D5" w14:textId="77777777" w:rsidR="00722A47" w:rsidRPr="00722A47" w:rsidRDefault="00722A47" w:rsidP="00656043">
            <w:pPr>
              <w:numPr>
                <w:ilvl w:val="1"/>
                <w:numId w:val="25"/>
              </w:numPr>
              <w:spacing w:before="0" w:after="0" w:line="300" w:lineRule="exact"/>
              <w:ind w:left="1026"/>
              <w:contextualSpacing/>
              <w:jc w:val="left"/>
              <w:rPr>
                <w:rFonts w:asciiTheme="minorHAnsi" w:hAnsiTheme="minorHAnsi" w:cstheme="minorBidi"/>
              </w:rPr>
            </w:pPr>
            <w:r w:rsidRPr="00722A47">
              <w:rPr>
                <w:rFonts w:asciiTheme="minorHAnsi" w:hAnsiTheme="minorHAnsi" w:cstheme="minorBidi"/>
              </w:rPr>
              <w:t>Das Deckblatt wurde dem Grundstückseigentümer übergeben am: …</w:t>
            </w:r>
          </w:p>
          <w:p w14:paraId="132CF2D9" w14:textId="77777777" w:rsidR="00722A47" w:rsidRPr="00722A47" w:rsidRDefault="00722A47" w:rsidP="00656043">
            <w:pPr>
              <w:numPr>
                <w:ilvl w:val="1"/>
                <w:numId w:val="25"/>
              </w:numPr>
              <w:overflowPunct w:val="0"/>
              <w:autoSpaceDE w:val="0"/>
              <w:autoSpaceDN w:val="0"/>
              <w:adjustRightInd w:val="0"/>
              <w:spacing w:before="0" w:after="0" w:line="300" w:lineRule="exact"/>
              <w:ind w:left="1026"/>
              <w:contextualSpacing/>
              <w:jc w:val="left"/>
              <w:textAlignment w:val="baseline"/>
              <w:rPr>
                <w:rFonts w:asciiTheme="minorHAnsi" w:hAnsiTheme="minorHAnsi" w:cstheme="minorBidi"/>
              </w:rPr>
            </w:pPr>
            <w:r w:rsidRPr="00722A47">
              <w:rPr>
                <w:rFonts w:asciiTheme="minorHAnsi" w:hAnsiTheme="minorHAnsi" w:cstheme="minorBidi"/>
              </w:rPr>
              <w:t xml:space="preserve">Der/ </w:t>
            </w:r>
            <w:proofErr w:type="gramStart"/>
            <w:r w:rsidRPr="00722A47">
              <w:rPr>
                <w:rFonts w:asciiTheme="minorHAnsi" w:hAnsiTheme="minorHAnsi" w:cstheme="minorBidi"/>
              </w:rPr>
              <w:t>die Lieferschein</w:t>
            </w:r>
            <w:proofErr w:type="gramEnd"/>
            <w:r w:rsidRPr="00722A47">
              <w:rPr>
                <w:rFonts w:asciiTheme="minorHAnsi" w:hAnsiTheme="minorHAnsi" w:cstheme="minorBidi"/>
              </w:rPr>
              <w:t>(e) wurde(n) dem Grundstückseigentümer übergeben am: …</w:t>
            </w:r>
          </w:p>
          <w:p w14:paraId="3E6D1EDD" w14:textId="77777777" w:rsidR="00722A47" w:rsidRPr="00722A47" w:rsidRDefault="00722A47" w:rsidP="00656043">
            <w:pPr>
              <w:numPr>
                <w:ilvl w:val="0"/>
                <w:numId w:val="25"/>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b/>
              </w:rPr>
            </w:pPr>
            <w:r w:rsidRPr="00722A47">
              <w:rPr>
                <w:rFonts w:asciiTheme="minorHAnsi" w:hAnsiTheme="minorHAnsi" w:cstheme="minorBidi"/>
                <w:b/>
              </w:rPr>
              <w:t>Datum und Unterschrift</w:t>
            </w:r>
          </w:p>
          <w:p w14:paraId="7B45C851" w14:textId="77777777" w:rsidR="00722A47" w:rsidRPr="00722A47" w:rsidRDefault="00722A47" w:rsidP="00656043">
            <w:pPr>
              <w:numPr>
                <w:ilvl w:val="1"/>
                <w:numId w:val="25"/>
              </w:numPr>
              <w:tabs>
                <w:tab w:val="left" w:pos="284"/>
              </w:tabs>
              <w:spacing w:before="0" w:after="0" w:line="300" w:lineRule="exact"/>
              <w:ind w:left="1026"/>
              <w:contextualSpacing/>
              <w:jc w:val="left"/>
              <w:rPr>
                <w:rFonts w:asciiTheme="minorHAnsi" w:hAnsiTheme="minorHAnsi" w:cstheme="minorBidi"/>
              </w:rPr>
            </w:pPr>
            <w:r w:rsidRPr="00722A47">
              <w:rPr>
                <w:rFonts w:asciiTheme="minorHAnsi" w:hAnsiTheme="minorHAnsi" w:cstheme="minorBidi"/>
              </w:rPr>
              <w:t>Datum …</w:t>
            </w:r>
          </w:p>
          <w:p w14:paraId="3F22C8EE" w14:textId="77777777" w:rsidR="00722A47" w:rsidRPr="00722A47" w:rsidRDefault="00722A47" w:rsidP="00656043">
            <w:pPr>
              <w:numPr>
                <w:ilvl w:val="1"/>
                <w:numId w:val="25"/>
              </w:numPr>
              <w:tabs>
                <w:tab w:val="left" w:pos="284"/>
              </w:tabs>
              <w:spacing w:before="0" w:after="0" w:line="300" w:lineRule="exact"/>
              <w:ind w:left="1026"/>
              <w:contextualSpacing/>
              <w:jc w:val="left"/>
              <w:rPr>
                <w:rFonts w:asciiTheme="minorHAnsi" w:hAnsiTheme="minorHAnsi" w:cstheme="minorBidi"/>
              </w:rPr>
            </w:pPr>
            <w:r w:rsidRPr="00722A47">
              <w:rPr>
                <w:rFonts w:asciiTheme="minorHAnsi" w:hAnsiTheme="minorHAnsi" w:cstheme="minorBidi"/>
              </w:rPr>
              <w:t>Unterschrift des Verwenders (als Versicherung der Richtigkeit getroffener Angaben) …</w:t>
            </w:r>
          </w:p>
          <w:p w14:paraId="348335E4" w14:textId="77777777" w:rsidR="00722A47" w:rsidRPr="00722A47" w:rsidRDefault="00722A47" w:rsidP="00722A47">
            <w:pPr>
              <w:tabs>
                <w:tab w:val="left" w:pos="284"/>
              </w:tabs>
              <w:spacing w:before="0" w:after="0" w:line="300" w:lineRule="exact"/>
              <w:jc w:val="left"/>
              <w:rPr>
                <w:rFonts w:asciiTheme="minorHAnsi" w:hAnsiTheme="minorHAnsi" w:cstheme="minorBidi"/>
              </w:rPr>
            </w:pPr>
            <w:r w:rsidRPr="00722A47">
              <w:rPr>
                <w:rFonts w:asciiTheme="minorHAnsi" w:hAnsiTheme="minorHAnsi" w:cstheme="minorBidi"/>
              </w:rPr>
              <w:t xml:space="preserve">(Im Falle der Voranzeige nach § 22 Absatz 1 oder Absatz 2 Satz 1 weiter bei den Anlagen ab </w:t>
            </w:r>
            <w:r w:rsidRPr="00722A47">
              <w:rPr>
                <w:rFonts w:asciiTheme="minorHAnsi" w:hAnsiTheme="minorHAnsi" w:cstheme="minorBidi"/>
                <w:b/>
              </w:rPr>
              <w:t>9.</w:t>
            </w:r>
            <w:r w:rsidRPr="00722A47">
              <w:rPr>
                <w:rFonts w:asciiTheme="minorHAnsi" w:hAnsiTheme="minorHAnsi" w:cstheme="minorBidi"/>
              </w:rPr>
              <w:t>)</w:t>
            </w:r>
          </w:p>
          <w:p w14:paraId="28B74718" w14:textId="77777777" w:rsidR="00722A47" w:rsidRPr="00722A47" w:rsidRDefault="00722A47" w:rsidP="00722A47">
            <w:pPr>
              <w:pBdr>
                <w:bottom w:val="single" w:sz="6" w:space="1" w:color="auto"/>
              </w:pBdr>
              <w:overflowPunct w:val="0"/>
              <w:autoSpaceDE w:val="0"/>
              <w:autoSpaceDN w:val="0"/>
              <w:adjustRightInd w:val="0"/>
              <w:spacing w:before="0" w:after="0" w:line="300" w:lineRule="exact"/>
              <w:jc w:val="left"/>
              <w:textAlignment w:val="baseline"/>
              <w:rPr>
                <w:rFonts w:asciiTheme="minorHAnsi" w:hAnsiTheme="minorHAnsi" w:cstheme="minorBidi"/>
                <w:highlight w:val="yellow"/>
              </w:rPr>
            </w:pPr>
            <w:r w:rsidRPr="00722A47">
              <w:rPr>
                <w:rFonts w:asciiTheme="minorHAnsi" w:hAnsiTheme="minorHAnsi" w:cstheme="minorBidi"/>
              </w:rPr>
              <w:t xml:space="preserve">(Im Falle des Deckblatts nach § 25 Absatz 3 Satz 1 weiter bei den Anlagen unter </w:t>
            </w:r>
            <w:r w:rsidRPr="00722A47">
              <w:rPr>
                <w:rFonts w:asciiTheme="minorHAnsi" w:hAnsiTheme="minorHAnsi" w:cstheme="minorBidi"/>
                <w:b/>
              </w:rPr>
              <w:t>10.</w:t>
            </w:r>
            <w:r w:rsidRPr="00722A47">
              <w:rPr>
                <w:rFonts w:asciiTheme="minorHAnsi" w:hAnsiTheme="minorHAnsi" w:cstheme="minorBidi"/>
              </w:rPr>
              <w:t xml:space="preserve">) </w:t>
            </w:r>
          </w:p>
          <w:p w14:paraId="1A2F2057" w14:textId="77777777" w:rsidR="00722A47" w:rsidRPr="00722A47" w:rsidRDefault="00722A47" w:rsidP="00722A47">
            <w:pPr>
              <w:spacing w:before="0" w:after="0" w:line="300" w:lineRule="exact"/>
              <w:jc w:val="left"/>
              <w:rPr>
                <w:rFonts w:asciiTheme="minorHAnsi" w:hAnsiTheme="minorHAnsi" w:cstheme="minorBidi"/>
                <w:b/>
                <w:u w:val="single"/>
              </w:rPr>
            </w:pPr>
            <w:r w:rsidRPr="00722A47">
              <w:rPr>
                <w:rFonts w:asciiTheme="minorHAnsi" w:hAnsiTheme="minorHAnsi" w:cstheme="minorBidi"/>
                <w:b/>
                <w:u w:val="single"/>
              </w:rPr>
              <w:t>Anlagen:</w:t>
            </w:r>
          </w:p>
          <w:p w14:paraId="1CF85B10" w14:textId="77777777" w:rsidR="00722A47" w:rsidRPr="00722A47" w:rsidRDefault="00722A47" w:rsidP="00656043">
            <w:pPr>
              <w:numPr>
                <w:ilvl w:val="0"/>
                <w:numId w:val="25"/>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rPr>
            </w:pPr>
            <w:r w:rsidRPr="00722A47">
              <w:rPr>
                <w:rFonts w:asciiTheme="minorHAnsi" w:hAnsiTheme="minorHAnsi" w:cstheme="minorBidi"/>
              </w:rPr>
              <w:t>Geeignete Nachweise über die Angaben nach Nummer 5.1 bis 5.4</w:t>
            </w:r>
          </w:p>
          <w:p w14:paraId="7ECA23CA" w14:textId="77777777" w:rsidR="00722A47" w:rsidRPr="00722A47" w:rsidRDefault="00722A47" w:rsidP="00656043">
            <w:pPr>
              <w:numPr>
                <w:ilvl w:val="0"/>
                <w:numId w:val="25"/>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rPr>
            </w:pPr>
            <w:r w:rsidRPr="00722A47">
              <w:rPr>
                <w:rFonts w:asciiTheme="minorHAnsi" w:hAnsiTheme="minorHAnsi" w:cstheme="minorBidi"/>
              </w:rPr>
              <w:t>Lageskizze</w:t>
            </w:r>
          </w:p>
        </w:tc>
      </w:tr>
    </w:tbl>
    <w:p w14:paraId="4B01FFAF" w14:textId="77777777" w:rsidR="00722A47" w:rsidRPr="00722A47" w:rsidRDefault="00722A47" w:rsidP="00722A47">
      <w:pPr>
        <w:pStyle w:val="Text"/>
      </w:pPr>
    </w:p>
    <w:p w14:paraId="66AF52C0" w14:textId="77777777" w:rsidR="00BF77F1" w:rsidRPr="00BF77F1" w:rsidRDefault="00BF77F1" w:rsidP="00BF77F1">
      <w:pPr>
        <w:pStyle w:val="ArtikelBezeichner"/>
      </w:pPr>
    </w:p>
    <w:p w14:paraId="6F068B87" w14:textId="77777777" w:rsidR="00BF77F1" w:rsidRPr="00BF77F1" w:rsidRDefault="00BF77F1" w:rsidP="00BF77F1">
      <w:pPr>
        <w:pStyle w:val="BezeichnungStammdokument"/>
      </w:pPr>
      <w:r w:rsidRPr="008D0377">
        <w:t>Bundes-Bodenschutz- und Altlastenverordnung</w:t>
      </w:r>
    </w:p>
    <w:p w14:paraId="6923BCF1" w14:textId="77777777" w:rsidR="00BF77F1" w:rsidRPr="00BF77F1" w:rsidRDefault="00BF77F1" w:rsidP="00BF77F1">
      <w:pPr>
        <w:pStyle w:val="Kurzbezeichnung-AbkrzungStammdokument"/>
      </w:pPr>
      <w:r w:rsidRPr="00BF77F1">
        <w:t>(</w:t>
      </w:r>
      <w:proofErr w:type="spellStart"/>
      <w:r w:rsidRPr="008D0377">
        <w:t>BBodSchV</w:t>
      </w:r>
      <w:proofErr w:type="spellEnd"/>
      <w:r w:rsidRPr="00BF77F1">
        <w:t>)</w:t>
      </w:r>
    </w:p>
    <w:p w14:paraId="2DC5F09B" w14:textId="77777777" w:rsidR="00AB41E6" w:rsidRDefault="00AB41E6" w:rsidP="00AB41E6">
      <w:pPr>
        <w:pStyle w:val="VerzeichnisTitelStammdokument"/>
      </w:pPr>
      <w:r>
        <w:t>Inhaltsübersicht</w:t>
      </w:r>
    </w:p>
    <w:p w14:paraId="1B7D092B" w14:textId="6589AE30" w:rsidR="00AB41E6" w:rsidRPr="00AB41E6" w:rsidRDefault="00D27887" w:rsidP="00AB41E6">
      <w:pPr>
        <w:pStyle w:val="Verzeichnis5"/>
      </w:pPr>
      <w:hyperlink w:anchor="_Toc64379912" w:history="1">
        <w:r w:rsidR="00AB41E6" w:rsidRPr="00AB41E6">
          <w:t>Abschnitt 1</w:t>
        </w:r>
        <w:r w:rsidR="00AB41E6" w:rsidRPr="00AB41E6">
          <w:br/>
          <w:t>Allgemeine Vorschriften</w:t>
        </w:r>
      </w:hyperlink>
    </w:p>
    <w:p w14:paraId="66707A70" w14:textId="2486B4C6" w:rsidR="00AB41E6" w:rsidRPr="00AB41E6" w:rsidRDefault="00D27887" w:rsidP="00AB41E6">
      <w:pPr>
        <w:pStyle w:val="Verzeichnis9"/>
      </w:pPr>
      <w:hyperlink w:anchor="_Toc64379914" w:history="1">
        <w:r w:rsidR="00AB41E6" w:rsidRPr="00AB41E6">
          <w:t>§ 1</w:t>
        </w:r>
        <w:r w:rsidR="00AB41E6" w:rsidRPr="00AB41E6">
          <w:tab/>
          <w:t>Anwendungsbereich</w:t>
        </w:r>
      </w:hyperlink>
    </w:p>
    <w:p w14:paraId="5DE1BC35" w14:textId="2AB3622F" w:rsidR="00AB41E6" w:rsidRPr="00AB41E6" w:rsidRDefault="00D27887" w:rsidP="00AB41E6">
      <w:pPr>
        <w:pStyle w:val="Verzeichnis9"/>
      </w:pPr>
      <w:hyperlink w:anchor="_Toc64379916" w:history="1">
        <w:r w:rsidR="00AB41E6" w:rsidRPr="00AB41E6">
          <w:t>§ 2</w:t>
        </w:r>
        <w:r w:rsidR="00AB41E6" w:rsidRPr="00AB41E6">
          <w:tab/>
          <w:t>Begriffsbestimmungen</w:t>
        </w:r>
      </w:hyperlink>
    </w:p>
    <w:p w14:paraId="2BF0AC90" w14:textId="4A9F59F5" w:rsidR="00AB41E6" w:rsidRPr="00AB41E6" w:rsidRDefault="00D27887" w:rsidP="00AB41E6">
      <w:pPr>
        <w:pStyle w:val="Verzeichnis5"/>
      </w:pPr>
      <w:hyperlink w:anchor="_Toc64379918" w:history="1">
        <w:r w:rsidR="00AB41E6" w:rsidRPr="00AB41E6">
          <w:t>Abschnitt 2</w:t>
        </w:r>
        <w:r w:rsidR="00AB41E6" w:rsidRPr="00AB41E6">
          <w:br/>
          <w:t>Vorsorge gegen das Entstehen schädlicher Bodenveränderungen</w:t>
        </w:r>
      </w:hyperlink>
    </w:p>
    <w:p w14:paraId="12329601" w14:textId="5F148498" w:rsidR="00AB41E6" w:rsidRPr="00AB41E6" w:rsidRDefault="00D27887" w:rsidP="00AB41E6">
      <w:pPr>
        <w:pStyle w:val="Verzeichnis9"/>
      </w:pPr>
      <w:hyperlink w:anchor="_Toc64379920" w:history="1">
        <w:r w:rsidR="00AB41E6" w:rsidRPr="00AB41E6">
          <w:t>§ 3</w:t>
        </w:r>
        <w:r w:rsidR="00AB41E6" w:rsidRPr="00AB41E6">
          <w:tab/>
          <w:t>Besorgnis schädlicher Bodenveränderungen</w:t>
        </w:r>
      </w:hyperlink>
    </w:p>
    <w:p w14:paraId="638F2442" w14:textId="3D6B519D" w:rsidR="00AB41E6" w:rsidRPr="00AB41E6" w:rsidRDefault="00D27887" w:rsidP="00AB41E6">
      <w:pPr>
        <w:pStyle w:val="Verzeichnis9"/>
      </w:pPr>
      <w:hyperlink w:anchor="_Toc64379922" w:history="1">
        <w:r w:rsidR="00AB41E6" w:rsidRPr="00AB41E6">
          <w:t>§ 4</w:t>
        </w:r>
        <w:r w:rsidR="00AB41E6" w:rsidRPr="00AB41E6">
          <w:tab/>
          <w:t>Vorsorgeanforderungen</w:t>
        </w:r>
      </w:hyperlink>
    </w:p>
    <w:p w14:paraId="0AAA2B9D" w14:textId="54670D96" w:rsidR="00AB41E6" w:rsidRPr="00AB41E6" w:rsidRDefault="00D27887" w:rsidP="00AB41E6">
      <w:pPr>
        <w:pStyle w:val="Verzeichnis9"/>
      </w:pPr>
      <w:hyperlink w:anchor="_Toc64379924" w:history="1">
        <w:r w:rsidR="00AB41E6" w:rsidRPr="00AB41E6">
          <w:t>§ 5</w:t>
        </w:r>
        <w:r w:rsidR="00AB41E6" w:rsidRPr="00AB41E6">
          <w:tab/>
          <w:t>Zulässige Zusatzbelastung</w:t>
        </w:r>
      </w:hyperlink>
    </w:p>
    <w:p w14:paraId="6FC736AC" w14:textId="0B7B1206" w:rsidR="00AB41E6" w:rsidRPr="00AB41E6" w:rsidRDefault="00D27887" w:rsidP="00AB41E6">
      <w:pPr>
        <w:pStyle w:val="Verzeichnis9"/>
      </w:pPr>
      <w:hyperlink w:anchor="_Toc64379926" w:history="1">
        <w:r w:rsidR="00AB41E6" w:rsidRPr="00AB41E6">
          <w:t>§ 6</w:t>
        </w:r>
        <w:r w:rsidR="00AB41E6" w:rsidRPr="00AB41E6">
          <w:tab/>
          <w:t>Allgemeine Anforderungen an das Auf- oder Einbringen von Materialien auf oder in den Boden</w:t>
        </w:r>
      </w:hyperlink>
    </w:p>
    <w:p w14:paraId="56566ECF" w14:textId="1F4B4918" w:rsidR="00AB41E6" w:rsidRPr="00AB41E6" w:rsidRDefault="00D27887" w:rsidP="00AB41E6">
      <w:pPr>
        <w:pStyle w:val="Verzeichnis9"/>
      </w:pPr>
      <w:hyperlink w:anchor="_Toc64379928" w:history="1">
        <w:r w:rsidR="00AB41E6" w:rsidRPr="00AB41E6">
          <w:t>§ 7</w:t>
        </w:r>
        <w:r w:rsidR="00AB41E6" w:rsidRPr="00AB41E6">
          <w:tab/>
          <w:t>Zusätzliche Anforderungen an das Auf- oder Einbringen von Materialien auf oder in eine durchwurzelbare Bodenschicht</w:t>
        </w:r>
      </w:hyperlink>
    </w:p>
    <w:p w14:paraId="2A107C73" w14:textId="268297E9" w:rsidR="00AB41E6" w:rsidRPr="00AB41E6" w:rsidRDefault="00D27887" w:rsidP="00AB41E6">
      <w:pPr>
        <w:pStyle w:val="Verzeichnis9"/>
      </w:pPr>
      <w:hyperlink w:anchor="_Toc64379930" w:history="1">
        <w:r w:rsidR="00AB41E6" w:rsidRPr="00AB41E6">
          <w:t>§ 8</w:t>
        </w:r>
        <w:r w:rsidR="00AB41E6" w:rsidRPr="00AB41E6">
          <w:tab/>
          <w:t>Zusätzliche Anforderungen an das Auf- oder Einbringen von Materialien unterhalb oder außerhalb einer durchwurzelbaren Bodenschicht</w:t>
        </w:r>
      </w:hyperlink>
    </w:p>
    <w:p w14:paraId="21B92711" w14:textId="542BBB87" w:rsidR="00AB41E6" w:rsidRPr="00AB41E6" w:rsidRDefault="00D27887" w:rsidP="00AB41E6">
      <w:pPr>
        <w:pStyle w:val="Verzeichnis5"/>
      </w:pPr>
      <w:hyperlink w:anchor="_Toc64379932" w:history="1">
        <w:r w:rsidR="00AB41E6" w:rsidRPr="00AB41E6">
          <w:t>Abschnitt 3</w:t>
        </w:r>
        <w:r w:rsidR="00AB41E6" w:rsidRPr="00AB41E6">
          <w:br/>
          <w:t>Abwehr und Sanierung schädlicher Bodenveränderungen und Altlasten</w:t>
        </w:r>
      </w:hyperlink>
    </w:p>
    <w:p w14:paraId="78E3B273" w14:textId="234E977F" w:rsidR="00AB41E6" w:rsidRPr="00AB41E6" w:rsidRDefault="00D27887" w:rsidP="00AB41E6">
      <w:pPr>
        <w:pStyle w:val="Verzeichnis6"/>
      </w:pPr>
      <w:hyperlink w:anchor="_Toc64379934" w:history="1">
        <w:r w:rsidR="00AB41E6" w:rsidRPr="00AB41E6">
          <w:t>Unterabschnitt 1</w:t>
        </w:r>
        <w:r w:rsidR="00AB41E6" w:rsidRPr="00AB41E6">
          <w:br/>
          <w:t>Gefahrenabwehr bei Bodenerosion</w:t>
        </w:r>
      </w:hyperlink>
    </w:p>
    <w:p w14:paraId="41E1E561" w14:textId="5D0A4A52" w:rsidR="00AB41E6" w:rsidRPr="00AB41E6" w:rsidRDefault="00D27887" w:rsidP="00AB41E6">
      <w:pPr>
        <w:pStyle w:val="Verzeichnis9"/>
      </w:pPr>
      <w:hyperlink w:anchor="_Toc64379936" w:history="1">
        <w:r w:rsidR="00AB41E6" w:rsidRPr="00AB41E6">
          <w:t>§ 9</w:t>
        </w:r>
        <w:r w:rsidR="00AB41E6" w:rsidRPr="00AB41E6">
          <w:tab/>
          <w:t>Gefahrenabwehr bei Bodenerosion durch Wasser oder Wind</w:t>
        </w:r>
      </w:hyperlink>
    </w:p>
    <w:p w14:paraId="626A1AAF" w14:textId="72FA94A1" w:rsidR="00AB41E6" w:rsidRPr="00AB41E6" w:rsidRDefault="00D27887" w:rsidP="00AB41E6">
      <w:pPr>
        <w:pStyle w:val="Verzeichnis6"/>
      </w:pPr>
      <w:hyperlink w:anchor="_Toc64379938" w:history="1">
        <w:r w:rsidR="00AB41E6" w:rsidRPr="00AB41E6">
          <w:t>Unterabschnitt 2</w:t>
        </w:r>
        <w:r w:rsidR="00AB41E6" w:rsidRPr="00AB41E6">
          <w:br/>
          <w:t>Untersuchung, Bewertung und Sanierung schädlicher Bodenveränderungen und Altlasten</w:t>
        </w:r>
      </w:hyperlink>
    </w:p>
    <w:p w14:paraId="46AC5927" w14:textId="2F9117A8" w:rsidR="00AB41E6" w:rsidRPr="00AB41E6" w:rsidRDefault="00D27887" w:rsidP="00AB41E6">
      <w:pPr>
        <w:pStyle w:val="Verzeichnis9"/>
      </w:pPr>
      <w:hyperlink w:anchor="_Toc64379940" w:history="1">
        <w:r w:rsidR="00AB41E6" w:rsidRPr="00AB41E6">
          <w:t>§ 10</w:t>
        </w:r>
        <w:r w:rsidR="00AB41E6" w:rsidRPr="00AB41E6">
          <w:tab/>
          <w:t>Erforderlichkeit von Untersuchungen</w:t>
        </w:r>
      </w:hyperlink>
    </w:p>
    <w:p w14:paraId="5947C987" w14:textId="4F3ED5B2" w:rsidR="00AB41E6" w:rsidRPr="00AB41E6" w:rsidRDefault="00D27887" w:rsidP="00AB41E6">
      <w:pPr>
        <w:pStyle w:val="Verzeichnis9"/>
      </w:pPr>
      <w:hyperlink w:anchor="_Toc64379942" w:history="1">
        <w:r w:rsidR="00AB41E6" w:rsidRPr="00AB41E6">
          <w:t>§ 11</w:t>
        </w:r>
        <w:r w:rsidR="00AB41E6" w:rsidRPr="00AB41E6">
          <w:tab/>
          <w:t>Allgemeine Anforderungen an Untersuchungen</w:t>
        </w:r>
      </w:hyperlink>
    </w:p>
    <w:p w14:paraId="6F799E6F" w14:textId="0F30F4B2" w:rsidR="00AB41E6" w:rsidRPr="00AB41E6" w:rsidRDefault="00D27887" w:rsidP="00AB41E6">
      <w:pPr>
        <w:pStyle w:val="Verzeichnis9"/>
      </w:pPr>
      <w:hyperlink w:anchor="_Toc64379944" w:history="1">
        <w:r w:rsidR="00AB41E6" w:rsidRPr="00AB41E6">
          <w:t>§ 12</w:t>
        </w:r>
        <w:r w:rsidR="00AB41E6" w:rsidRPr="00AB41E6">
          <w:tab/>
          <w:t>Orientierende Untersuchung</w:t>
        </w:r>
      </w:hyperlink>
    </w:p>
    <w:p w14:paraId="0B7EA71A" w14:textId="63029F11" w:rsidR="00AB41E6" w:rsidRPr="00AB41E6" w:rsidRDefault="00D27887" w:rsidP="00AB41E6">
      <w:pPr>
        <w:pStyle w:val="Verzeichnis9"/>
      </w:pPr>
      <w:hyperlink w:anchor="_Toc64379946" w:history="1">
        <w:r w:rsidR="00AB41E6" w:rsidRPr="00AB41E6">
          <w:t>§ 13</w:t>
        </w:r>
        <w:r w:rsidR="00AB41E6" w:rsidRPr="00AB41E6">
          <w:tab/>
          <w:t>Detailuntersuchung</w:t>
        </w:r>
      </w:hyperlink>
    </w:p>
    <w:p w14:paraId="0A60856F" w14:textId="55C51A81" w:rsidR="00AB41E6" w:rsidRPr="00AB41E6" w:rsidRDefault="00D27887" w:rsidP="00AB41E6">
      <w:pPr>
        <w:pStyle w:val="Verzeichnis9"/>
      </w:pPr>
      <w:hyperlink w:anchor="_Toc64379948" w:history="1">
        <w:r w:rsidR="00AB41E6" w:rsidRPr="00AB41E6">
          <w:t>§ 14</w:t>
        </w:r>
        <w:r w:rsidR="00AB41E6" w:rsidRPr="00AB41E6">
          <w:tab/>
          <w:t>Sickerwasserprognose</w:t>
        </w:r>
      </w:hyperlink>
    </w:p>
    <w:p w14:paraId="7017D2EA" w14:textId="4FC3E1A5" w:rsidR="00AB41E6" w:rsidRPr="00AB41E6" w:rsidRDefault="00D27887" w:rsidP="00AB41E6">
      <w:pPr>
        <w:pStyle w:val="Verzeichnis9"/>
      </w:pPr>
      <w:hyperlink w:anchor="_Toc64379950" w:history="1">
        <w:r w:rsidR="00AB41E6" w:rsidRPr="00AB41E6">
          <w:t>§ 15</w:t>
        </w:r>
        <w:r w:rsidR="00AB41E6" w:rsidRPr="00AB41E6">
          <w:tab/>
          <w:t>Bewertung</w:t>
        </w:r>
      </w:hyperlink>
    </w:p>
    <w:p w14:paraId="6059CBC8" w14:textId="77762A6E" w:rsidR="00AB41E6" w:rsidRPr="00AB41E6" w:rsidRDefault="00D27887" w:rsidP="00AB41E6">
      <w:pPr>
        <w:pStyle w:val="Verzeichnis9"/>
      </w:pPr>
      <w:hyperlink w:anchor="_Toc64379952" w:history="1">
        <w:r w:rsidR="00AB41E6" w:rsidRPr="00AB41E6">
          <w:t>§ 16</w:t>
        </w:r>
        <w:r w:rsidR="00AB41E6" w:rsidRPr="00AB41E6">
          <w:tab/>
          <w:t>Sanierungsuntersuchungen und Sanierungsplanung</w:t>
        </w:r>
      </w:hyperlink>
    </w:p>
    <w:p w14:paraId="3B36A6F0" w14:textId="766961F9" w:rsidR="00AB41E6" w:rsidRPr="00AB41E6" w:rsidRDefault="00D27887" w:rsidP="00AB41E6">
      <w:pPr>
        <w:pStyle w:val="Verzeichnis9"/>
      </w:pPr>
      <w:hyperlink w:anchor="_Toc64379954" w:history="1">
        <w:r w:rsidR="00AB41E6" w:rsidRPr="00AB41E6">
          <w:t>§ 17</w:t>
        </w:r>
        <w:r w:rsidR="00AB41E6" w:rsidRPr="00AB41E6">
          <w:tab/>
          <w:t>Sanierungsmaßnahmen, Schutz- und Beschränkungsmaßnahmen, natürliche Schadstoffminderung</w:t>
        </w:r>
      </w:hyperlink>
    </w:p>
    <w:p w14:paraId="6BD5DABF" w14:textId="7D1D731D" w:rsidR="00AB41E6" w:rsidRPr="00AB41E6" w:rsidRDefault="00D27887" w:rsidP="00AB41E6">
      <w:pPr>
        <w:pStyle w:val="Verzeichnis5"/>
      </w:pPr>
      <w:hyperlink w:anchor="_Toc64379956" w:history="1">
        <w:r w:rsidR="00AB41E6" w:rsidRPr="00AB41E6">
          <w:t>Abschnitt 4</w:t>
        </w:r>
        <w:r w:rsidR="00AB41E6" w:rsidRPr="00AB41E6">
          <w:br/>
          <w:t>Vorerkundung, Probennahme und –</w:t>
        </w:r>
        <w:proofErr w:type="spellStart"/>
        <w:r w:rsidR="00AB41E6" w:rsidRPr="00AB41E6">
          <w:t>analyse</w:t>
        </w:r>
        <w:proofErr w:type="spellEnd"/>
      </w:hyperlink>
    </w:p>
    <w:p w14:paraId="5782F8F3" w14:textId="3DD9010F" w:rsidR="00AB41E6" w:rsidRPr="00AB41E6" w:rsidRDefault="00D27887" w:rsidP="00AB41E6">
      <w:pPr>
        <w:pStyle w:val="Verzeichnis9"/>
      </w:pPr>
      <w:hyperlink w:anchor="_Toc64379958" w:history="1">
        <w:r w:rsidR="00AB41E6" w:rsidRPr="00AB41E6">
          <w:t>§ 18</w:t>
        </w:r>
        <w:r w:rsidR="00AB41E6" w:rsidRPr="00AB41E6">
          <w:tab/>
          <w:t>Vorerkundung</w:t>
        </w:r>
      </w:hyperlink>
    </w:p>
    <w:p w14:paraId="3C464DB3" w14:textId="20A0A806" w:rsidR="00AB41E6" w:rsidRPr="00AB41E6" w:rsidRDefault="00D27887" w:rsidP="00AB41E6">
      <w:pPr>
        <w:pStyle w:val="Verzeichnis9"/>
      </w:pPr>
      <w:hyperlink w:anchor="_Toc64379960" w:history="1">
        <w:r w:rsidR="00AB41E6" w:rsidRPr="00AB41E6">
          <w:t>§ 19</w:t>
        </w:r>
        <w:r w:rsidR="00AB41E6" w:rsidRPr="00AB41E6">
          <w:tab/>
          <w:t>Allgemeine Anforderungen an die Probenahme</w:t>
        </w:r>
      </w:hyperlink>
    </w:p>
    <w:p w14:paraId="07117F82" w14:textId="5D320AC2" w:rsidR="00AB41E6" w:rsidRPr="00AB41E6" w:rsidRDefault="00D27887" w:rsidP="00AB41E6">
      <w:pPr>
        <w:pStyle w:val="Verzeichnis9"/>
      </w:pPr>
      <w:hyperlink w:anchor="_Toc64379962" w:history="1">
        <w:r w:rsidR="00AB41E6" w:rsidRPr="00AB41E6">
          <w:t>§ 20</w:t>
        </w:r>
        <w:r w:rsidR="00AB41E6" w:rsidRPr="00AB41E6">
          <w:tab/>
          <w:t>Besondere Anforderungen an die Probennahme aus Böden in situ</w:t>
        </w:r>
      </w:hyperlink>
    </w:p>
    <w:p w14:paraId="759F32E3" w14:textId="4CC08A8E" w:rsidR="00AB41E6" w:rsidRPr="00AB41E6" w:rsidRDefault="00D27887" w:rsidP="00AB41E6">
      <w:pPr>
        <w:pStyle w:val="Verzeichnis9"/>
      </w:pPr>
      <w:hyperlink w:anchor="_Toc64379964" w:history="1">
        <w:r w:rsidR="00AB41E6" w:rsidRPr="00AB41E6">
          <w:t>§ 21</w:t>
        </w:r>
        <w:r w:rsidR="00AB41E6" w:rsidRPr="00AB41E6">
          <w:tab/>
          <w:t>Besondere Anforderungen an die Probennahme aus Haufwerken</w:t>
        </w:r>
      </w:hyperlink>
    </w:p>
    <w:p w14:paraId="23F4FC4E" w14:textId="377AA89F" w:rsidR="00AB41E6" w:rsidRPr="00AB41E6" w:rsidRDefault="00D27887" w:rsidP="00AB41E6">
      <w:pPr>
        <w:pStyle w:val="Verzeichnis9"/>
      </w:pPr>
      <w:hyperlink w:anchor="_Toc64379966" w:history="1">
        <w:r w:rsidR="00AB41E6" w:rsidRPr="00AB41E6">
          <w:t>§ 22</w:t>
        </w:r>
        <w:r w:rsidR="00AB41E6" w:rsidRPr="00AB41E6">
          <w:tab/>
          <w:t>Zusätzliche wirkungspfadbezogene Anforderungen an die Probennahme bei orientierenden Untersuchungen und Detailuntersuchungen</w:t>
        </w:r>
      </w:hyperlink>
    </w:p>
    <w:p w14:paraId="2FF486AA" w14:textId="40782F7A" w:rsidR="00AB41E6" w:rsidRPr="00AB41E6" w:rsidRDefault="00D27887" w:rsidP="00AB41E6">
      <w:pPr>
        <w:pStyle w:val="Verzeichnis9"/>
      </w:pPr>
      <w:hyperlink w:anchor="_Toc64379968" w:history="1">
        <w:r w:rsidR="00AB41E6" w:rsidRPr="00AB41E6">
          <w:t>§ 23</w:t>
        </w:r>
        <w:r w:rsidR="00AB41E6" w:rsidRPr="00AB41E6">
          <w:tab/>
          <w:t>Konservierung, Transport und Aufbewahrung von Proben; Probenvorbehandlung, -vorbereitung und -aufarbeitung</w:t>
        </w:r>
      </w:hyperlink>
    </w:p>
    <w:p w14:paraId="508699AB" w14:textId="3A56EC87" w:rsidR="00AB41E6" w:rsidRPr="00AB41E6" w:rsidRDefault="00D27887" w:rsidP="00AB41E6">
      <w:pPr>
        <w:pStyle w:val="Verzeichnis9"/>
      </w:pPr>
      <w:hyperlink w:anchor="_Toc64379970" w:history="1">
        <w:r w:rsidR="00AB41E6" w:rsidRPr="00AB41E6">
          <w:t>§ 24</w:t>
        </w:r>
        <w:r w:rsidR="00AB41E6" w:rsidRPr="00AB41E6">
          <w:tab/>
          <w:t>Physikalisch-chemische und chemische Analyse</w:t>
        </w:r>
      </w:hyperlink>
    </w:p>
    <w:p w14:paraId="6CD90FA4" w14:textId="484B0A5D" w:rsidR="00AB41E6" w:rsidRPr="00AB41E6" w:rsidRDefault="00D27887" w:rsidP="00AB41E6">
      <w:pPr>
        <w:pStyle w:val="Verzeichnis5"/>
      </w:pPr>
      <w:hyperlink w:anchor="_Toc64379972" w:history="1">
        <w:r w:rsidR="00AB41E6" w:rsidRPr="00AB41E6">
          <w:t>Abschnitt 5</w:t>
        </w:r>
        <w:r w:rsidR="00AB41E6" w:rsidRPr="00AB41E6">
          <w:br/>
          <w:t>Gemeinsame Bestimmungen</w:t>
        </w:r>
      </w:hyperlink>
    </w:p>
    <w:p w14:paraId="71F805DA" w14:textId="535D8D5D" w:rsidR="00AB41E6" w:rsidRPr="00AB41E6" w:rsidRDefault="00D27887" w:rsidP="00AB41E6">
      <w:pPr>
        <w:pStyle w:val="Verzeichnis9"/>
      </w:pPr>
      <w:hyperlink w:anchor="_Toc64379974" w:history="1">
        <w:r w:rsidR="00AB41E6" w:rsidRPr="00AB41E6">
          <w:t>§ 25</w:t>
        </w:r>
        <w:r w:rsidR="00AB41E6" w:rsidRPr="00AB41E6">
          <w:tab/>
          <w:t>Fachbeirat Bodenuntersuchungen</w:t>
        </w:r>
      </w:hyperlink>
    </w:p>
    <w:p w14:paraId="10B97276" w14:textId="3B68E4D3" w:rsidR="00AB41E6" w:rsidRPr="00AB41E6" w:rsidRDefault="00D27887" w:rsidP="00AB41E6">
      <w:pPr>
        <w:pStyle w:val="Verzeichnis9"/>
      </w:pPr>
      <w:hyperlink w:anchor="_Toc64379976" w:history="1">
        <w:r w:rsidR="00AB41E6" w:rsidRPr="00AB41E6">
          <w:t>§ 26</w:t>
        </w:r>
        <w:r w:rsidR="00AB41E6" w:rsidRPr="00AB41E6">
          <w:tab/>
          <w:t>Ordnungswidrigkeiten</w:t>
        </w:r>
      </w:hyperlink>
    </w:p>
    <w:p w14:paraId="13A1990B" w14:textId="30AA1347" w:rsidR="00AB41E6" w:rsidRPr="00AB41E6" w:rsidRDefault="00D27887" w:rsidP="00AB41E6">
      <w:pPr>
        <w:pStyle w:val="Verzeichnis9"/>
      </w:pPr>
      <w:hyperlink w:anchor="_Toc64379978" w:history="1">
        <w:r w:rsidR="00AB41E6" w:rsidRPr="00AB41E6">
          <w:t>§ 27</w:t>
        </w:r>
        <w:r w:rsidR="00AB41E6" w:rsidRPr="00AB41E6">
          <w:tab/>
          <w:t>Zugänglichkeit technischer Regeln und Normen</w:t>
        </w:r>
      </w:hyperlink>
    </w:p>
    <w:p w14:paraId="72C2A2B3" w14:textId="121744F5" w:rsidR="00AB41E6" w:rsidRPr="00AB41E6" w:rsidRDefault="00D27887" w:rsidP="00AB41E6">
      <w:pPr>
        <w:pStyle w:val="Verzeichnis9"/>
      </w:pPr>
      <w:hyperlink w:anchor="_Toc64379980" w:history="1">
        <w:r w:rsidR="00AB41E6" w:rsidRPr="00AB41E6">
          <w:t>§ 28</w:t>
        </w:r>
        <w:r w:rsidR="00AB41E6" w:rsidRPr="00AB41E6">
          <w:tab/>
          <w:t>Übergangsregelung</w:t>
        </w:r>
      </w:hyperlink>
    </w:p>
    <w:p w14:paraId="0A4DB926" w14:textId="14960F15" w:rsidR="00AB41E6" w:rsidRPr="00AB41E6" w:rsidRDefault="00D27887" w:rsidP="00AB41E6">
      <w:pPr>
        <w:pStyle w:val="Verzeichnis9"/>
        <w:tabs>
          <w:tab w:val="clear" w:pos="624"/>
          <w:tab w:val="left" w:pos="907"/>
        </w:tabs>
        <w:spacing w:before="280"/>
        <w:ind w:left="907" w:hanging="907"/>
      </w:pPr>
      <w:hyperlink w:anchor="_Toc64379982" w:history="1">
        <w:r w:rsidR="00AB41E6" w:rsidRPr="00AB41E6">
          <w:t>Anlage 1</w:t>
        </w:r>
        <w:r w:rsidR="00AB41E6" w:rsidRPr="00AB41E6">
          <w:tab/>
          <w:t>Vorsorgewerte und Werte zur Beurteilung von Materialien</w:t>
        </w:r>
      </w:hyperlink>
    </w:p>
    <w:p w14:paraId="2D7915A5" w14:textId="2B48EA57" w:rsidR="00AB41E6" w:rsidRPr="00AB41E6" w:rsidRDefault="00D27887" w:rsidP="00AB41E6">
      <w:pPr>
        <w:pStyle w:val="Verzeichnis9"/>
        <w:tabs>
          <w:tab w:val="clear" w:pos="624"/>
          <w:tab w:val="left" w:pos="907"/>
        </w:tabs>
        <w:ind w:left="907" w:hanging="907"/>
      </w:pPr>
      <w:hyperlink w:anchor="_Toc64379984" w:history="1">
        <w:r w:rsidR="00AB41E6" w:rsidRPr="00AB41E6">
          <w:t>Anlage 2</w:t>
        </w:r>
        <w:r w:rsidR="00AB41E6" w:rsidRPr="00AB41E6">
          <w:tab/>
          <w:t>Prüf- und Maßnahmenwert</w:t>
        </w:r>
      </w:hyperlink>
    </w:p>
    <w:p w14:paraId="4EA314EC" w14:textId="7A7604F0" w:rsidR="00AB41E6" w:rsidRPr="00AB41E6" w:rsidRDefault="00D27887" w:rsidP="00AB41E6">
      <w:pPr>
        <w:pStyle w:val="Verzeichnis9"/>
        <w:tabs>
          <w:tab w:val="clear" w:pos="624"/>
          <w:tab w:val="left" w:pos="907"/>
        </w:tabs>
        <w:ind w:left="907" w:hanging="907"/>
      </w:pPr>
      <w:hyperlink w:anchor="_Toc64379986" w:history="1">
        <w:r w:rsidR="00AB41E6" w:rsidRPr="00AB41E6">
          <w:t>Anlage 3</w:t>
        </w:r>
        <w:r w:rsidR="00AB41E6" w:rsidRPr="00AB41E6">
          <w:tab/>
          <w:t>Untersuchungsverfahren</w:t>
        </w:r>
      </w:hyperlink>
    </w:p>
    <w:p w14:paraId="364E892B" w14:textId="60F44EAB" w:rsidR="00AB41E6" w:rsidRPr="00AB41E6" w:rsidRDefault="00D27887" w:rsidP="00AB41E6">
      <w:pPr>
        <w:pStyle w:val="Verzeichnis9"/>
        <w:tabs>
          <w:tab w:val="clear" w:pos="624"/>
          <w:tab w:val="left" w:pos="907"/>
        </w:tabs>
        <w:ind w:left="907" w:hanging="907"/>
      </w:pPr>
      <w:hyperlink w:anchor="_Toc64379988" w:history="1">
        <w:r w:rsidR="00AB41E6" w:rsidRPr="00AB41E6">
          <w:t>Anlage 4</w:t>
        </w:r>
        <w:r w:rsidR="00AB41E6" w:rsidRPr="00AB41E6">
          <w:tab/>
          <w:t>Technische Regeln und Normen</w:t>
        </w:r>
      </w:hyperlink>
    </w:p>
    <w:p w14:paraId="185707AD" w14:textId="607DC425" w:rsidR="00BF77F1" w:rsidRPr="00BF77F1" w:rsidRDefault="00BF77F1" w:rsidP="00656043">
      <w:pPr>
        <w:pStyle w:val="AbschnittBezeichner"/>
        <w:numPr>
          <w:ilvl w:val="3"/>
          <w:numId w:val="27"/>
        </w:numPr>
      </w:pPr>
    </w:p>
    <w:p w14:paraId="5DCE34EA" w14:textId="77777777" w:rsidR="00BF77F1" w:rsidRPr="008D0377" w:rsidRDefault="00BF77F1" w:rsidP="00BF77F1">
      <w:pPr>
        <w:pStyle w:val="Abschnittberschrift"/>
      </w:pPr>
      <w:bookmarkStart w:id="54" w:name="_Toc64379912"/>
      <w:r w:rsidRPr="008D0377">
        <w:t>Allgemeine Vorschriften</w:t>
      </w:r>
      <w:bookmarkEnd w:id="54"/>
    </w:p>
    <w:p w14:paraId="4AD0D045" w14:textId="77777777" w:rsidR="00BF77F1" w:rsidRDefault="00BF77F1" w:rsidP="00BF77F1">
      <w:pPr>
        <w:pStyle w:val="ParagraphBezeichner"/>
      </w:pPr>
    </w:p>
    <w:p w14:paraId="47D2CA0C" w14:textId="77777777" w:rsidR="00BF77F1" w:rsidRDefault="00BF77F1" w:rsidP="00BF77F1">
      <w:pPr>
        <w:pStyle w:val="Paragraphberschrift"/>
      </w:pPr>
      <w:bookmarkStart w:id="55" w:name="_Toc64379914"/>
      <w:r w:rsidRPr="00BF77F1">
        <w:t>Anwendungsbereich</w:t>
      </w:r>
      <w:bookmarkEnd w:id="55"/>
    </w:p>
    <w:p w14:paraId="7C9E062C" w14:textId="77777777" w:rsidR="00BF77F1" w:rsidRDefault="00BF77F1" w:rsidP="00BF77F1">
      <w:pPr>
        <w:pStyle w:val="JuristischerAbsatznummeriert"/>
      </w:pPr>
      <w:r>
        <w:t>Diese Verordnung regelt nähere Anforderungen insbesondere</w:t>
      </w:r>
    </w:p>
    <w:p w14:paraId="555FC1B1" w14:textId="77777777" w:rsidR="00BF77F1" w:rsidRDefault="00BF77F1" w:rsidP="00BF77F1">
      <w:pPr>
        <w:pStyle w:val="NummerierungStufe1"/>
      </w:pPr>
      <w:r>
        <w:t>zur Vorsorge gegen das Entstehen schädlicher Bodenveränderungen einschließlich Anforderungen an das Auf- oder Einbringen von Materialien auf oder in den Boden sowie Vorsorgewerte und zulässige Zusatzbelastungen,</w:t>
      </w:r>
    </w:p>
    <w:p w14:paraId="559678F1" w14:textId="77777777" w:rsidR="00BF77F1" w:rsidRDefault="00BF77F1" w:rsidP="00BF77F1">
      <w:pPr>
        <w:pStyle w:val="NummerierungStufe1"/>
      </w:pPr>
      <w:r>
        <w:t>zur Gefahrenabwehr bei Bodenerosion,</w:t>
      </w:r>
    </w:p>
    <w:p w14:paraId="08AAA6FF" w14:textId="77777777" w:rsidR="00BF77F1" w:rsidRDefault="00BF77F1" w:rsidP="00BF77F1">
      <w:pPr>
        <w:pStyle w:val="NummerierungStufe1"/>
      </w:pPr>
      <w:r>
        <w:t>zur Untersuchung, Bewertung und Sanierung von schädlichen Bodenveränderungen und Altlasten einschließlich Anforderungen an Sanierungsuntersuchungen und Sanierungsplanung sowie Prüf- und Maßnahmenwerte,</w:t>
      </w:r>
    </w:p>
    <w:p w14:paraId="15D53844" w14:textId="77777777" w:rsidR="00BF77F1" w:rsidRDefault="00BF77F1" w:rsidP="00BF77F1">
      <w:pPr>
        <w:pStyle w:val="NummerierungStufe1"/>
      </w:pPr>
      <w:r>
        <w:t>an die Vorerkundung, Probennahme und -analyse.</w:t>
      </w:r>
    </w:p>
    <w:p w14:paraId="2FDC41F3" w14:textId="77777777" w:rsidR="00BF77F1" w:rsidRDefault="00BF77F1" w:rsidP="00BF77F1">
      <w:pPr>
        <w:pStyle w:val="JuristischerAbsatznummeriert"/>
      </w:pPr>
      <w:r>
        <w:t>Diese Verordnung gilt nicht für</w:t>
      </w:r>
    </w:p>
    <w:p w14:paraId="2FDAD86D" w14:textId="77777777" w:rsidR="00D21E79" w:rsidRDefault="00BF77F1" w:rsidP="00D21E79">
      <w:pPr>
        <w:pStyle w:val="NummerierungStufe1"/>
      </w:pPr>
      <w:r>
        <w:t>den Einbau von mineralischen Ersatzbaustoffen in technische Bauwerke, soweit dieser nach Maßgabe der Ersatzbaustoffverordnung vom … [einsetzen: Datum der Ausfertigung dieser Verordnung und Fundstelle im BGBl.] erfolgt,</w:t>
      </w:r>
    </w:p>
    <w:p w14:paraId="79AD9C92" w14:textId="77777777" w:rsidR="004954C9" w:rsidRDefault="00D21E79" w:rsidP="00D21E79">
      <w:pPr>
        <w:pStyle w:val="NummerierungStufe1"/>
      </w:pPr>
      <w:r w:rsidRPr="00D21E79">
        <w:t>das Auf- oder Einbringen von Baggergut unterhalb oder außerhalb einer durchwurzelbaren Bodenschicht im Deichbau,</w:t>
      </w:r>
    </w:p>
    <w:p w14:paraId="145C781D" w14:textId="77777777" w:rsidR="00D21E79" w:rsidRPr="00D21E79" w:rsidRDefault="00D21E79" w:rsidP="00D21E79">
      <w:pPr>
        <w:pStyle w:val="NummerierungStufe1"/>
      </w:pPr>
      <w:r w:rsidRPr="00D21E79">
        <w:t>das Auf- oder Einbringen von Materialien unterhalb oder außerhalb einer durchwurzelbaren Bodenschicht auf Halden oder in Absetzteichen des Bergbaus sowie die Herstellung einer durchwurzelbaren Bodenschicht auf Halden des Kalibergbaus, so</w:t>
      </w:r>
      <w:r w:rsidRPr="00D21E79">
        <w:lastRenderedPageBreak/>
        <w:t>weit auf der Halde nicht eine regelmäßige Nutzung durch Park- und Freizeitanlagen geplant ist,</w:t>
      </w:r>
    </w:p>
    <w:p w14:paraId="3A78B9BE" w14:textId="77777777" w:rsidR="00D21E79" w:rsidRPr="00D21E79" w:rsidRDefault="00D21E79" w:rsidP="00D21E79">
      <w:pPr>
        <w:pStyle w:val="NummerierungStufe1"/>
      </w:pPr>
      <w:r w:rsidRPr="00D21E79">
        <w:t>das Einbringen von Materialien in bergbauliche Hohlräume gemäß der Versatzverordnung,</w:t>
      </w:r>
    </w:p>
    <w:p w14:paraId="447A7342" w14:textId="77777777" w:rsidR="00D21E79" w:rsidRPr="00D21E79" w:rsidRDefault="00D21E79" w:rsidP="00D21E79">
      <w:pPr>
        <w:pStyle w:val="NummerierungStufe1"/>
      </w:pPr>
      <w:r w:rsidRPr="00D21E79">
        <w:t>das Einbringen von Materialien in Anlagen des Bundes gemäß § 9a Absatz 3 des Atomgesetzes in der Fassung der Bekanntmachung vom 15. Juli 1985 (BGBl. I S. 1565), das zuletzt durch Artikel 3 des Gesetzes vom7. Dezember 2020 (BGBl. I S. 2760) geändert worden ist,</w:t>
      </w:r>
    </w:p>
    <w:p w14:paraId="28A47E86" w14:textId="77777777" w:rsidR="00D21E79" w:rsidRPr="008D0377" w:rsidRDefault="00D21E79" w:rsidP="00D21E79">
      <w:pPr>
        <w:pStyle w:val="NummerierungStufe1"/>
      </w:pPr>
      <w:r w:rsidRPr="008D0377">
        <w:t>das Auf- oder Einbringen von Materialien nach den Vorschriften des Dünge- und Pflanzenschutzrechts.</w:t>
      </w:r>
    </w:p>
    <w:p w14:paraId="4996A276" w14:textId="77777777" w:rsidR="00D21E79" w:rsidRDefault="00D21E79" w:rsidP="00D21E79">
      <w:pPr>
        <w:pStyle w:val="ParagraphBezeichner"/>
      </w:pPr>
    </w:p>
    <w:p w14:paraId="32E36328" w14:textId="77777777" w:rsidR="00D21E79" w:rsidRPr="00A10B6A" w:rsidRDefault="00D21E79" w:rsidP="00D21E79">
      <w:pPr>
        <w:pStyle w:val="Paragraphberschrift"/>
      </w:pPr>
      <w:bookmarkStart w:id="56" w:name="_Toc64379916"/>
      <w:r w:rsidRPr="008D0377">
        <w:t>Begriffsbestimmungen</w:t>
      </w:r>
      <w:bookmarkEnd w:id="56"/>
    </w:p>
    <w:p w14:paraId="585FCAA6" w14:textId="77777777" w:rsidR="00D21E79" w:rsidRPr="008D0377" w:rsidRDefault="00D21E79" w:rsidP="00D21E79">
      <w:pPr>
        <w:pStyle w:val="JuristischerAbsatznichtnummeriert"/>
      </w:pPr>
      <w:r w:rsidRPr="008D0377">
        <w:t>Für diese Verordnung gelten folgende Begriffsbestimmungen:</w:t>
      </w:r>
    </w:p>
    <w:p w14:paraId="6DEE2954" w14:textId="77777777" w:rsidR="00D21E79" w:rsidRPr="00A10B6A" w:rsidRDefault="00D21E79" w:rsidP="00D21E79">
      <w:pPr>
        <w:pStyle w:val="NummerierungStufe1"/>
      </w:pPr>
      <w:r w:rsidRPr="008D0377">
        <w:t>Bodenansprache: Beschreibung von Bodenhorizonten und -profilen sowie die bodenkundliche und sensorische Beurteilung von Bodenproben in dem Umfang, in dem er jeweils für den vorsorgenden Bodenschutz oder für die Gefahrenbeurteilung nach dieser Verordnung erforderlich ist;</w:t>
      </w:r>
    </w:p>
    <w:p w14:paraId="64B4725A" w14:textId="77777777" w:rsidR="00D21E79" w:rsidRPr="00D21E79" w:rsidRDefault="00D21E79" w:rsidP="00D21E79">
      <w:pPr>
        <w:pStyle w:val="NummerierungStufe1"/>
      </w:pPr>
      <w:r w:rsidRPr="008D0377">
        <w:t>Oberboden:</w:t>
      </w:r>
      <w:r>
        <w:t xml:space="preserve"> </w:t>
      </w:r>
      <w:r w:rsidRPr="008D0377">
        <w:t xml:space="preserve">oberer Teil des Mineralbodens, der einen der jeweiligen Bodenbildung entsprechenden Anteil an Humus und Bodenorganismen enthält und der sich meist durch dunklere Bodenfarbe vom Unterboden abhebt, in der Regel Ah-, Aa-, Al-, </w:t>
      </w:r>
      <w:proofErr w:type="spellStart"/>
      <w:r w:rsidRPr="008D0377">
        <w:t>Ac</w:t>
      </w:r>
      <w:proofErr w:type="spellEnd"/>
      <w:r w:rsidRPr="008D0377">
        <w:t xml:space="preserve">- und </w:t>
      </w:r>
      <w:proofErr w:type="spellStart"/>
      <w:r w:rsidRPr="008D0377">
        <w:t>Ap</w:t>
      </w:r>
      <w:proofErr w:type="spellEnd"/>
      <w:r w:rsidRPr="008D0377">
        <w:t>-Horizonte; die organischen O- und L-Horizonte zählen zum Oberboden im Sinne dieser Verordnung; Mutterboden im Sinne des § 202 Baugesetzbuch entspricht dem Oberboden;</w:t>
      </w:r>
    </w:p>
    <w:p w14:paraId="7993C3D4" w14:textId="77777777" w:rsidR="00D21E79" w:rsidRPr="008D0377" w:rsidRDefault="00D21E79" w:rsidP="00D21E79">
      <w:pPr>
        <w:pStyle w:val="NummerierungStufe1"/>
      </w:pPr>
      <w:r w:rsidRPr="008D0377">
        <w:t>Unterboden: Bereich zwischen Oberboden und Untergrund, der im Allgemeinen die B-Horizonte umfasst, je nach Bodentyp auch P-, T-, S-, G-, M-, und Yo-Horizonte;</w:t>
      </w:r>
    </w:p>
    <w:p w14:paraId="34CC93C1" w14:textId="77777777" w:rsidR="00D21E79" w:rsidRDefault="00D21E79" w:rsidP="00D21E79">
      <w:pPr>
        <w:pStyle w:val="NummerierungStufe1"/>
      </w:pPr>
      <w:r>
        <w:t>Untergrund: Bereich unterhalb des Unterbodens mit durch Verwitterung und Bodenbildung nicht beeinflusstem Gestein einschließlich Lockersedimenten, der in der Regel das Ausgangsgestein der Bodenbildung darstellt; in der Regel C-Horizonte; auch H-, G- und S-Horizonte, wenn bei Stau- und Grundwasserböden sowie Mooren keine C-Horizonte erkennbar sind und mehr als die Hälfte der Horizontmächtigkeit tiefer als 120 Zentimeter unterhalb der Erdoberfläche liegt;</w:t>
      </w:r>
    </w:p>
    <w:p w14:paraId="274D10C8" w14:textId="77777777" w:rsidR="00D21E79" w:rsidRPr="008D0377" w:rsidRDefault="00D21E79" w:rsidP="00D21E79">
      <w:pPr>
        <w:pStyle w:val="NummerierungStufe1"/>
      </w:pPr>
      <w:r w:rsidRPr="008D0377">
        <w:t>durchwurzelbare Bodenschicht: Bodenschicht, die von den Pflanzenwurzeln in Abhängigkeit von den natürlichen Standortbedingungen durchdrungen werden kann; sie schließt in der Regel den Oberboden und den Unterboden ein;</w:t>
      </w:r>
    </w:p>
    <w:p w14:paraId="52898EF0" w14:textId="77777777" w:rsidR="00D21E79" w:rsidRPr="008D0377" w:rsidRDefault="00D21E79" w:rsidP="00D21E79">
      <w:pPr>
        <w:pStyle w:val="NummerierungStufe1"/>
      </w:pPr>
      <w:r w:rsidRPr="008D0377">
        <w:t xml:space="preserve">Bodenmaterial: Material aus dem Oberboden, dem Unterboden oder dem Untergrund, </w:t>
      </w:r>
      <w:proofErr w:type="gramStart"/>
      <w:r w:rsidRPr="008D0377">
        <w:t>das</w:t>
      </w:r>
      <w:proofErr w:type="gramEnd"/>
      <w:r w:rsidRPr="008D0377">
        <w:t xml:space="preserve"> ausgehoben, abgeschoben, abgetragen oder in einer Aufbereitungsanlage behandelt wird oder wurde;</w:t>
      </w:r>
    </w:p>
    <w:p w14:paraId="023D7591" w14:textId="77777777" w:rsidR="00D21E79" w:rsidRPr="00A10B6A" w:rsidRDefault="00D21E79" w:rsidP="00A10B6A">
      <w:pPr>
        <w:pStyle w:val="NummerierungStufe1"/>
      </w:pPr>
      <w:r w:rsidRPr="00A10B6A">
        <w:t xml:space="preserve">Baggergut: Material, das im Rahmen von Unterhaltungs-, Neu- und Ausbaumaßnahmen oder bei Maßnahmen der Errichtung, Unterhaltung oder Stilllegung von Anlagen in, an, über und unter oberirdischen Gewässern entnommen wurde; Baggergut kann bestehen aus Sedimenten und Material aus </w:t>
      </w:r>
      <w:proofErr w:type="spellStart"/>
      <w:r w:rsidRPr="00A10B6A">
        <w:t>subhydrischen</w:t>
      </w:r>
      <w:proofErr w:type="spellEnd"/>
      <w:r w:rsidRPr="00A10B6A">
        <w:t xml:space="preserve"> Böden der Gewässersohle, aus dem Oberboden, dem Unterboden oder dem Untergrund im unmittelbaren </w:t>
      </w:r>
      <w:r w:rsidRPr="00A10B6A">
        <w:lastRenderedPageBreak/>
        <w:t>Umfeld des Gewässerbettes oder aus Material aus Oberböden im Ufer- und Überschwemmungsbereich des Gewässers;</w:t>
      </w:r>
    </w:p>
    <w:p w14:paraId="0AD3F021" w14:textId="77777777" w:rsidR="00D21E79" w:rsidRPr="00A10B6A" w:rsidRDefault="00D21E79" w:rsidP="00A10B6A">
      <w:pPr>
        <w:pStyle w:val="NummerierungStufe1"/>
      </w:pPr>
      <w:r w:rsidRPr="00A10B6A">
        <w:t>mineralische Fremdbestandteile: mineralische Bestandteile im Bodenmaterial oder im Baggergut, die keine natürlichen Bodenausgangssubstrate sind, insbesondere Beton, Ziegel, Keramik, Bauschutt, Straßenaufbruch und Schlacke;</w:t>
      </w:r>
    </w:p>
    <w:p w14:paraId="7FAFDB28" w14:textId="77777777" w:rsidR="00D21E79" w:rsidRPr="008D0377" w:rsidRDefault="00D21E79" w:rsidP="00D21E79">
      <w:pPr>
        <w:pStyle w:val="NummerierungStufe1"/>
      </w:pPr>
      <w:r w:rsidRPr="008D0377">
        <w:t>Störstoffe: in der Regel Gegenstände im Bodenmaterial oder im Baggergut, die deren Verwertungseignung nachteilig beeinflussen können, insbesondere behandeltes Holz, Kunststoffe, Glas und Metallteile;</w:t>
      </w:r>
    </w:p>
    <w:p w14:paraId="18779512" w14:textId="77777777" w:rsidR="00D21E79" w:rsidRPr="008D0377" w:rsidRDefault="00D21E79" w:rsidP="00D21E79">
      <w:pPr>
        <w:pStyle w:val="NummerierungStufe1"/>
      </w:pPr>
      <w:r w:rsidRPr="008D0377">
        <w:t>Erosionsfläche: Fläche, von der Bodenmaterial durch Wind oder Wasser abgetragen wird;</w:t>
      </w:r>
    </w:p>
    <w:p w14:paraId="3E9E8E5C" w14:textId="77777777" w:rsidR="00D21E79" w:rsidRPr="008D0377" w:rsidRDefault="00D21E79" w:rsidP="00D21E79">
      <w:pPr>
        <w:pStyle w:val="NummerierungStufe1"/>
      </w:pPr>
      <w:r w:rsidRPr="008D0377">
        <w:t>Schadstoffe: Stoffe und Stoffgemische, die auf Grund ihrer Gesundheitsschädlichkeit, Ökotoxizität oder anderer Eigenschaften geeignet sind, in Abhängigkeit von ihren Gehalten oder Konzentrationen unter Berücksichtigung ihrer Bioverfügbarkeit und Langlebigkeit schädliche Bodenveränderungen oder sonstige Gefahren herbeizuführen;</w:t>
      </w:r>
    </w:p>
    <w:p w14:paraId="63C82973" w14:textId="77777777" w:rsidR="00D21E79" w:rsidRPr="00A10B6A" w:rsidRDefault="00D21E79" w:rsidP="00A10B6A">
      <w:pPr>
        <w:pStyle w:val="NummerierungStufe1"/>
      </w:pPr>
      <w:r w:rsidRPr="00A10B6A">
        <w:t>Expositionsbedingungen: durch örtliche Umstände und die Grundstücksnutzung im Einzelfall geprägte Art und Weise, in der Schutzgüter der Wirkung von Schadstoffen oder physikalischen Einwirkungen ausgesetzt sein können;</w:t>
      </w:r>
    </w:p>
    <w:p w14:paraId="10EB0C4D" w14:textId="77777777" w:rsidR="00D21E79" w:rsidRPr="00A10B6A" w:rsidRDefault="00D21E79" w:rsidP="00A10B6A">
      <w:pPr>
        <w:pStyle w:val="NummerierungStufe1"/>
      </w:pPr>
      <w:r w:rsidRPr="00A10B6A">
        <w:t>Wirkungspfad: Weg eines Schadstoffes von der Schadstoffquelle bis zu dem Ort einer möglichen Wirkung auf ein Schutzgut;</w:t>
      </w:r>
    </w:p>
    <w:p w14:paraId="2443B28D" w14:textId="77777777" w:rsidR="00D21E79" w:rsidRPr="00A10B6A" w:rsidRDefault="00D21E79" w:rsidP="00A10B6A">
      <w:pPr>
        <w:pStyle w:val="NummerierungStufe1"/>
      </w:pPr>
      <w:r w:rsidRPr="00A10B6A">
        <w:t>Einwirkungsbereich: Bereich, in dem von einem Grundstück im Sinne des § 2 Absatz 4 bis 6 des Bundes Bodenschutzgesetzes oder von einem schädlich veränderten Boden im Sinne des § 2 Absatz 3 des Bundes-Bodenschutzgesetzes Einwirkungen auf Schutzgüter zu erwarten sind oder in dem durch Einwirkungen auf den Boden die Besorgnis des Entstehens schädlicher Bodenveränderungen hervorgerufen wird;</w:t>
      </w:r>
    </w:p>
    <w:p w14:paraId="54259720" w14:textId="77777777" w:rsidR="00D21E79" w:rsidRPr="00A10B6A" w:rsidRDefault="00D21E79" w:rsidP="00A10B6A">
      <w:pPr>
        <w:pStyle w:val="NummerierungStufe1"/>
      </w:pPr>
      <w:r w:rsidRPr="00A10B6A">
        <w:t>Sickerwasserprognose: Abschätzung der von einer Verdachtsfläche, altlastverdächtigen Fläche, schädlichen Bodenveränderung oder Altlast ausgehenden oder zu erwartenden Schadstoffeinträge über das Sickerwasser in das Grundwasser, unter Berücksichtigung von Konzentrationen und Frachten und bezogen auf den Ort der Beurteilung;</w:t>
      </w:r>
    </w:p>
    <w:p w14:paraId="4123808A" w14:textId="77777777" w:rsidR="00D21E79" w:rsidRPr="00A10B6A" w:rsidRDefault="00D21E79" w:rsidP="00A10B6A">
      <w:pPr>
        <w:pStyle w:val="NummerierungStufe1"/>
      </w:pPr>
      <w:r w:rsidRPr="00A10B6A">
        <w:t xml:space="preserve">Ort der Beurteilung: für den Wirkungspfad Boden-Grundwasser der Übergangsbereich von der wasserungesättigten zur wassergesättigten Bodenzone; </w:t>
      </w:r>
    </w:p>
    <w:p w14:paraId="0A0706C7" w14:textId="77777777" w:rsidR="00D21E79" w:rsidRPr="00A10B6A" w:rsidRDefault="00D21E79" w:rsidP="00A10B6A">
      <w:pPr>
        <w:pStyle w:val="NummerierungStufe1"/>
      </w:pPr>
      <w:r w:rsidRPr="00A10B6A">
        <w:t>natürliche Schadstoffminderung: Ergebnis biologischer, chemischer oder physikalischer Prozesse, die ohne menschliches Eingreifen zu einer Verringerung der Masse, des Volumens, der Fracht, der Konzentration, der Toxizität oder der Mobilität eines Schadstoffes im Boden oder im Grundwasser führen;</w:t>
      </w:r>
    </w:p>
    <w:p w14:paraId="4A9BAF33" w14:textId="77777777" w:rsidR="00D21E79" w:rsidRPr="00A10B6A" w:rsidRDefault="00D21E79" w:rsidP="00A10B6A">
      <w:pPr>
        <w:pStyle w:val="NummerierungStufe1"/>
      </w:pPr>
      <w:r w:rsidRPr="00A10B6A">
        <w:t>Kinderspielflächen: Aufenthaltsbereiche für Kinder, die regelmäßig zum Spielen genutzt werden, ohne den Spielsand von Sandkästen;</w:t>
      </w:r>
    </w:p>
    <w:p w14:paraId="519D0620" w14:textId="77777777" w:rsidR="00D21E79" w:rsidRPr="00A10B6A" w:rsidRDefault="00D21E79" w:rsidP="00A10B6A">
      <w:pPr>
        <w:pStyle w:val="NummerierungStufe1"/>
      </w:pPr>
      <w:r w:rsidRPr="00A10B6A">
        <w:t xml:space="preserve">Wohngebiete: dem Wohnen dienende Gebiete einschließlich Hausgärten und sonstiger Gärten gleichartiger Nutzung, auch wenn sie nicht im Sinne der Baunutzungsverordnung als Wohngebiet planungsrechtlich dargestellt oder festgesetzt sind, ausgenommen Park- und Freizeitanlagen, Kinderspielflächen sowie befestigte Verkehrsflächen; </w:t>
      </w:r>
    </w:p>
    <w:p w14:paraId="1000E839" w14:textId="77777777" w:rsidR="00D21E79" w:rsidRPr="00A10B6A" w:rsidRDefault="00D21E79" w:rsidP="00A10B6A">
      <w:pPr>
        <w:pStyle w:val="NummerierungStufe1"/>
      </w:pPr>
      <w:r w:rsidRPr="00A10B6A">
        <w:t xml:space="preserve">Park- und Freizeitanlagen: </w:t>
      </w:r>
    </w:p>
    <w:p w14:paraId="0DD98A15" w14:textId="77777777" w:rsidR="00D21E79" w:rsidRPr="00A10B6A" w:rsidRDefault="00D21E79" w:rsidP="00A10B6A">
      <w:pPr>
        <w:pStyle w:val="NummerierungStufe2"/>
      </w:pPr>
      <w:r w:rsidRPr="00A10B6A">
        <w:lastRenderedPageBreak/>
        <w:t>Anlagen für soziale, gesundheitliche oder sportliche Zwecke, insbesondere öffentliche und private Grünanlagen, einschließlich Bolzplätzen und Sportflächen,</w:t>
      </w:r>
    </w:p>
    <w:p w14:paraId="6D930405" w14:textId="77777777" w:rsidR="00D21E79" w:rsidRPr="00A10B6A" w:rsidRDefault="00D21E79" w:rsidP="00A10B6A">
      <w:pPr>
        <w:pStyle w:val="NummerierungStufe2"/>
      </w:pPr>
      <w:r w:rsidRPr="00A10B6A">
        <w:t>unbefestigte Flächen, die regelmäßig zugänglich sind und vergleichbar zu den in Buchstabe a genannten Anlagen genutzt werden;</w:t>
      </w:r>
    </w:p>
    <w:p w14:paraId="3C0E1D17" w14:textId="77777777" w:rsidR="00D21E79" w:rsidRPr="00A10B6A" w:rsidRDefault="00D21E79" w:rsidP="00A10B6A">
      <w:pPr>
        <w:pStyle w:val="NummerierungStufe1"/>
      </w:pPr>
      <w:r w:rsidRPr="00A10B6A">
        <w:t>Industrie- und Gewerbegrundstücke: unbefestigte Flächen von Arbeits- und Produktionsstätten, die nur während der Arbeitszeit genutzt werden;</w:t>
      </w:r>
    </w:p>
    <w:p w14:paraId="047EDD24" w14:textId="77777777" w:rsidR="00D21E79" w:rsidRPr="00A10B6A" w:rsidRDefault="00D21E79" w:rsidP="00A10B6A">
      <w:pPr>
        <w:pStyle w:val="NummerierungStufe1"/>
      </w:pPr>
      <w:r w:rsidRPr="00A10B6A">
        <w:t>Ackerflächen: Flächen zum Anbau von Ackerkulturen einschließlich Gemüse und Feldfutter, hierzu zählen auch erwerbsgärtnerisch genutzte Flächen;</w:t>
      </w:r>
    </w:p>
    <w:p w14:paraId="11F66321" w14:textId="77777777" w:rsidR="00D21E79" w:rsidRPr="00A10B6A" w:rsidRDefault="00D21E79" w:rsidP="00A10B6A">
      <w:pPr>
        <w:pStyle w:val="NummerierungStufe1"/>
      </w:pPr>
      <w:r w:rsidRPr="00A10B6A">
        <w:t>Nutzgärten: Hausgarten-, Kleingarten- und sonstige Gartenflächen, die zum Anbau von Nahrungspflanzen genutzt werden;</w:t>
      </w:r>
    </w:p>
    <w:p w14:paraId="3445B38B" w14:textId="77777777" w:rsidR="00D21E79" w:rsidRPr="00A10B6A" w:rsidRDefault="00D21E79" w:rsidP="00A10B6A">
      <w:pPr>
        <w:pStyle w:val="NummerierungStufe1"/>
      </w:pPr>
      <w:r w:rsidRPr="00A10B6A">
        <w:t>Grünlandflächen: landwirtschaftlich genutzte Flächen, auf denen Gräser oder andere krautige Pflanzen eingesät sind oder natürlich wachsen und die beweidet oder zur Futtergewinnung genutzt werden.</w:t>
      </w:r>
    </w:p>
    <w:p w14:paraId="7105AB11" w14:textId="77777777" w:rsidR="00D21E79" w:rsidRPr="00D21E79" w:rsidRDefault="00D21E79" w:rsidP="00D21E79">
      <w:pPr>
        <w:pStyle w:val="AbschnittBezeichner"/>
      </w:pPr>
    </w:p>
    <w:p w14:paraId="0180A7A3" w14:textId="77777777" w:rsidR="00D21E79" w:rsidRPr="00D21E79" w:rsidRDefault="00D21E79" w:rsidP="00D21E79">
      <w:pPr>
        <w:pStyle w:val="Abschnittberschrift"/>
      </w:pPr>
      <w:bookmarkStart w:id="57" w:name="_Toc64379918"/>
      <w:r w:rsidRPr="008D0377">
        <w:t>Vorsorge gegen das Entstehen schädlicher Bodenveränderungen</w:t>
      </w:r>
      <w:bookmarkEnd w:id="57"/>
    </w:p>
    <w:p w14:paraId="3FABC074" w14:textId="77777777" w:rsidR="00D21E79" w:rsidRPr="00D21E79" w:rsidRDefault="00D21E79" w:rsidP="00D21E79">
      <w:pPr>
        <w:pStyle w:val="ParagraphBezeichner"/>
      </w:pPr>
    </w:p>
    <w:p w14:paraId="3B02EA60" w14:textId="77777777" w:rsidR="00D21E79" w:rsidRPr="00D21E79" w:rsidRDefault="00D21E79" w:rsidP="00D21E79">
      <w:pPr>
        <w:pStyle w:val="Paragraphberschrift"/>
      </w:pPr>
      <w:bookmarkStart w:id="58" w:name="_Toc64379920"/>
      <w:r w:rsidRPr="008D0377">
        <w:t>Besorgnis schädlicher Bodenveränderungen</w:t>
      </w:r>
      <w:bookmarkEnd w:id="58"/>
    </w:p>
    <w:p w14:paraId="79E627B5" w14:textId="77777777" w:rsidR="00D21E79" w:rsidRPr="008D0377" w:rsidRDefault="00D21E79" w:rsidP="00D21E79">
      <w:pPr>
        <w:pStyle w:val="JuristischerAbsatznummeriert"/>
      </w:pPr>
      <w:r w:rsidRPr="008D0377">
        <w:t xml:space="preserve">Das Entstehen schädlicher Bodenveränderungen ist in der Regel zu besorgen, wenn </w:t>
      </w:r>
    </w:p>
    <w:p w14:paraId="0D8E4BDC" w14:textId="77777777" w:rsidR="00D21E79" w:rsidRPr="008D0377" w:rsidRDefault="00D21E79" w:rsidP="00D21E79">
      <w:pPr>
        <w:pStyle w:val="NummerierungStufe1"/>
      </w:pPr>
      <w:r w:rsidRPr="008D0377">
        <w:t xml:space="preserve">Böden Schadstoffgehalte aufweisen, die die Vorsorgewerte nach Anlage 1 Tabelle 1 oder 2 überschreiten, </w:t>
      </w:r>
    </w:p>
    <w:p w14:paraId="2700E933" w14:textId="77777777" w:rsidR="00D21E79" w:rsidRPr="008D0377" w:rsidRDefault="00D21E79" w:rsidP="00D21E79">
      <w:pPr>
        <w:pStyle w:val="NummerierungStufe1"/>
      </w:pPr>
      <w:r w:rsidRPr="008D0377">
        <w:t>eine erhebliche Anreicherung von anderen Schadstoffen in Böden erfolgt, die auf Grund ihrer krebserzeugenden, erbgutverändernden, fortpflanzungsgefährdenden oder toxischen Eigenschaften in besonderem Maße geeignet sind, schädliche Bodenveränderungen herbeizuführen,</w:t>
      </w:r>
    </w:p>
    <w:p w14:paraId="68FF1ECB" w14:textId="77777777" w:rsidR="00D21E79" w:rsidRPr="008D0377" w:rsidRDefault="00D21E79" w:rsidP="00D21E79">
      <w:pPr>
        <w:pStyle w:val="NummerierungStufe1"/>
      </w:pPr>
      <w:r w:rsidRPr="008D0377">
        <w:t>physikalische Einwirkungen den Boden verändern und dadurch die natürlichen Funktionen sowie die Nutzungsfunktion als Standort für die land- oder forstwirtschaftliche Nutzung erheblich beeinträchtigt werden können, oder</w:t>
      </w:r>
    </w:p>
    <w:p w14:paraId="1E4D46B6" w14:textId="77777777" w:rsidR="00D21E79" w:rsidRPr="008D0377" w:rsidRDefault="00D21E79" w:rsidP="00D21E79">
      <w:pPr>
        <w:pStyle w:val="NummerierungStufe1"/>
      </w:pPr>
      <w:r w:rsidRPr="008D0377">
        <w:t>Stoffeinträge den Bodenzustand irreversibel verändern und dadurch die Bodenfunktionen erheblich beeinträchtigt werden können.</w:t>
      </w:r>
    </w:p>
    <w:p w14:paraId="159E7C5A" w14:textId="77777777" w:rsidR="00D21E79" w:rsidRPr="008D0377" w:rsidRDefault="00D21E79" w:rsidP="00D21E79">
      <w:pPr>
        <w:pStyle w:val="JuristischerAbsatznummeriert"/>
      </w:pPr>
      <w:r w:rsidRPr="008D0377">
        <w:t>Bei Böden mit naturbedingt oder großflächig siedlungsbedingt erhöhten Schadstoffgehalten besteht bei Überschreiten von Vorsorgewerten nach Anlage 1 Tabelle 1 oder 2 die Besorgnis des Entstehens schädlicher Bodenveränderungen nur dann, wenn eine erhebliche Freisetzung von Schadstoffen oder zusätzliche Einträge durch die nach § 7 Satz 1 des Bundes-Bodenschutzgesetzes Pflichtigen nachteilige Auswirkungen auf die Bodenfunktionen erwarten lassen.</w:t>
      </w:r>
    </w:p>
    <w:p w14:paraId="7C154010" w14:textId="77777777" w:rsidR="00D21E79" w:rsidRPr="00D21E79" w:rsidRDefault="00D21E79" w:rsidP="00D21E79">
      <w:pPr>
        <w:pStyle w:val="ParagraphBezeichner"/>
      </w:pPr>
    </w:p>
    <w:p w14:paraId="5647AEEE" w14:textId="77777777" w:rsidR="00D21E79" w:rsidRPr="00D21E79" w:rsidRDefault="00D21E79" w:rsidP="00D21E79">
      <w:pPr>
        <w:pStyle w:val="Paragraphberschrift"/>
      </w:pPr>
      <w:bookmarkStart w:id="59" w:name="_Toc64379922"/>
      <w:r w:rsidRPr="008D0377">
        <w:t>Vorsorgeanforderungen</w:t>
      </w:r>
      <w:bookmarkEnd w:id="59"/>
    </w:p>
    <w:p w14:paraId="170EC9E3" w14:textId="77777777" w:rsidR="00D21E79" w:rsidRPr="008D0377" w:rsidRDefault="00D21E79" w:rsidP="00D21E79">
      <w:pPr>
        <w:pStyle w:val="JuristischerAbsatznummeriert"/>
      </w:pPr>
      <w:r w:rsidRPr="008D0377">
        <w:t>In den Fällen des § 3 Absatz 1 Satz 1 Nummer 1, auch unter Berücksichtigung von Absatz 2, haben die nach § 7 Satz 1 des Bundes-Bodenschutzgesetzes Pflichtigen Vorkehrungen zu treffen, um weitere durch sie auf dem Grundstück und in dessen Einwirkungsbereich verursachte Schadstoffeinträge zu vermeiden oder wirksam zu vermindern, soweit dies wegen der räumlichen, langfristigen oder komplexen Auswirkungen geboten und auch im Hinblick auf den Zweck der Nutzung des Grundstücks verhältnismäßig ist. Dazu gehören auch technische Vorkehrungen an Anlagen oder Verfahren sowie Maßnahmen zur Untersuchung und Überwachung von Böden.</w:t>
      </w:r>
    </w:p>
    <w:p w14:paraId="2D63D2BF" w14:textId="7B713508" w:rsidR="00D21E79" w:rsidRPr="008D0377" w:rsidRDefault="003900A6" w:rsidP="00070E61">
      <w:pPr>
        <w:pStyle w:val="JuristischerAbsatznummeriert"/>
      </w:pPr>
      <w:r>
        <w:t>(1a)</w:t>
      </w:r>
      <w:r>
        <w:tab/>
      </w:r>
      <w:r w:rsidR="00D21E79" w:rsidRPr="008D0377">
        <w:t>Einträge von Schadstoffen im Sinne des § 3 Absatz 1 Satz 1 Nummer 2, für die keine Vorsorgewerte festgesetzt sind, sind, soweit technisch möglich und unabhängig vom Zweck der Nutzung des Grundstückes wirtschaftlich vertretbar, zu begrenzen. Dies gilt insbesondere für die Stoffe, die nach der Gefahrstoffverordnung in der Fassung der Bekanntmachung vom 26. November 2010 (BGBl. I 2010, 1643, 1644), die zuletzt durch Artikel 148 des Gesetzes vom 29. März 2017 (BGBl. I S. 626) geändert worden ist, als krebserzeugend, erbgutverändernd oder fortpflanzungsgefährdend eingestuft sind. Im Übrigen gelten die Maßgaben von Absatz 1.</w:t>
      </w:r>
    </w:p>
    <w:p w14:paraId="6998B596" w14:textId="03499A01" w:rsidR="00D21E79" w:rsidRPr="008D0377" w:rsidRDefault="00D21E79" w:rsidP="00D21E79">
      <w:pPr>
        <w:pStyle w:val="JuristischerAbsatznummeriert"/>
      </w:pPr>
      <w:r w:rsidRPr="008D0377">
        <w:t>In den Fällen des § 3 Absatz 1 Satz 1 Nummer 3 haben die nach § 7 Satz 1 des Bundes-Bodenschutzgesetzes Pflichtigen Vorkehrungen zu treffen, um die physikalischen Einwirkungen zu vermeiden oder wirksam zu vermindern, soweit dies auch im Hinblick auf den Zweck der Nutzung des Grundstücks verhältnismäßig ist. Auf Verlangen der zuständigen Behörde sind Untersuchungen der physikalischen Bodeneigenschaften am Standort durchzuführen. Satz 2 gilt nicht für unvermeidbare Einwirkungen bei Einhaltung des § 17 Absatz 1 des Bundes-Bodenschutzgesetzes.</w:t>
      </w:r>
    </w:p>
    <w:p w14:paraId="227B3148" w14:textId="77777777" w:rsidR="00D21E79" w:rsidRPr="008D0377" w:rsidRDefault="00D21E79" w:rsidP="00D21E79">
      <w:pPr>
        <w:pStyle w:val="JuristischerAbsatznummeriert"/>
      </w:pPr>
      <w:r w:rsidRPr="008D0377">
        <w:t>Zur Einhaltung der sich aus den Absätzen 1, 1a und 2 ergebenden Anforderungen kann die zuständige Behörde nach § 10 Absatz 1 Satz 1 des Bundes-Bodenschutzgesetzes die erforderlichen Maßnahmen treffen.</w:t>
      </w:r>
    </w:p>
    <w:p w14:paraId="6B1E5F4F" w14:textId="77777777" w:rsidR="00D21E79" w:rsidRPr="00A10B6A" w:rsidRDefault="00D21E79" w:rsidP="00D21E79">
      <w:pPr>
        <w:pStyle w:val="JuristischerAbsatznummeriert"/>
      </w:pPr>
      <w:r w:rsidRPr="008D0377">
        <w:t>Bei Vorhaben, bei denen auf einer Fläche von mehr als 3 000 Quadratmetern Materialien auf oder in die durchwurzelbare Bodenschicht auf- oder eingebracht werden, Bodenmaterial aus dem Ober- oder Unterboden ausgehoben oder abgeschoben wird oder der Ober- und Unterboden dauerhaft oder vorübergehend vollständig oder teilweise verdichtet wird, kann die für die Zulassung des Vorhabens zuständige Behörde im Benehmen mit der für den Bodenschutz zuständigen Behörde von dem nach § 7 Satz 1 des Bundes-Bodenschutzgesetzes Pflichtigen die Beauftragung einer bodenkundlichen Baubegleitung nach DIN 19639 im Einzelfall verlangen. Satz 1 gilt entsprechend, wenn das Vorhaben einer Anzeige an eine Behörde bedarf oder von einer Behörde durchgeführt wird.</w:t>
      </w:r>
    </w:p>
    <w:p w14:paraId="073B56D5" w14:textId="77777777" w:rsidR="00D21E79" w:rsidRPr="00D21E79" w:rsidRDefault="00D21E79" w:rsidP="00D21E79">
      <w:pPr>
        <w:pStyle w:val="ParagraphBezeichner"/>
      </w:pPr>
    </w:p>
    <w:p w14:paraId="0A7EEA0C" w14:textId="77777777" w:rsidR="00D21E79" w:rsidRPr="008D0377" w:rsidRDefault="00D21E79" w:rsidP="00D21E79">
      <w:pPr>
        <w:pStyle w:val="Paragraphberschrift"/>
      </w:pPr>
      <w:bookmarkStart w:id="60" w:name="_Toc64379924"/>
      <w:r w:rsidRPr="008D0377">
        <w:t>Zulässige Zusatzbelastung</w:t>
      </w:r>
      <w:bookmarkEnd w:id="60"/>
    </w:p>
    <w:p w14:paraId="41E57878" w14:textId="77777777" w:rsidR="00D21E79" w:rsidRPr="008D0377" w:rsidRDefault="00D21E79" w:rsidP="00D21E79">
      <w:pPr>
        <w:pStyle w:val="JuristischerAbsatznummeriert"/>
      </w:pPr>
      <w:r w:rsidRPr="008D0377">
        <w:t>Werden Vorsorgewerte nach Anlage 1 Tabelle 1 oder 2 bei einem Schadstoff überschritten, ist insoweit unter Berücksichtigung der zu erwartenden Gesamtfracht eine Zusatzbelastung bis zur Höhe der in Anlage 1 Tabelle 3 festgelegten jährlichen Frachten des Schadstoffes zulässig. Dabei sind die Einwirkungen auf den Boden über Luft und Gewässer sowie unmittelbare Einträge zu beachten.</w:t>
      </w:r>
    </w:p>
    <w:p w14:paraId="1B4B7095" w14:textId="77777777" w:rsidR="00D21E79" w:rsidRPr="008D0377" w:rsidRDefault="00D21E79" w:rsidP="00D21E79">
      <w:pPr>
        <w:pStyle w:val="JuristischerAbsatznummeriert"/>
      </w:pPr>
      <w:r w:rsidRPr="008D0377">
        <w:lastRenderedPageBreak/>
        <w:t>Wenn die in Anlage 1 Tabelle 3 festgelegte zulässige Zusatzbelastung bei einem Schadstoff überschritten ist, sind die naturbedingt oder großflächig siedlungsbedingten Vorbelastungen des Bodens im Einzelfall zu berücksichtigen.</w:t>
      </w:r>
    </w:p>
    <w:p w14:paraId="382AC791" w14:textId="77777777" w:rsidR="00D21E79" w:rsidRPr="00A10B6A" w:rsidRDefault="00D21E79" w:rsidP="00D21E79">
      <w:pPr>
        <w:pStyle w:val="JuristischerAbsatznummeriert"/>
      </w:pPr>
      <w:r w:rsidRPr="008D0377">
        <w:t>Die in Anlage 1 Tabelle 3 festgelegten Frachten bestimmen nicht die Zusatzbelastungen im Sinne des § 3 Absatz 3 Satz 2 des Bundes-Bodenschutzgesetzes.</w:t>
      </w:r>
    </w:p>
    <w:p w14:paraId="5C36CB6F" w14:textId="77777777" w:rsidR="00D21E79" w:rsidRPr="00D21E79" w:rsidRDefault="00D21E79" w:rsidP="00D21E79">
      <w:pPr>
        <w:pStyle w:val="ParagraphBezeichner"/>
      </w:pPr>
    </w:p>
    <w:p w14:paraId="3D273F49" w14:textId="77777777" w:rsidR="00D21E79" w:rsidRPr="008D0377" w:rsidRDefault="00D21E79" w:rsidP="00D21E79">
      <w:pPr>
        <w:pStyle w:val="Paragraphberschrift"/>
      </w:pPr>
      <w:bookmarkStart w:id="61" w:name="_Toc64379926"/>
      <w:r w:rsidRPr="008D0377">
        <w:t>Allgemeine Anforderungen an das Auf- oder Einbringen von Materialien auf oder in den Boden</w:t>
      </w:r>
      <w:bookmarkEnd w:id="61"/>
    </w:p>
    <w:p w14:paraId="25B3A4D2" w14:textId="77777777" w:rsidR="00D21E79" w:rsidRPr="008D0377" w:rsidRDefault="00D21E79" w:rsidP="00D21E79">
      <w:pPr>
        <w:pStyle w:val="JuristischerAbsatznummeriert"/>
      </w:pPr>
      <w:r w:rsidRPr="008D0377">
        <w:t>) Die §§ 6 bis 8 gelten für das Auf- oder Einbringen von Materialien auf oder in den Boden, insbesondere im Rahmen der Rekultivierung, der Wiedernutzbarmachung, des Landschaftsbaus, der landwirtschaftlichen und gartenbaulichen Folgenutzung und der Herstellung einer durchwurzelbaren Bodenschicht insbesondere auf technischen Bauwerken im Sinne des § 2 Nummer 3 der Ersatzbaustoffverordnung und auf Deichen. Die §§ 6 bis 8 gelten nicht für das Auf- oder Einbringen von Materialien auf oder in den Boden im Rahmen der Sanierung von schädlichen Bodenveränderungen und Altlasten, soweit die Materialien im Bereich derselben schädlichen Bodenveränderung oder Altlast oder innerhalb des Gebietes eines für verbindlich erklärten Sanierungsplans umgelagert werden.</w:t>
      </w:r>
    </w:p>
    <w:p w14:paraId="77C6C2D5" w14:textId="77777777" w:rsidR="00D21E79" w:rsidRPr="008D0377" w:rsidRDefault="00D21E79" w:rsidP="00D21E79">
      <w:pPr>
        <w:pStyle w:val="JuristischerAbsatznummeriert"/>
      </w:pPr>
      <w:r w:rsidRPr="008D0377">
        <w:t>Das Auf- und Einbringen von Materialien oder die Herstellung einer durchwurzelbaren Bodenschicht ist nur zulässig, wenn</w:t>
      </w:r>
    </w:p>
    <w:p w14:paraId="1F2D6E93" w14:textId="77777777" w:rsidR="00D21E79" w:rsidRPr="008D0377" w:rsidRDefault="00D21E79" w:rsidP="00D21E79">
      <w:pPr>
        <w:pStyle w:val="NummerierungStufe1"/>
      </w:pPr>
      <w:r w:rsidRPr="008D0377">
        <w:t>nach Art, Menge, Schadstoffgehalten, Schadstoffkonzentrationen und physikalischen Eigenschaften der Materialien sowie nach den Schadstoffgehalten der Böden am Ort des Auf- und Einbringens das Entstehen einer schädlichen Bodenveränderung nach § 3 nicht zu besorgen ist und</w:t>
      </w:r>
    </w:p>
    <w:p w14:paraId="2CF7C75C" w14:textId="77777777" w:rsidR="00D21E79" w:rsidRPr="008D0377" w:rsidRDefault="00D21E79" w:rsidP="00D21E79">
      <w:pPr>
        <w:pStyle w:val="NummerierungStufe1"/>
      </w:pPr>
      <w:r w:rsidRPr="008D0377">
        <w:t>mindestens eine der in § 2 Absatz 2 Nummer 1 und Nummer 3 Buchstabe b und c des Bundes-Bodenschutzgesetzes genannten Bodenfunktionen nachhaltig verbessert, gesichert oder wiederhergestellt wird.</w:t>
      </w:r>
    </w:p>
    <w:p w14:paraId="38A7D29D" w14:textId="77777777" w:rsidR="00D21E79" w:rsidRPr="008D0377" w:rsidRDefault="00D21E79" w:rsidP="00D21E79">
      <w:pPr>
        <w:pStyle w:val="JuristischerAbsatznummeriert"/>
      </w:pPr>
      <w:r w:rsidRPr="008D0377">
        <w:t>Eine schädliche Bodenveränderung im Sinne des Absatzes 2 ist aufgrund von Schadstoffgehalten nicht zu besorgen, wenn Bodenmaterial oder Baggergut am Herkunftsort oder in dessen räumlichem Umfeld unter vergleichbaren Bodenverhältnissen sowie geologischen und hydrogeologischen Bedingungen umgelagert wird und das Vorliegen einer Altlast oder sonstigen schädlichen Bodenveränderung aufgrund von Schadstoffgehalten auszuschließen ist.</w:t>
      </w:r>
    </w:p>
    <w:p w14:paraId="1947A1BC" w14:textId="77777777" w:rsidR="00D21E79" w:rsidRPr="008D0377" w:rsidRDefault="00D21E79" w:rsidP="00D21E79">
      <w:pPr>
        <w:pStyle w:val="JuristischerAbsatznummeriert"/>
      </w:pPr>
      <w:r w:rsidRPr="008D0377">
        <w:t>Eine schädliche Bodenveränderung im Sinne des Absatzes 2 ist auch dann nicht zu besorgen, wenn in Gebieten oder räumlich abgegrenzten Industriestandorten mit erhöhten Schadstoffgehalten in Böden Bodenmaterial mit erhöhten Schadstoffgehalten innerhalb des Gebietes oder Standortes umgelagert wird und die in § 2 Absatz 2 Nummer 1 und 3 Buchstabe b und c des Bundes-Bodenschutzgesetzes genannten Bodenfunktionen nicht zusätzlich beeinträchtigt werden sowie die stoffliche Situation am Ort des Auf- oder Einbringens nicht nachteilig verändert wird. Gebiete und Standorte im Sinne des Satzes 1 können von der zuständigen Behörde im Einzelfall der Bewertung zugrunde gelegt oder allgemein festgelegt werden. Die zuständige Behörde kann Ausnahmen von § 7 Absatz 3 zulassen. Die Sätze 1 bis 3 gelten für Gebiete, die Sätze 1 und 2 gelten für räumlich abgegrenzte Industriestandorte mit jeweils mehr als 10 Volumenprozent mineralischer Fremdbestandteile in Böden entsprechend.</w:t>
      </w:r>
    </w:p>
    <w:p w14:paraId="6C1474D2" w14:textId="77777777" w:rsidR="00D21E79" w:rsidRPr="008D0377" w:rsidRDefault="00D21E79" w:rsidP="00D21E79">
      <w:pPr>
        <w:pStyle w:val="JuristischerAbsatznummeriert"/>
      </w:pPr>
      <w:r w:rsidRPr="008D0377">
        <w:t>Die nach § 7 Satz 1 des Bundes-Bodenschutzgesetzes Pflichtigen haben Materialien, die auf oder in den Boden oder zur Herstellung einer durchwurzelbaren Boden</w:t>
      </w:r>
      <w:r w:rsidRPr="008D0377">
        <w:lastRenderedPageBreak/>
        <w:t>schicht auf- oder eingebracht werden sollen, spätestens vor dem Auf- oder Einbringen nach den nachfolgenden Vorschriften zu untersuchen oder untersuchen zu lassen, soweit dies nicht bereits erfolgt ist. Die Materialien sind mindestens auf die in Anlage 1 Tabelle 1 und 2 dieser Verordnung aufgeführten Stoffe analytisch zu untersuchen. Liegen Anhaltspunkte vor, dass die Materialien erhöhte Gehalte weiterer Stoffe aufweisen, ist auf diese zusätzlich analytisch zu untersuchen. Darüber hinaus kann die zuständige Behörde auch Untersuchungen des Ortes des Auf- oder Einbringens anordnen. Probennahme und -analyse sind nach Abschnitt 4 durchzuführen.</w:t>
      </w:r>
    </w:p>
    <w:p w14:paraId="67D2A016" w14:textId="77777777" w:rsidR="00D21E79" w:rsidRPr="008D0377" w:rsidRDefault="00D21E79" w:rsidP="00D21E79">
      <w:pPr>
        <w:pStyle w:val="JuristischerAbsatznummeriert"/>
      </w:pPr>
      <w:r w:rsidRPr="008D0377">
        <w:t>Von einer analytischen Untersuchung von Bodenmaterial und Baggergut nach Absatz 5 Satz 2 und 3 kann abgesehen werden, wenn</w:t>
      </w:r>
    </w:p>
    <w:p w14:paraId="16545951" w14:textId="77777777" w:rsidR="00D21E79" w:rsidRPr="008D0377" w:rsidRDefault="00D21E79" w:rsidP="00D21E79">
      <w:pPr>
        <w:pStyle w:val="NummerierungStufe1"/>
      </w:pPr>
      <w:r w:rsidRPr="008D0377">
        <w:t>sich bei einer Vorerkundung nach § 18 durch einen Sachverständigen im Sinne des § 18 des Bundes-Bodenschutzgesetzes oder durch eine Person mit vergleichbarer Sachkunde keine Anhaltspunkte ergeben, dass die Materialien die Vorsorgewerte nach Anlage 1 Tabelle 1 und 2 dieser Verordnung überschreiten, und keine Hinweise auf weitere Belastungen der Materialien vorliegen,</w:t>
      </w:r>
    </w:p>
    <w:p w14:paraId="3CF32C6D" w14:textId="77777777" w:rsidR="00D21E79" w:rsidRPr="008D0377" w:rsidRDefault="00D21E79" w:rsidP="00D21E79">
      <w:pPr>
        <w:pStyle w:val="NummerierungStufe1"/>
      </w:pPr>
      <w:r w:rsidRPr="008D0377">
        <w:t>die im Rahmen der jeweiligen Maßnahme angefallene Menge nicht mehr als 500 Kubikmeter beträgt und sich nach Inaugenscheinnahme der Materialien am Herkunftsort und auf Grund der Vornutzung der betreffenden Grundstücke keine Anhaltspunkte ergeben, dass die Materialen die in Nummer 1 genannten Werte überschreiten, und keine Hinweise auf weitere Belastungen der Materialien vorliegen oder</w:t>
      </w:r>
    </w:p>
    <w:p w14:paraId="57FC2DAF" w14:textId="77777777" w:rsidR="00D21E79" w:rsidRPr="008D0377" w:rsidRDefault="00D21E79" w:rsidP="00D21E79">
      <w:pPr>
        <w:pStyle w:val="NummerierungStufe1"/>
      </w:pPr>
      <w:r w:rsidRPr="008D0377">
        <w:t>die Materialien am Herkunftsort oder in dessen räumlichem Umfeld oder innerhalb eines Gebietes im Sinne des Absatzes 4 umgelagert werden, das Vorliegen einer Altlast oder sonstigen schädlichen Bodenveränderung aufgrund von Schadstoffgehalten auszuschließen ist und durch die Umlagerung das Entstehen einer schädlichen Bodenveränderung nicht zu besorgen ist.</w:t>
      </w:r>
    </w:p>
    <w:p w14:paraId="0071757C" w14:textId="77777777" w:rsidR="00D21E79" w:rsidRPr="008D0377" w:rsidRDefault="00D21E79" w:rsidP="00D21E79">
      <w:pPr>
        <w:pStyle w:val="JuristischerAbsatznummeriert"/>
      </w:pPr>
      <w:r w:rsidRPr="008D0377">
        <w:t>Die nach § 7 Satz 1 des Bundes-Bodenschutzgesetzes Pflichtigen haben die Untersuchungsergebnisse nach Absatz 5 oder das Vorliegen der Voraussetzungen des Absatzes 6 spätestens vor dem Auf- oder Einbringen zu dokumentieren. Die Dokumente sind nach Beendigung der Auf- oder Einbringungsmaßnahme zehn Jahre aufzubewahren und der zuständigen Behörde auf Verlangen vorzulegen.</w:t>
      </w:r>
    </w:p>
    <w:p w14:paraId="1BB4C089" w14:textId="77777777" w:rsidR="00D21E79" w:rsidRPr="008D0377" w:rsidRDefault="00D21E79" w:rsidP="00D21E79">
      <w:pPr>
        <w:pStyle w:val="JuristischerAbsatznummeriert"/>
      </w:pPr>
      <w:r w:rsidRPr="008D0377">
        <w:t>Die nach § 7 Satz 1 des Bundes-Bodenschutzgesetzes Pflichtigen müssen das Auf- oder Einbringen von Materialien nach § 7 oder § 8 in einem Volumen von mehr als 500 Kubikmetern der zuständigen Behörde mindestens zwei Wochen vor Beginn der Auf- oder Einbringungsmaßnahme unter Angabe der Lage der Auf- oder Einbringungsfläche, der Art und Menge der Materialien sowie des Zwecks der Maßnahme anzeigen, es sei denn, die Maßnahme bedarf einer behördlichen Zulassung oder Anzeige nach anderen Rechtsvorschriften. Die Länder können abweichende Regelungen treffen.</w:t>
      </w:r>
    </w:p>
    <w:p w14:paraId="004AFAE0" w14:textId="77777777" w:rsidR="00D21E79" w:rsidRPr="008D0377" w:rsidRDefault="00D21E79" w:rsidP="00D21E79">
      <w:pPr>
        <w:pStyle w:val="JuristischerAbsatznummeriert"/>
      </w:pPr>
      <w:r w:rsidRPr="008D0377">
        <w:t>Beim Auf- oder Einbringen oder der Herstellung einer durchwurzelbaren Bodenschicht sowie beim Um- oder Zwischenlagern von Materialien sind Verdichtungen, Vernässungen und sonstige nachteilige Einwirkungen auf den Boden durch geeignete Maßnahmen zu vermeiden oder wirksam zu vermindern. Die entsprechenden Anforderungen der DIN 19639, der DIN 19731 und der DIN 18915 sind zu beachten. Die Sätze 1 und 2 gelten nicht für Verdichtungen, die im Rahmen der bergbaulichen Gewinnung erforderlich sind.</w:t>
      </w:r>
    </w:p>
    <w:p w14:paraId="57871DB5" w14:textId="77777777" w:rsidR="00D21E79" w:rsidRPr="008D0377" w:rsidRDefault="00D21E79" w:rsidP="00D21E79">
      <w:pPr>
        <w:pStyle w:val="JuristischerAbsatznummeriert"/>
      </w:pPr>
      <w:r w:rsidRPr="008D0377">
        <w:t>Beim Auf- oder Einbringen von Materialien sind die Anforderungen an einen guten Bodenaufbau und ein stabiles Bodengefüge zu beachten. Die verwendeten Materialien müssen unter Berücksichtigung des jeweiligen Ortes des Auf- oder Einbringens geeignet sein, die für den Standort erforderlichen Bodenfunktionen sowie die chemischen und physikalischen Eigenschaften des Bodens zu sichern oder herzustellen. Die entsprechenden Anforderungen der DIN 19639 und der DIN 19731 sind zu beachten.</w:t>
      </w:r>
    </w:p>
    <w:p w14:paraId="758B7F08" w14:textId="77777777" w:rsidR="00D21E79" w:rsidRPr="008D0377" w:rsidRDefault="00D21E79" w:rsidP="00D21E79">
      <w:pPr>
        <w:pStyle w:val="JuristischerAbsatznummeriert"/>
      </w:pPr>
      <w:r w:rsidRPr="008D0377">
        <w:lastRenderedPageBreak/>
        <w:t xml:space="preserve">Vor dem Auf- oder Einbringen von Materialien in den Unterboden oder Untergrund ist bei Hinweisen auf erhöhte Gehalte an organischem Kohlenstoff der Gehalt an organischem Kohlenstoff nach Anlage 3 Tabelle 1 zu bestimmen. Beträgt der Gehalt mehr als 1 Masseprozent, dürfen die Materialien nur auf- oder eingebracht werden, wenn der organische Kohlenstoff in den Materialien natürlich vorkommt oder auf einen zulässigen Anteil an mineralischen Fremdbestandteilen zurückzuführen ist und die Materialien nicht aus dem Oberboden stammen. Es ist sicherzustellen, dass durch Abbauprozesse der organischen Substanz insbesondere auch nach dem Auf- oder Einbringen keine schädlichen Bodenveränderungen zu besorgen sind und die Nährstoffzufuhr nach Menge und Verfügbarkeit unter Berücksichtigung der zu erwartenden Abbauprozesse dem Bedarf der vorhandenen oder künftigen Vegetation angepasst ist. Das Einbringen von nährstoffreichen organischen Materialien, insbesondere Klärschlamm, Kompost oder Gärsubstrate, in den Unterboden oder Untergrund ist auch im Gemisch mit Bodenmaterial, Baggergut oder anderen mineralischen Materialien unzulässig. Die Anforderungen der Sätze 1 bis 3 gelten nicht für die Umlagerung von Materialien im Rahmen des Braunkohletagebaus. </w:t>
      </w:r>
    </w:p>
    <w:p w14:paraId="03955763" w14:textId="77777777" w:rsidR="00D21E79" w:rsidRPr="008D0377" w:rsidRDefault="00D21E79" w:rsidP="00D21E79">
      <w:pPr>
        <w:pStyle w:val="JuristischerAbsatznummeriert"/>
      </w:pPr>
      <w:r w:rsidRPr="008D0377">
        <w:t>Die zuständige Behörde kann Nachweise über die Erfüllung der Anforderungen nach den Absätzen 9 bis 11 verlangen.</w:t>
      </w:r>
    </w:p>
    <w:p w14:paraId="13461FA6" w14:textId="77777777" w:rsidR="00D21E79" w:rsidRPr="00D21E79" w:rsidRDefault="00D21E79" w:rsidP="00D21E79">
      <w:pPr>
        <w:pStyle w:val="ParagraphBezeichner"/>
      </w:pPr>
    </w:p>
    <w:p w14:paraId="0438DD01" w14:textId="77777777" w:rsidR="00D21E79" w:rsidRPr="008D0377" w:rsidRDefault="00D21E79" w:rsidP="00D21E79">
      <w:pPr>
        <w:pStyle w:val="Paragraphberschrift"/>
      </w:pPr>
      <w:bookmarkStart w:id="62" w:name="_Toc64379928"/>
      <w:r w:rsidRPr="008D0377">
        <w:t>Zusätzliche Anforderungen an das Auf- oder Einbringen von Materialien auf oder in eine durchwurzelbare Bodenschicht</w:t>
      </w:r>
      <w:bookmarkEnd w:id="62"/>
    </w:p>
    <w:p w14:paraId="14831D99" w14:textId="77777777" w:rsidR="00D21E79" w:rsidRPr="008D0377" w:rsidRDefault="00D21E79" w:rsidP="00D21E79">
      <w:pPr>
        <w:pStyle w:val="JuristischerAbsatznummeriert"/>
      </w:pPr>
      <w:r w:rsidRPr="008D0377">
        <w:t>Die nach § 7 Satz 1 des Bundes-Bodenschutzgesetzes Pflichtigen dürfen für das Auf- oder Einbringen auf oder in eine durchwurzelbare Bodenschicht sowie für die Herstellung einer durchwurzelbaren Bodenschicht nur</w:t>
      </w:r>
    </w:p>
    <w:p w14:paraId="05132CD6" w14:textId="77777777" w:rsidR="00D21E79" w:rsidRPr="008D0377" w:rsidRDefault="00D21E79" w:rsidP="00D21E79">
      <w:pPr>
        <w:pStyle w:val="NummerierungStufe1"/>
      </w:pPr>
      <w:r w:rsidRPr="008D0377">
        <w:t>Bodenmaterial und Baggergut sowie</w:t>
      </w:r>
    </w:p>
    <w:p w14:paraId="4BABAE56" w14:textId="77777777" w:rsidR="00D21E79" w:rsidRPr="008D0377" w:rsidRDefault="00D21E79" w:rsidP="00D21E79">
      <w:pPr>
        <w:pStyle w:val="NummerierungStufe1"/>
      </w:pPr>
      <w:r w:rsidRPr="008D0377">
        <w:t>Gemische von Materialien nach Nummer 1 mit solchen Abfällen, die die stofflichen Qualitätsanforderungen der nach § 11 Absatz 2 des Kreislaufwirtschaftsgesetzes erlassenen Rechtsverordnungen erfüllen unter Beachtung der sonstigen Maßgaben der nach § 11 Absatz 2 des Kreislaufwirtschaftsgesetzes erlassenen Rechtsverordnungen,</w:t>
      </w:r>
    </w:p>
    <w:p w14:paraId="144BF39C" w14:textId="77777777" w:rsidR="00D21E79" w:rsidRPr="00D21E79" w:rsidRDefault="00D21E79" w:rsidP="00D21E79">
      <w:pPr>
        <w:pStyle w:val="JuristischerAbsatzFolgeabsatz"/>
      </w:pPr>
      <w:r w:rsidRPr="008D0377">
        <w:t>verwenden. Mineralische Fremdbestandteile in Bodenmaterial und Baggergut sind zulässig, sofern sie bereits beim Anfall enthalten waren und ihr Anteil 10 Volumenprozent nicht überschreitet. Störstoffe sind nur in einem vernachlässigbaren und unvermeidbaren Anteil zulässig.</w:t>
      </w:r>
    </w:p>
    <w:p w14:paraId="40CD5D65" w14:textId="77777777" w:rsidR="00D21E79" w:rsidRPr="008D0377" w:rsidRDefault="00D21E79" w:rsidP="00D21E79">
      <w:pPr>
        <w:pStyle w:val="JuristischerAbsatznummeriert"/>
      </w:pPr>
      <w:r w:rsidRPr="008D0377">
        <w:t xml:space="preserve">Eine schädliche Bodenveränderung im Sinne des § 6 Absatz 2 ist aufgrund von Schadstoffgehalten nicht zu besorgen, wenn die nach Absatz 1 zur Verwendung zulässigen Materialien die Vorsorgewerte nach Anlage 1 Tabelle 1 und 2 dieser Verordnung einhalten oder nach Anlage 1 Tabelle 3 der Ersatzbaustoffverordnung als Bodenmaterial der Klasse 0 oder Baggergut der Klasse 0 - BM-0 oder BG-0 - klassifiziert wurden und auf Grund der Herkunft und der bisherigen Nutzung keine Hinweise auf weitere Belastungen der Materialien vorliegen. Sind die Anforderungen nach Satz 1 erfüllt, bedarf das Auf- oder Einbringen keiner Erlaubnis nach § 8 Absatz 1 des Wasserhaushaltsgesetzes. </w:t>
      </w:r>
    </w:p>
    <w:p w14:paraId="2184CE99" w14:textId="77777777" w:rsidR="00D21E79" w:rsidRPr="008D0377" w:rsidRDefault="00D21E79" w:rsidP="00D21E79">
      <w:pPr>
        <w:pStyle w:val="JuristischerAbsatznummeriert"/>
      </w:pPr>
      <w:r w:rsidRPr="008D0377">
        <w:t xml:space="preserve">Bei der Herstellung einer durchwurzelbaren Bodenschicht mit landwirtschaftlicher oder gartenbaulicher Folgenutzung sollen im Hinblick auf künftige unvermeidliche Schadstoffeinträge durch Bewirtschaftungsmaßnahmen oder atmosphärische Schadstoffeinträge die Schadstoffgehalte in der entstandenen durchwurzelbaren Bodenschicht 70 Prozent der jeweiligen Vorsorgewerte nach Anlage 1 Tabelle 1 und 2 nicht überschreiten. Satz 1 </w:t>
      </w:r>
      <w:r w:rsidRPr="008D0377">
        <w:lastRenderedPageBreak/>
        <w:t>gilt nicht für die Umlagerung von Bodenmaterial im Rahmen der Wiedernutzbarmachung von Tagebauen.</w:t>
      </w:r>
    </w:p>
    <w:p w14:paraId="7EF6946D" w14:textId="77777777" w:rsidR="00D21E79" w:rsidRPr="008D0377" w:rsidRDefault="00D21E79" w:rsidP="00D21E79">
      <w:pPr>
        <w:pStyle w:val="JuristischerAbsatznummeriert"/>
      </w:pPr>
      <w:r w:rsidRPr="008D0377">
        <w:t>Die nach § 7 Satz 1 des Bundes-Bodenschutzgesetzes Pflichtigen haben beim Auf- oder Einbringen von nach Absatz 1 zur Verwendung zulässigen Materialien auf landwirtschaftlich einschließlich gartenbaulich genutzten Böden dafür Sorge zu tragen, dass die Ertragsfähigkeit der Böden nachhaltig gesichert oder wiederhergestellt wird.</w:t>
      </w:r>
    </w:p>
    <w:p w14:paraId="54A9196D" w14:textId="77777777" w:rsidR="00D21E79" w:rsidRPr="008D0377" w:rsidRDefault="00D21E79" w:rsidP="00D21E79">
      <w:pPr>
        <w:pStyle w:val="JuristischerAbsatznummeriert"/>
      </w:pPr>
      <w:r w:rsidRPr="008D0377">
        <w:t>Die Nährstoffzufuhr durch das Auf- oder Einbringen der Materialien ist nach Menge und Verfügbarkeit dem Pflanzenbedarf der Folgevegetation anzupassen, um insbesondere Nährstoffeinträge in Gewässer zu vermeiden. Die entsprechenden Anforderungen der DIN 18919 sind zu beachten.</w:t>
      </w:r>
    </w:p>
    <w:p w14:paraId="76413FF0" w14:textId="77777777" w:rsidR="00D21E79" w:rsidRPr="008D0377" w:rsidRDefault="00D21E79" w:rsidP="00D21E79">
      <w:pPr>
        <w:pStyle w:val="JuristischerAbsatznummeriert"/>
      </w:pPr>
      <w:r w:rsidRPr="008D0377">
        <w:t>Das Auf- oder Einbringen von Materialien auf oder in eine bestehende durchwurzelbare Bodenschicht ist nicht zulässig auf Flächen, die die in § 2 Absatz 2 Nummer 1 oder 2 des Bundes-Bodenschutzgesetzes genannten Bodenfunktionen im besonderen Maße erfüllen. Das Auf- oder Einbringungsverbot gilt auch für Böden in</w:t>
      </w:r>
    </w:p>
    <w:p w14:paraId="403ED61F" w14:textId="77777777" w:rsidR="00D21E79" w:rsidRPr="008D0377" w:rsidRDefault="00D21E79" w:rsidP="00D21E79">
      <w:pPr>
        <w:pStyle w:val="NummerierungStufe1"/>
      </w:pPr>
      <w:r w:rsidRPr="008D0377">
        <w:t>Wäldern,</w:t>
      </w:r>
    </w:p>
    <w:p w14:paraId="45A92785" w14:textId="77777777" w:rsidR="00D21E79" w:rsidRPr="008D0377" w:rsidRDefault="00D21E79" w:rsidP="00D21E79">
      <w:pPr>
        <w:pStyle w:val="NummerierungStufe1"/>
      </w:pPr>
      <w:r w:rsidRPr="008D0377">
        <w:t>Wasserschutzgebieten und Heilquellenschutzgebieten der Zonen I und II,</w:t>
      </w:r>
    </w:p>
    <w:p w14:paraId="055E055E" w14:textId="77777777" w:rsidR="00D21E79" w:rsidRPr="008D0377" w:rsidRDefault="00D21E79" w:rsidP="00D21E79">
      <w:pPr>
        <w:pStyle w:val="NummerierungStufe1"/>
      </w:pPr>
      <w:r w:rsidRPr="008D0377">
        <w:t>Naturschutzgebieten,</w:t>
      </w:r>
    </w:p>
    <w:p w14:paraId="030097C8" w14:textId="77777777" w:rsidR="00D21E79" w:rsidRPr="008D0377" w:rsidRDefault="00D21E79" w:rsidP="00D21E79">
      <w:pPr>
        <w:pStyle w:val="NummerierungStufe1"/>
      </w:pPr>
      <w:r w:rsidRPr="008D0377">
        <w:t>Nationalparks,</w:t>
      </w:r>
    </w:p>
    <w:p w14:paraId="48CB82B6" w14:textId="77777777" w:rsidR="00D21E79" w:rsidRPr="008D0377" w:rsidRDefault="00D21E79" w:rsidP="00D21E79">
      <w:pPr>
        <w:pStyle w:val="NummerierungStufe1"/>
      </w:pPr>
      <w:r w:rsidRPr="008D0377">
        <w:t>nationalen Naturmonumenten,</w:t>
      </w:r>
    </w:p>
    <w:p w14:paraId="42625CA8" w14:textId="77777777" w:rsidR="00D21E79" w:rsidRPr="008D0377" w:rsidRDefault="00D21E79" w:rsidP="00D21E79">
      <w:pPr>
        <w:pStyle w:val="NummerierungStufe1"/>
      </w:pPr>
      <w:r w:rsidRPr="008D0377">
        <w:t>Biosphärenreservaten,</w:t>
      </w:r>
    </w:p>
    <w:p w14:paraId="52897006" w14:textId="77777777" w:rsidR="00D21E79" w:rsidRPr="008D0377" w:rsidRDefault="00D21E79" w:rsidP="00D21E79">
      <w:pPr>
        <w:pStyle w:val="NummerierungStufe1"/>
      </w:pPr>
      <w:r w:rsidRPr="008D0377">
        <w:t>Naturdenkmälern,</w:t>
      </w:r>
    </w:p>
    <w:p w14:paraId="7D9B6B98" w14:textId="77777777" w:rsidR="00D21E79" w:rsidRPr="008D0377" w:rsidRDefault="00D21E79" w:rsidP="00D21E79">
      <w:pPr>
        <w:pStyle w:val="NummerierungStufe1"/>
      </w:pPr>
      <w:r w:rsidRPr="008D0377">
        <w:t>geschützten Landschaftsbestandteilen,</w:t>
      </w:r>
    </w:p>
    <w:p w14:paraId="4E7BA91E" w14:textId="77777777" w:rsidR="00D21E79" w:rsidRPr="008D0377" w:rsidRDefault="00D21E79" w:rsidP="00D21E79">
      <w:pPr>
        <w:pStyle w:val="NummerierungStufe1"/>
      </w:pPr>
      <w:r w:rsidRPr="008D0377">
        <w:t>Natura 2000-Gebieten und</w:t>
      </w:r>
    </w:p>
    <w:p w14:paraId="7913CA52" w14:textId="77777777" w:rsidR="00D21E79" w:rsidRPr="008D0377" w:rsidRDefault="00D21E79" w:rsidP="00D21E79">
      <w:pPr>
        <w:pStyle w:val="NummerierungStufe1"/>
      </w:pPr>
      <w:r w:rsidRPr="008D0377">
        <w:t>gesetzlich geschützten Biotopen im Sinne des § 30 des Bundesnaturschutzgesetzes sowie 11. den Kernzonen von Naturschutzgroßprojekten des Bundes von gesamtstaatlicher Bedeutung.</w:t>
      </w:r>
    </w:p>
    <w:p w14:paraId="0745B79C" w14:textId="77777777" w:rsidR="00D21E79" w:rsidRPr="008D0377" w:rsidRDefault="00D21E79" w:rsidP="00D21E79">
      <w:pPr>
        <w:pStyle w:val="JuristischerAbsatzFolgeabsatz"/>
      </w:pPr>
      <w:r w:rsidRPr="008D0377">
        <w:t>Die für den Schutz der in den Sätzen 1 und 2 Nummer 2 bis 11 genannten Flächen zuständige Behörde und im Falle des Satzes 2 Nummer 1 die Forstbehörde kann im Benehmen mit der für den Bodenschutz zuständigen Behörde Abweichungen von den Verboten der Sätze 1 und 2 zulassen, wenn das Auf- oder Einbringen aus land- oder forstwirtschaftlichen Gründen, aus Gründen des Naturschutzes und der Landschaftspflege oder zum Schutz des Grundwassers erforderlich ist. Regelungen aufgrund der §§ 51 bis 53 des Wasserhaushaltsgesetzes bleiben unberührt.</w:t>
      </w:r>
    </w:p>
    <w:p w14:paraId="18A18D0D" w14:textId="77777777" w:rsidR="00D21E79" w:rsidRPr="008D0377" w:rsidRDefault="00D21E79" w:rsidP="00D21E79">
      <w:pPr>
        <w:pStyle w:val="JuristischerAbsatznummeriert"/>
      </w:pPr>
      <w:r w:rsidRPr="008D0377">
        <w:t>Beim Auf- oder Einbringen von</w:t>
      </w:r>
    </w:p>
    <w:p w14:paraId="08ACFA1A" w14:textId="77777777" w:rsidR="00D21E79" w:rsidRPr="008D0377" w:rsidRDefault="00D21E79" w:rsidP="00D21E79">
      <w:pPr>
        <w:pStyle w:val="NummerierungStufe1"/>
      </w:pPr>
      <w:r w:rsidRPr="008D0377">
        <w:t>abgetragenem Bodenmaterial nach Erosionsereignissen,</w:t>
      </w:r>
    </w:p>
    <w:p w14:paraId="6F036AC5" w14:textId="77777777" w:rsidR="00D21E79" w:rsidRPr="008D0377" w:rsidRDefault="00D21E79" w:rsidP="00D21E79">
      <w:pPr>
        <w:pStyle w:val="NummerierungStufe1"/>
      </w:pPr>
      <w:r w:rsidRPr="008D0377">
        <w:t xml:space="preserve">Bodenmaterial aus der Reinigung landwirtschaftlicher Ernteprodukte oder </w:t>
      </w:r>
    </w:p>
    <w:p w14:paraId="7123F1AA" w14:textId="77777777" w:rsidR="00D21E79" w:rsidRPr="008D0377" w:rsidRDefault="00D21E79" w:rsidP="00D21E79">
      <w:pPr>
        <w:pStyle w:val="NummerierungStufe1"/>
      </w:pPr>
      <w:r w:rsidRPr="008D0377">
        <w:t>Baggergut aus der Unterhaltung von Entwässerungsgräben</w:t>
      </w:r>
    </w:p>
    <w:p w14:paraId="0AFAE865" w14:textId="77777777" w:rsidR="00D21E79" w:rsidRPr="008D0377" w:rsidRDefault="00D21E79" w:rsidP="00D21E79">
      <w:pPr>
        <w:pStyle w:val="JuristischerAbsatzFolgeabsatz"/>
      </w:pPr>
      <w:r w:rsidRPr="008D0377">
        <w:t xml:space="preserve">im räumlichen Umfeld des Herkunftsortes unter vergleichbaren Bodenverhältnissen sowie geologischen und hydrogeologischen Bedingungen ist eine schädliche Bodenveränderung </w:t>
      </w:r>
      <w:r w:rsidRPr="008D0377">
        <w:lastRenderedPageBreak/>
        <w:t>im Sinne des § 6 Absatz 2 aufgrund von Schadstoffgehalten nicht zu besorgen. Überschreiten die Materialien die Vorsorgewerte nach Anlage 1 Tabelle 1 und 2 nicht erheblich und sollen Materialien nach Satz 1 Nummer 2 nicht im räumlichen Umfeld des Herkunftsortes auf- oder eingebracht werden oder ist der Herkunftsort der Materialien nicht mehr eindeutig zuzuordnen, kann die für den Bodenschutz zuständige Behörde im Einzelfall das Auf- oder Einbringen gestatten, wenn nachgewiesen wird, dass trotz der Überschreitung eine ordnungsgemäße und schadlose Verwertung erfolgt und das Entstehen einer schädlichen Bodenveränderung nicht zu besorgen ist.</w:t>
      </w:r>
    </w:p>
    <w:p w14:paraId="56B211E1" w14:textId="77777777" w:rsidR="00D21E79" w:rsidRPr="00D21E79" w:rsidRDefault="00D21E79" w:rsidP="00D21E79">
      <w:pPr>
        <w:pStyle w:val="ParagraphBezeichner"/>
      </w:pPr>
    </w:p>
    <w:p w14:paraId="0864BE82" w14:textId="77777777" w:rsidR="00D21E79" w:rsidRPr="008D0377" w:rsidRDefault="00D21E79" w:rsidP="00D21E79">
      <w:pPr>
        <w:pStyle w:val="Paragraphberschrift"/>
      </w:pPr>
      <w:bookmarkStart w:id="63" w:name="_Toc64379930"/>
      <w:r w:rsidRPr="008D0377">
        <w:t>Zusätzliche Anforderungen an das Auf- oder Einbringen von Materialien unterhalb oder außerhalb einer durchwurzelbaren Bodenschicht</w:t>
      </w:r>
      <w:bookmarkEnd w:id="63"/>
    </w:p>
    <w:p w14:paraId="1BED2592" w14:textId="77777777" w:rsidR="00D21E79" w:rsidRPr="008D0377" w:rsidRDefault="00D21E79" w:rsidP="00D21E79">
      <w:pPr>
        <w:pStyle w:val="JuristischerAbsatznummeriert"/>
      </w:pPr>
      <w:r w:rsidRPr="008D0377">
        <w:t>Die nach § 7 Satz 1 des Bundes-Bodenschutzgesetzes Pflichtigen dürfen für das Auf- oder Einbringen unterhalb oder außerhalb einer durchwurzelbaren Bodenschicht nur</w:t>
      </w:r>
    </w:p>
    <w:p w14:paraId="73C7092F" w14:textId="77777777" w:rsidR="00D21E79" w:rsidRPr="008D0377" w:rsidRDefault="00D21E79" w:rsidP="00D21E79">
      <w:pPr>
        <w:pStyle w:val="NummerierungStufe1"/>
      </w:pPr>
      <w:r w:rsidRPr="008D0377">
        <w:t>Bodenmaterial ohne Oberboden und</w:t>
      </w:r>
    </w:p>
    <w:p w14:paraId="35B8444A" w14:textId="77777777" w:rsidR="00D21E79" w:rsidRPr="008D0377" w:rsidRDefault="00D21E79" w:rsidP="00D21E79">
      <w:pPr>
        <w:pStyle w:val="NummerierungStufe1"/>
      </w:pPr>
      <w:r w:rsidRPr="008D0377">
        <w:t>Baggergut, das aus Sanden und Kiesen besteht und dessen Feinkornanteil, der kleiner als 63 Mikrometer ist, höchstens 10 Masseprozent beträgt,</w:t>
      </w:r>
    </w:p>
    <w:p w14:paraId="79209A3B" w14:textId="77777777" w:rsidR="00D21E79" w:rsidRPr="008D0377" w:rsidRDefault="00D21E79" w:rsidP="00D21E79">
      <w:pPr>
        <w:pStyle w:val="JuristischerAbsatzFolgeabsatz"/>
      </w:pPr>
      <w:r w:rsidRPr="008D0377">
        <w:t>verwenden. Mineralische Fremdbestandteile sind zulässig, sofern sie bereits beim Anfall enthalten waren, und ihr Anteil 10 Volumenprozent nicht überschreiten. Störstoffe sind nur in einem vernachlässigbaren und unvermeidbaren Anteil zulässig. Ist bei der Umlagerung von Bodenmaterial in Braunkohletagebauen der gesonderte Abtrag des Oberbodens mit einem unverhältnismäßigen Aufwand verbunden, darf abweichend von Satz 1 Nummer 1 Bodenmaterial mit Oberboden unterhalb der durchwurzelbaren Bodenschicht verwendet werden.</w:t>
      </w:r>
    </w:p>
    <w:p w14:paraId="72C9B0FB" w14:textId="77777777" w:rsidR="00D21E79" w:rsidRPr="008D0377" w:rsidRDefault="00D21E79" w:rsidP="00D21E79">
      <w:pPr>
        <w:pStyle w:val="JuristischerAbsatznummeriert"/>
      </w:pPr>
      <w:r w:rsidRPr="008D0377">
        <w:t>Eine schädliche Bodenveränderung im Sinne des § 6 Absatz 2 ist aufgrund von Schadstoffgehalten nicht zu besorgen, wenn die Materialien die Vorsorgewerte nach Anlage 1 Tabelle 1 und 2 dieser Verordnung einhalten oder nach Anlage 1 Tabelle 3 der Ersatzbaustoffverordnung als Bodenmaterial der Klasse 0 oder Baggergut der Klasse 0 Sand - BM-0 oder BG-0 Sand -klassifiziert wurden und auf Grund von Herkunft und bisheriger Nutzung keine Hinweise auf weitere Belastungen der Materialien vorliegen.</w:t>
      </w:r>
    </w:p>
    <w:p w14:paraId="3E978E96" w14:textId="77777777" w:rsidR="00D21E79" w:rsidRPr="008D0377" w:rsidRDefault="00D21E79" w:rsidP="00D21E79">
      <w:pPr>
        <w:pStyle w:val="JuristischerAbsatznummeriert"/>
      </w:pPr>
      <w:r w:rsidRPr="008D0377">
        <w:t>Bei der Verfüllung einer Abgrabung oder eines Tagebaus und beim Massenausgleich im Rahmen einer Baumaßnahme ist eine schädliche Bodenveränderung auch dann nicht zu besorgen, wenn</w:t>
      </w:r>
    </w:p>
    <w:p w14:paraId="5745DEA4" w14:textId="77777777" w:rsidR="00D21E79" w:rsidRPr="008D0377" w:rsidRDefault="00D21E79" w:rsidP="00D21E79">
      <w:pPr>
        <w:pStyle w:val="NummerierungStufe1"/>
      </w:pPr>
      <w:r w:rsidRPr="008D0377">
        <w:t>Die Materialien die Werte nach Anlage 1 Tabelle 4 dieser Verordnung einhalten oder nach Anlage 1 Tabelle 3 der Ersatzbaustoffverordnung als Bodenmaterial der Klasse 0* oder Baggergut der Klasse 0*- BM-0* oder BG-0* - klassifiziert wurden,</w:t>
      </w:r>
    </w:p>
    <w:p w14:paraId="2E7B24BA" w14:textId="77777777" w:rsidR="00D21E79" w:rsidRPr="008D0377" w:rsidRDefault="00D21E79" w:rsidP="00D21E79">
      <w:pPr>
        <w:pStyle w:val="NummerierungStufe1"/>
      </w:pPr>
      <w:r w:rsidRPr="008D0377">
        <w:t>auf Grund von Herkunft und bisheriger Nutzung keine Hinweise auf weitere Belastungen der Materialien vorliegen,</w:t>
      </w:r>
    </w:p>
    <w:p w14:paraId="453CC3AB" w14:textId="77777777" w:rsidR="00D21E79" w:rsidRPr="008D0377" w:rsidRDefault="00D21E79" w:rsidP="00D21E79">
      <w:pPr>
        <w:pStyle w:val="NummerierungStufe1"/>
      </w:pPr>
      <w:r w:rsidRPr="008D0377">
        <w:t>die Materialien gemessen vom tiefsten Punkt der Auf- oder Einbringung in einem Abstand von mindestens 1 Meter zum höchsten aus Messdaten ermittelten oder abgeleiteten sowie jeweils von nicht dauerhafter, künstlicher Grundwasserabsenkung unbeeinflussten Grundwasserstand am Auf- und Einbringungsort zuzüglich eines Sicherheitsabstands von 0,5 Meter auf- oder eingebracht werden und</w:t>
      </w:r>
    </w:p>
    <w:p w14:paraId="472B57A1" w14:textId="77777777" w:rsidR="00D21E79" w:rsidRPr="008D0377" w:rsidRDefault="00D21E79" w:rsidP="00D21E79">
      <w:pPr>
        <w:pStyle w:val="NummerierungStufe1"/>
      </w:pPr>
      <w:r w:rsidRPr="008D0377">
        <w:t>oberhalb der auf- oder eingebrachten Materialien eine mindestens 2 Meter mächtige durchwurzelbare Bodenschicht gemäß den Anforderungen der §§ 6 und 7 aufge</w:t>
      </w:r>
      <w:r w:rsidRPr="008D0377">
        <w:lastRenderedPageBreak/>
        <w:t>bracht wird, soweit auf der betreffenden Fläche nicht ein technisches Bauwerk errichtet werden soll. Die zuständige Behörde kann im Einzelfall geringere Mächtigkeiten gestatten, wenn nachgewiesen ist, dass eine schädliche Bodenveränderung nicht zu besorgen ist.</w:t>
      </w:r>
    </w:p>
    <w:p w14:paraId="64CD9387" w14:textId="77777777" w:rsidR="00D21E79" w:rsidRPr="008D0377" w:rsidRDefault="00D21E79" w:rsidP="00D21E79">
      <w:pPr>
        <w:pStyle w:val="JuristischerAbsatznummeriert"/>
      </w:pPr>
      <w:r w:rsidRPr="008D0377">
        <w:t>Sind die Anforderungen nach Absatz 2 oder 3 erfüllt, bedarf das Auf- oder Einbringen keiner Erlaubnis nach § 8 Absatz 1 des Wasserhaushaltsgesetzes.</w:t>
      </w:r>
    </w:p>
    <w:p w14:paraId="3DA18C4B" w14:textId="77777777" w:rsidR="00D21E79" w:rsidRPr="008D0377" w:rsidRDefault="00D21E79" w:rsidP="00D21E79">
      <w:pPr>
        <w:pStyle w:val="JuristischerAbsatznummeriert"/>
      </w:pPr>
      <w:r w:rsidRPr="008D0377">
        <w:t>Das Auf- oder Einbringen von Materialien nach Absatz 2 ist nicht zulässig in Wasserschutzgebieten der Zone I und Heilquellenschutzgebieten der Zone I. Das Auf- oder Einbringen von Materialien nach Absatz 3 ist nicht zulässig in</w:t>
      </w:r>
    </w:p>
    <w:p w14:paraId="798FE273" w14:textId="77777777" w:rsidR="00D21E79" w:rsidRPr="008D0377" w:rsidRDefault="00D21E79" w:rsidP="00D21E79">
      <w:pPr>
        <w:pStyle w:val="NummerierungStufe1"/>
      </w:pPr>
      <w:r w:rsidRPr="008D0377">
        <w:t>Wasserschutzgebieten der Zonen I und II,</w:t>
      </w:r>
    </w:p>
    <w:p w14:paraId="1FEF4160" w14:textId="77777777" w:rsidR="00D21E79" w:rsidRPr="008D0377" w:rsidRDefault="00D21E79" w:rsidP="00D21E79">
      <w:pPr>
        <w:pStyle w:val="NummerierungStufe1"/>
      </w:pPr>
      <w:r w:rsidRPr="008D0377">
        <w:t>Heilquellenschutzgebieten der Zonen I und II,</w:t>
      </w:r>
    </w:p>
    <w:p w14:paraId="38ABD36C" w14:textId="77777777" w:rsidR="00D21E79" w:rsidRPr="008D0377" w:rsidRDefault="00D21E79" w:rsidP="00D21E79">
      <w:pPr>
        <w:pStyle w:val="NummerierungStufe1"/>
      </w:pPr>
      <w:r w:rsidRPr="008D0377">
        <w:t xml:space="preserve">empfindlichen Gebieten, wie insbesondere Karstgebieten und Gebieten mit stark klüftigem, besonders </w:t>
      </w:r>
      <w:proofErr w:type="spellStart"/>
      <w:r w:rsidRPr="008D0377">
        <w:t>wasserwegsamem</w:t>
      </w:r>
      <w:proofErr w:type="spellEnd"/>
      <w:r w:rsidRPr="008D0377">
        <w:t xml:space="preserve"> Untergrund.</w:t>
      </w:r>
    </w:p>
    <w:p w14:paraId="32DA9E04" w14:textId="77777777" w:rsidR="00D21E79" w:rsidRPr="008D0377" w:rsidRDefault="00D21E79" w:rsidP="00D21E79">
      <w:pPr>
        <w:pStyle w:val="JuristischerAbsatzFolgeabsatz"/>
      </w:pPr>
      <w:r w:rsidRPr="008D0377">
        <w:t>Die für den Schutz der in Satz 1 und 2 genannten Flächen zuständige Behörde kann im Benehmen mit der für den Bodenschutz zuständigen Behörde Abweichungen von Satz 1 und 2 zulassen, wenn das Auf- oder Einbringen zum Schutz des Grundwassers erforderlich ist. In empfindlichen Gebieten nach Satz 2 Nummer 3 kann das Auf- oder Einbringen von Materialien bis zur Höhe der Vorsorgewerte für die Bodenart Ton nach Anlage 1 Tabelle 1 und 2 auch zugelassen werden, wenn günstige Materialeigenschaften und Standortbedingungen vorliegen. Regelungen aufgrund der §§ 51 bis 53 des Wasserhaushaltsgesetzes bleiben unberührt.</w:t>
      </w:r>
    </w:p>
    <w:p w14:paraId="07ECD9BF" w14:textId="77777777" w:rsidR="00D21E79" w:rsidRPr="008D0377" w:rsidRDefault="00D21E79" w:rsidP="00D21E79">
      <w:pPr>
        <w:pStyle w:val="JuristischerAbsatznummeriert"/>
      </w:pPr>
      <w:r w:rsidRPr="008D0377">
        <w:t>Die für die Zulassung der Verfüllung einer Abgrabung oder eines Tagebaus zuständige Behörde kann im Einvernehmen mit der für den Bodenschutz zuständigen Behörde das Auf- oder Einbringen anderer als der in Absatz 1 genannten mineralischen Materialien gestatten, wenn sie die Anforderungen nach Absatz 2 oder 3 erfüllen und die Werte nach Anlage 1 Tabelle 5 einhalten, dies bau- oder betriebstechnisch erforderlich ist und der Anteil der Materialien 5 Prozent des im Rahmen des Vorhabens jährlich verfüllten Volumens nicht überschreitet.</w:t>
      </w:r>
    </w:p>
    <w:p w14:paraId="246A2325" w14:textId="2E669743" w:rsidR="00D21E79" w:rsidRDefault="00D21E79" w:rsidP="00D21E79">
      <w:pPr>
        <w:pStyle w:val="JuristischerAbsatznummeriert"/>
      </w:pPr>
      <w:r w:rsidRPr="008D0377">
        <w:t xml:space="preserve">Die für die Zulassung der Verfüllung einer Abgrabung zuständige Behörde kann im Einvernehmen mit der für den Bodenschutz zuständigen Behörde das Auf- oder Einbringen von in Absatz 1 genannten Materialien gestatten, die die Werte nach Anlage 1 Tabelle 4 nicht erheblich überschreiten, wenn nachgewiesen ist, dass trotz der Überschreitung eine ordnungsgemäße und schadlose Verwertung erfolgt. Dabei sind die Standortverhältnisse, insbesondere die geologischen und hydrogeologischen Bedingungen, die natürlichen Bodenfunktionen des Untergrundes und der Umgebung sowie etwa bereits vorhandene </w:t>
      </w:r>
      <w:proofErr w:type="spellStart"/>
      <w:r w:rsidRPr="008D0377">
        <w:t>Verfüllkörper</w:t>
      </w:r>
      <w:proofErr w:type="spellEnd"/>
      <w:r w:rsidRPr="008D0377">
        <w:t xml:space="preserve"> zu berücksichtigen. Die für die Zulassung zuständige Behörde kann von dem Träger des Vorhabens, soweit erforderlich, die Durchführung von Eigenkontrollmaßnahmen, insbesondere Boden- und Wasseruntersuchungen, sowie die Einrichtung und den Betrieb von Messstellen verlangen. § 15 Absatz 2 Satz 2 bis 4 und Absatz 3 des Bundes-Bodenschutzgesetzes gelten entsprechend. Der Standort des Vorhabens kann in bestehende Bodenkataster oder sonstige Verzeichnisse aufgenommen werden. Die Sätze 1 bis 5 gelten entsprechend für das Auf- oder Einbringen anderer als der in Absatz 1 genannten mineralischen Materialien, die die Werte nach Anlage 1 Tabelle 4 und 5 einhalten oder nicht erheblich überschreiten und sich als Ausgangsmaterial für eine Bodenbildung eignen. Absatz 3 Nummer 4 gilt entsprechend.</w:t>
      </w:r>
    </w:p>
    <w:p w14:paraId="30C5ACE6" w14:textId="26C4AB7B" w:rsidR="009600A1" w:rsidRPr="008D0377" w:rsidRDefault="009600A1" w:rsidP="009600A1">
      <w:pPr>
        <w:pStyle w:val="JuristischerAbsatznummeriert"/>
      </w:pPr>
      <w:r w:rsidRPr="009600A1">
        <w:t>Die Länder können Regelungen treffen, dass auch andere als die in Absatz 1 genannten Materialien zur Verfüllung genutzt werden und Überschreitungen der Werte nach Anlage 1 Tabellen 4 und 5 zulässig sind, wenn nachgewiesen wird, dass eine ordnungsgemäße und schadlose Verwertung erfolgt“.</w:t>
      </w:r>
    </w:p>
    <w:p w14:paraId="16D3031B" w14:textId="77777777" w:rsidR="00D21E79" w:rsidRPr="00D21E79" w:rsidRDefault="00D21E79" w:rsidP="00D21E79">
      <w:pPr>
        <w:pStyle w:val="AbschnittBezeichner"/>
      </w:pPr>
    </w:p>
    <w:p w14:paraId="382AF348" w14:textId="77777777" w:rsidR="00D21E79" w:rsidRPr="00D21E79" w:rsidRDefault="00D21E79" w:rsidP="00D21E79">
      <w:pPr>
        <w:pStyle w:val="Abschnittberschrift"/>
      </w:pPr>
      <w:bookmarkStart w:id="64" w:name="_Toc64379932"/>
      <w:r w:rsidRPr="008D0377">
        <w:t>Abwehr und Sanierung schädlicher Bodenveränderungen und Altlasten</w:t>
      </w:r>
      <w:bookmarkEnd w:id="64"/>
    </w:p>
    <w:p w14:paraId="62C3EE24" w14:textId="77777777" w:rsidR="00D21E79" w:rsidRPr="00D21E79" w:rsidRDefault="00D21E79" w:rsidP="00D21E79">
      <w:pPr>
        <w:pStyle w:val="UnterabschnittBezeichner"/>
      </w:pPr>
    </w:p>
    <w:p w14:paraId="1193C4E1" w14:textId="77777777" w:rsidR="00D21E79" w:rsidRPr="008D0377" w:rsidRDefault="00D21E79" w:rsidP="00D21E79">
      <w:pPr>
        <w:pStyle w:val="Unterabschnittberschrift"/>
      </w:pPr>
      <w:bookmarkStart w:id="65" w:name="_Toc64379934"/>
      <w:r w:rsidRPr="008D0377">
        <w:t>Gefahrenabwehr bei Bodenerosion</w:t>
      </w:r>
      <w:bookmarkEnd w:id="65"/>
    </w:p>
    <w:p w14:paraId="6CF4B17E" w14:textId="77777777" w:rsidR="00D21E79" w:rsidRDefault="00D21E79" w:rsidP="00D21E79">
      <w:pPr>
        <w:pStyle w:val="ParagraphBezeichner"/>
      </w:pPr>
    </w:p>
    <w:p w14:paraId="024A331A" w14:textId="77777777" w:rsidR="00D21E79" w:rsidRDefault="00D21E79" w:rsidP="00D21E79">
      <w:pPr>
        <w:pStyle w:val="Paragraphberschrift"/>
      </w:pPr>
      <w:bookmarkStart w:id="66" w:name="_Toc64379936"/>
      <w:r>
        <w:t>Gefahrenabwehr bei Bodenerosion durch Wasser oder Wind</w:t>
      </w:r>
      <w:bookmarkEnd w:id="66"/>
    </w:p>
    <w:p w14:paraId="73971787" w14:textId="77777777" w:rsidR="00D21E79" w:rsidRPr="008D0377" w:rsidRDefault="00D21E79" w:rsidP="00D21E79">
      <w:pPr>
        <w:pStyle w:val="JuristischerAbsatznummeriert"/>
      </w:pPr>
      <w:r w:rsidRPr="008D0377">
        <w:t xml:space="preserve">Von dem Vorliegen einer schädlichen Bodenveränderung auf Grund von Bodenerosion durch Wasser oder Wind ist insbesondere auszugehen, wenn erhebliche Mengen Bodenmaterials von einer Erosionsfläche durch Oberflächenabfluss oder </w:t>
      </w:r>
      <w:proofErr w:type="spellStart"/>
      <w:r w:rsidRPr="008D0377">
        <w:t>Abwehung</w:t>
      </w:r>
      <w:proofErr w:type="spellEnd"/>
      <w:r w:rsidRPr="008D0377">
        <w:t xml:space="preserve"> abgetragen wurden und weitere erhebliche </w:t>
      </w:r>
      <w:proofErr w:type="spellStart"/>
      <w:r w:rsidRPr="008D0377">
        <w:t>Bodenabträge</w:t>
      </w:r>
      <w:proofErr w:type="spellEnd"/>
      <w:r w:rsidRPr="008D0377">
        <w:t xml:space="preserve"> zu erwarten sind.</w:t>
      </w:r>
    </w:p>
    <w:p w14:paraId="066E80E6" w14:textId="77777777" w:rsidR="00D21E79" w:rsidRPr="008D0377" w:rsidRDefault="00D21E79" w:rsidP="00D21E79">
      <w:pPr>
        <w:pStyle w:val="JuristischerAbsatzFolgeabsatz"/>
      </w:pPr>
      <w:r w:rsidRPr="008D0377">
        <w:t xml:space="preserve">Weitere </w:t>
      </w:r>
      <w:proofErr w:type="spellStart"/>
      <w:r w:rsidRPr="008D0377">
        <w:t>Bodenabträge</w:t>
      </w:r>
      <w:proofErr w:type="spellEnd"/>
      <w:r w:rsidRPr="008D0377">
        <w:t xml:space="preserve"> nach einem Erosionsereignis sind im Sinne des Satzes 1zu erwarten, wenn</w:t>
      </w:r>
    </w:p>
    <w:p w14:paraId="58539C7E" w14:textId="77777777" w:rsidR="00D21E79" w:rsidRPr="008D0377" w:rsidRDefault="00D21E79" w:rsidP="00D21E79">
      <w:pPr>
        <w:pStyle w:val="NummerierungStufe1"/>
      </w:pPr>
      <w:r w:rsidRPr="008D0377">
        <w:t>in den zurückliegenden zehn Jahren bereits mindestens in einem weiteren Fall erhebliche Mengen Bodenmaterials von derselben Erosionsfläche abgetragen wurden oder</w:t>
      </w:r>
    </w:p>
    <w:p w14:paraId="1AA77CAB" w14:textId="77777777" w:rsidR="00D21E79" w:rsidRPr="008D0377" w:rsidRDefault="00D21E79" w:rsidP="00D21E79">
      <w:pPr>
        <w:pStyle w:val="NummerierungStufe1"/>
      </w:pPr>
      <w:r w:rsidRPr="008D0377">
        <w:t xml:space="preserve">sich aus den Standortdaten und den Daten über die langjährigen Niederschlags- oder Wind- und Witterungsverhältnisse des Gebietes ergibt, dass in einem Zeitraum von zehn Jahren mit hinreichender Wahrscheinlichkeit erneut mit </w:t>
      </w:r>
      <w:proofErr w:type="spellStart"/>
      <w:r w:rsidRPr="008D0377">
        <w:t>Bodenabträgen</w:t>
      </w:r>
      <w:proofErr w:type="spellEnd"/>
      <w:r w:rsidRPr="008D0377">
        <w:t xml:space="preserve"> gemäß Satz 1 zu rechnen ist.</w:t>
      </w:r>
    </w:p>
    <w:p w14:paraId="26667F5E" w14:textId="77777777" w:rsidR="00D21E79" w:rsidRPr="008D0377" w:rsidRDefault="00D21E79" w:rsidP="00D21E79">
      <w:pPr>
        <w:pStyle w:val="JuristischerAbsatznummeriert"/>
      </w:pPr>
      <w:r w:rsidRPr="008D0377">
        <w:t>Anhaltspunkte für das Vorliegen einer schädlichen Bodenveränderung auf Grund von Bodenerosion durch Wasser oder Wind ergeben sich insbesondere, wenn sich auf einer Fläche Erosionsformen oder -schäden in erheblichem Ausmaß zeigen oder außerhalb einer möglichen Erosionsfläche gelegene Bereiche durch erhebliche Mengen abgetragenes Bodenmaterial befrachtet wurden.</w:t>
      </w:r>
    </w:p>
    <w:p w14:paraId="45310B6B" w14:textId="77777777" w:rsidR="00D21E79" w:rsidRPr="008D0377" w:rsidRDefault="00D21E79" w:rsidP="00D21E79">
      <w:pPr>
        <w:pStyle w:val="JuristischerAbsatznummeriert"/>
      </w:pPr>
      <w:r w:rsidRPr="008D0377">
        <w:t xml:space="preserve">Bestehen Anhaltspunkte nach Absatz 2, hat die zuständige Behörde festzustellen, auf welche Erosionsfläche der Bodenabtrag zurückzuführen ist, und abzuschätzen, in welchem Umfang Bodenmaterial abgetragen wurde und mit welcher Wahrscheinlichkeit weitere </w:t>
      </w:r>
      <w:proofErr w:type="spellStart"/>
      <w:r w:rsidRPr="008D0377">
        <w:t>Bodenabträge</w:t>
      </w:r>
      <w:proofErr w:type="spellEnd"/>
      <w:r w:rsidRPr="008D0377">
        <w:t xml:space="preserve"> zu erwarten sind. Besteht auf Grund dieser Ermittlungen der hinreichende Verdacht einer schädlichen Bodenveränderung, kann die zuständige Behörde Anordnungen nach § 9 Absatz 2 des Bundes-Bodenschutzgesetzes treffen.</w:t>
      </w:r>
    </w:p>
    <w:p w14:paraId="058FF2A6" w14:textId="77777777" w:rsidR="00D21E79" w:rsidRPr="008D0377" w:rsidRDefault="00D21E79" w:rsidP="00D21E79">
      <w:pPr>
        <w:pStyle w:val="JuristischerAbsatznummeriert"/>
      </w:pPr>
      <w:r w:rsidRPr="008D0377">
        <w:t>Zur Bewertung der Erosionsgefährdung ist in der Regel die DIN 19708 oder die DIN 19706 heranzuziehen.</w:t>
      </w:r>
    </w:p>
    <w:p w14:paraId="7E5C778F" w14:textId="77777777" w:rsidR="00D21E79" w:rsidRPr="00A10B6A" w:rsidRDefault="00D21E79" w:rsidP="00D21E79">
      <w:pPr>
        <w:pStyle w:val="JuristischerAbsatznummeriert"/>
      </w:pPr>
      <w:r w:rsidRPr="008D0377">
        <w:t xml:space="preserve">Wird die Erosionsfläche landwirtschaftlich genutzt, soll die nach Landesrecht zuständige landwirtschaftliche Beratungsstelle bei ihrer Beratungstätigkeit einzelfallbezogene erosionsmindernde Maßnahmen für die Bewirtschaftung der Erosionsfläche empfehlen. Maßnahmen zur Gefahrenabwehr im Einzelfall werden von der zuständigen Behörde nach § 10 Absatz 1 Satz 1 des Bundes-Bodenschutzgesetzes im Einvernehmen mit der zuständigen Landwirtschaftsbehörde getroffen. Maßnahmen nach Satz 2 können auch solche sein, die sich aus den Grundsätzen der guten fachlichen Praxis nach § 17 Absatz 2 des Bundes-Bodenschutzgesetzes ergeben. </w:t>
      </w:r>
    </w:p>
    <w:p w14:paraId="3C639E10" w14:textId="77777777" w:rsidR="00D21E79" w:rsidRPr="00D21E79" w:rsidRDefault="00D21E79" w:rsidP="00D21E79">
      <w:pPr>
        <w:pStyle w:val="UnterabschnittBezeichner"/>
      </w:pPr>
    </w:p>
    <w:p w14:paraId="54B3A20E" w14:textId="77777777" w:rsidR="00D21E79" w:rsidRPr="008D0377" w:rsidRDefault="00D21E79" w:rsidP="00D21E79">
      <w:pPr>
        <w:pStyle w:val="Unterabschnittberschrift"/>
      </w:pPr>
      <w:bookmarkStart w:id="67" w:name="_Toc64379938"/>
      <w:r w:rsidRPr="008D0377">
        <w:t>Untersuchung, Bewertung und Sanierung schädlicher Bodenveränderungen und Altlasten</w:t>
      </w:r>
      <w:bookmarkEnd w:id="67"/>
    </w:p>
    <w:p w14:paraId="0A5CCF8D" w14:textId="77777777" w:rsidR="00D21E79" w:rsidRDefault="00D21E79" w:rsidP="00D21E79">
      <w:pPr>
        <w:pStyle w:val="ParagraphBezeichner"/>
      </w:pPr>
    </w:p>
    <w:p w14:paraId="25930D3F" w14:textId="77777777" w:rsidR="00D21E79" w:rsidRDefault="00D21E79" w:rsidP="00D21E79">
      <w:pPr>
        <w:pStyle w:val="Paragraphberschrift"/>
      </w:pPr>
      <w:bookmarkStart w:id="68" w:name="_Toc64379940"/>
      <w:r>
        <w:t>Erforderlichkeit von Untersuchungen</w:t>
      </w:r>
      <w:bookmarkEnd w:id="68"/>
    </w:p>
    <w:p w14:paraId="156FE622" w14:textId="77777777" w:rsidR="00D21E79" w:rsidRPr="008D0377" w:rsidRDefault="00D21E79" w:rsidP="00D21E79">
      <w:pPr>
        <w:pStyle w:val="JuristischerAbsatznummeriert"/>
      </w:pPr>
      <w:r w:rsidRPr="008D0377">
        <w:t xml:space="preserve">Anhaltspunkte im Sinne des § 9 Absatz 1 Satz 1 des Bundes-Bodenschutzgesetzes für das Vorliegen einer Altlast bestehen bei einem Altstandort insbesondere, wenn auf Grundstücken über einen längeren Zeitraum oder in erheblicher Menge mit Schadstoffen umgegangen wurde und die jeweilige Betriebs-, Bewirtschaftungs- oder Verfahrensweise oder Störungen des bestimmungsgemäßen Betriebs nicht unerhebliche Einträge solcher Stoffe in den Boden vermuten lassen. Die jeweilige Betriebsweise lässt einen solchen Eintrag insbesondere vermuten, wenn die angewendeten Sicherheitsmaßnahmen erheblich vom heutigen Stand der Technik abweichen. Bei Altablagerungen sind diese Anhaltspunkte insbesondere dann gegeben, wenn die Art des Betriebs oder der Zeitpunkt der Stilllegung den Verdacht </w:t>
      </w:r>
      <w:proofErr w:type="gramStart"/>
      <w:r w:rsidRPr="008D0377">
        <w:t>nahe legen</w:t>
      </w:r>
      <w:proofErr w:type="gramEnd"/>
      <w:r w:rsidRPr="008D0377">
        <w:t>, dass Abfälle nicht sachgerecht behandelt, gelagert oder abgelagert wurden.</w:t>
      </w:r>
    </w:p>
    <w:p w14:paraId="00DC5B54" w14:textId="77777777" w:rsidR="00D21E79" w:rsidRPr="008D0377" w:rsidRDefault="00D21E79" w:rsidP="00D21E79">
      <w:pPr>
        <w:pStyle w:val="JuristischerAbsatznummeriert"/>
      </w:pPr>
      <w:r w:rsidRPr="008D0377">
        <w:t>Absatz 1 Satz 1 gilt für schädliche Bodenveränderungen durch Schadstoffe entsprechend. Anhaltspunkte für das Vorliegen einer schädlichen Bodenveränderung ergeben sich auch durch Hinweise auf</w:t>
      </w:r>
    </w:p>
    <w:p w14:paraId="20A8691A" w14:textId="77777777" w:rsidR="00D21E79" w:rsidRPr="008D0377" w:rsidRDefault="00D21E79" w:rsidP="00D21E79">
      <w:pPr>
        <w:pStyle w:val="NummerierungStufe1"/>
      </w:pPr>
      <w:r w:rsidRPr="008D0377">
        <w:t>den Eintrag von Schadstoffen über einen längeren Zeitraum oder in erheblicher Menge über die Luft oder Gewässer oder durch eine Aufbringung erheblicher Frachten an Abfällen oder Abwässer auf Böden,</w:t>
      </w:r>
    </w:p>
    <w:p w14:paraId="77D4DE23" w14:textId="77777777" w:rsidR="00D21E79" w:rsidRPr="008D0377" w:rsidRDefault="00D21E79" w:rsidP="00D21E79">
      <w:pPr>
        <w:pStyle w:val="NummerierungStufe1"/>
      </w:pPr>
      <w:r w:rsidRPr="008D0377">
        <w:t>eine erhebliche Freisetzung von Schadstoffen aus Böden mit naturbedingt höheren Gehalten,</w:t>
      </w:r>
    </w:p>
    <w:p w14:paraId="3C5AEC4C" w14:textId="77777777" w:rsidR="00D21E79" w:rsidRPr="008D0377" w:rsidRDefault="00D21E79" w:rsidP="00D21E79">
      <w:pPr>
        <w:pStyle w:val="NummerierungStufe1"/>
      </w:pPr>
      <w:r w:rsidRPr="008D0377">
        <w:t>erhöhte Schadstoffgehalte in Nahrungs- oder Futterpflanzen am Standort oder</w:t>
      </w:r>
    </w:p>
    <w:p w14:paraId="07280058" w14:textId="77777777" w:rsidR="00D21E79" w:rsidRPr="008D0377" w:rsidRDefault="00D21E79" w:rsidP="00D21E79">
      <w:pPr>
        <w:pStyle w:val="NummerierungStufe1"/>
      </w:pPr>
      <w:r w:rsidRPr="008D0377">
        <w:t xml:space="preserve">das Austreten von Wasser mit erheblichen Frachten an Schadstoffen aus Böden oder Altablagerungen </w:t>
      </w:r>
    </w:p>
    <w:p w14:paraId="24A1F68E" w14:textId="77777777" w:rsidR="00D21E79" w:rsidRPr="008D0377" w:rsidRDefault="00D21E79" w:rsidP="00D21E79">
      <w:pPr>
        <w:pStyle w:val="JuristischerAbsatzFolgeabsatz"/>
      </w:pPr>
      <w:r w:rsidRPr="008D0377">
        <w:t>sowie aus Erkenntnissen auf Grund allgemeiner Untersuchungen oder von Erfahrungswerten aus Vergleichssituationen insbesondere zur Ausbreitung von Schadstoffen.</w:t>
      </w:r>
    </w:p>
    <w:p w14:paraId="747C5D1B" w14:textId="77777777" w:rsidR="00D21E79" w:rsidRPr="008D0377" w:rsidRDefault="00D21E79" w:rsidP="00D21E79">
      <w:pPr>
        <w:pStyle w:val="JuristischerAbsatznummeriert"/>
      </w:pPr>
      <w:r w:rsidRPr="008D0377">
        <w:t>Bestehen Anhaltspunkte für das Vorliegen einer Altlast oder einer schädlichen Bodenveränderung, soll die altlastverdächtige Fläche oder die Verdachtsfläche zunächst einer orientierenden Untersuchung nach § 12 unterzogen werden.</w:t>
      </w:r>
    </w:p>
    <w:p w14:paraId="620CC580" w14:textId="77777777" w:rsidR="00D21E79" w:rsidRPr="008D0377" w:rsidRDefault="00D21E79" w:rsidP="00D21E79">
      <w:pPr>
        <w:pStyle w:val="JuristischerAbsatznummeriert"/>
      </w:pPr>
      <w:r w:rsidRPr="008D0377">
        <w:t>Konkrete Anhaltspunkte, die den hinreichenden Verdacht einer schädlichen Bodenveränderung oder Altlast im Sinne des § 9 Absatz 2 Satz 1 des Bundes-Bodenschutzgesetzes begründen, liegen in der Regel vor, wenn Untersuchungen eine Überschreitung von Prüfwerten nach Anlage 2 Tabelle 2 bis 4 oder 6 bis 8 ergeben oder wenn auf Grund einer Sickerwasserprognose eine Überschreitung von Prüfwerten nach Anlage 2 Tabelle 2 oder 3 zu erwarten ist.</w:t>
      </w:r>
    </w:p>
    <w:p w14:paraId="1F01A089" w14:textId="77777777" w:rsidR="00D21E79" w:rsidRPr="008D0377" w:rsidRDefault="00D21E79" w:rsidP="00D21E79">
      <w:pPr>
        <w:pStyle w:val="JuristischerAbsatznummeriert"/>
      </w:pPr>
      <w:r w:rsidRPr="008D0377">
        <w:t>Besteht der hinreichende Verdacht einer schädlichen Bodenveränderung oder Altlast, soll eine Detailuntersuchung nach § 13 durchgeführt werden. Von einer Detailuntersuchung kann abgesehen werden, wenn Gefahren, erhebliche Nachteile oder erhebliche Belästigungen nach Feststellung der zuständigen Behörde mit einfachen Mitteln abgewehrt oder auf andere Weise beseitigt werden können.</w:t>
      </w:r>
    </w:p>
    <w:p w14:paraId="1C7863DD" w14:textId="77777777" w:rsidR="00D21E79" w:rsidRPr="008D0377" w:rsidRDefault="00D21E79" w:rsidP="00D21E79">
      <w:pPr>
        <w:pStyle w:val="JuristischerAbsatznummeriert"/>
      </w:pPr>
      <w:r w:rsidRPr="008D0377">
        <w:lastRenderedPageBreak/>
        <w:t>Wenn auf Grund der örtlichen Umstände oder nach den Ergebnissen von Bodenluft- oder Deponiegasuntersuchungen Anhaltspunkte für die Ausbreitung von flüchtigen Schadstoffen aus einer Verdachtsfläche oder altlastverdächtigen Fläche in Gebäude bestehen, soll im Rahmen der Detailuntersuchung eine Untersuchung der Innenraumluft erfolgen; die Aufgaben und Befugnisse anderer Behörden bleiben unberührt.</w:t>
      </w:r>
    </w:p>
    <w:p w14:paraId="519BE2AF" w14:textId="77777777" w:rsidR="00D21E79" w:rsidRPr="00A10B6A" w:rsidRDefault="00D21E79" w:rsidP="00D21E79">
      <w:pPr>
        <w:pStyle w:val="JuristischerAbsatznummeriert"/>
      </w:pPr>
      <w:r w:rsidRPr="008D0377">
        <w:t>Im Rahmen von Untersuchungsanordnungen nach § 9 Absatz 2 Satz 1 des Bundes-Bodenschutzgesetzes können auch wiederkehrende Untersuchungen der Schadstoffausbreitung und der hierfür maßgebenden Umstände angeordnet werden.</w:t>
      </w:r>
    </w:p>
    <w:p w14:paraId="645445C3" w14:textId="77777777" w:rsidR="00D21E79" w:rsidRPr="00D21E79" w:rsidRDefault="00D21E79" w:rsidP="00D21E79">
      <w:pPr>
        <w:pStyle w:val="ParagraphBezeichner"/>
      </w:pPr>
    </w:p>
    <w:p w14:paraId="10054327" w14:textId="77777777" w:rsidR="00D21E79" w:rsidRPr="00D21E79" w:rsidRDefault="00D21E79" w:rsidP="00D21E79">
      <w:pPr>
        <w:pStyle w:val="Paragraphberschrift"/>
      </w:pPr>
      <w:bookmarkStart w:id="69" w:name="_Toc64379942"/>
      <w:r w:rsidRPr="008D0377">
        <w:t>Allgemeine Anforderungen an Untersuchungen</w:t>
      </w:r>
      <w:bookmarkEnd w:id="69"/>
    </w:p>
    <w:p w14:paraId="34EDE591" w14:textId="77777777" w:rsidR="00D21E79" w:rsidRPr="008D0377" w:rsidRDefault="00D21E79" w:rsidP="00D21E79">
      <w:pPr>
        <w:pStyle w:val="JuristischerAbsatznummeriert"/>
      </w:pPr>
      <w:r w:rsidRPr="008D0377">
        <w:t>Bei der Festlegung des Untersuchungsumfangs sind alle verfügbaren Informationen, insbesondere die Kenntnisse oder begründeten Vermutungen über das Vorkommen bestimmter Schadstoffe und deren Verteilung, die sich im Sinne des § 4 Absatz 4 des Bundes-Bodenschutzgesetzes ergebenden Schutzbedürfnisse sowie die sonstigen beurteilungserheblichen örtlichen Umstände zu berücksichtigen.</w:t>
      </w:r>
    </w:p>
    <w:p w14:paraId="258CC092" w14:textId="77777777" w:rsidR="00D21E79" w:rsidRPr="008D0377" w:rsidRDefault="00D21E79" w:rsidP="00D21E79">
      <w:pPr>
        <w:pStyle w:val="JuristischerAbsatznummeriert"/>
      </w:pPr>
      <w:r w:rsidRPr="008D0377">
        <w:t>Bei der Untersuchung zum Wirkungspfad Boden-Mensch sind als Nutzungen zu unterscheiden:</w:t>
      </w:r>
    </w:p>
    <w:p w14:paraId="23C4732A" w14:textId="77777777" w:rsidR="00D21E79" w:rsidRPr="008D0377" w:rsidRDefault="00D21E79" w:rsidP="00D21E79">
      <w:pPr>
        <w:pStyle w:val="NummerierungStufe1"/>
      </w:pPr>
      <w:r w:rsidRPr="008D0377">
        <w:t>Kinderspielflächen,</w:t>
      </w:r>
    </w:p>
    <w:p w14:paraId="4282C8BB" w14:textId="77777777" w:rsidR="00D21E79" w:rsidRPr="008D0377" w:rsidRDefault="00D21E79" w:rsidP="00D21E79">
      <w:pPr>
        <w:pStyle w:val="NummerierungStufe1"/>
      </w:pPr>
      <w:r w:rsidRPr="008D0377">
        <w:t>Wohngebiete,</w:t>
      </w:r>
    </w:p>
    <w:p w14:paraId="2E5B89CC" w14:textId="77777777" w:rsidR="00D21E79" w:rsidRPr="008D0377" w:rsidRDefault="00D21E79" w:rsidP="00D21E79">
      <w:pPr>
        <w:pStyle w:val="NummerierungStufe1"/>
      </w:pPr>
      <w:r w:rsidRPr="008D0377">
        <w:t>Park- und Freizeitanlagen sowie</w:t>
      </w:r>
    </w:p>
    <w:p w14:paraId="08C2251D" w14:textId="77777777" w:rsidR="00D21E79" w:rsidRPr="008D0377" w:rsidRDefault="00D21E79" w:rsidP="00D21E79">
      <w:pPr>
        <w:pStyle w:val="NummerierungStufe1"/>
      </w:pPr>
      <w:r w:rsidRPr="008D0377">
        <w:t>Industrie- und Gewerbegrundstücke.</w:t>
      </w:r>
    </w:p>
    <w:p w14:paraId="1B168063" w14:textId="77777777" w:rsidR="00D21E79" w:rsidRPr="008D0377" w:rsidRDefault="00D21E79" w:rsidP="00D21E79">
      <w:pPr>
        <w:pStyle w:val="JuristischerAbsatznummeriert"/>
      </w:pPr>
      <w:r w:rsidRPr="008D0377">
        <w:t>Bei der Untersuchung zum Wirkungspfad Boden-Nutzpflanze sind als Nutzungen zu unterscheiden:</w:t>
      </w:r>
    </w:p>
    <w:p w14:paraId="494807F1" w14:textId="77777777" w:rsidR="00D21E79" w:rsidRPr="008D0377" w:rsidRDefault="00D21E79" w:rsidP="00D21E79">
      <w:pPr>
        <w:pStyle w:val="NummerierungStufe1"/>
      </w:pPr>
      <w:r w:rsidRPr="008D0377">
        <w:t>Ackerflächen und Nutzgärten sowie</w:t>
      </w:r>
    </w:p>
    <w:p w14:paraId="6B65884F" w14:textId="77777777" w:rsidR="00D21E79" w:rsidRPr="008D0377" w:rsidRDefault="00D21E79" w:rsidP="00D21E79">
      <w:pPr>
        <w:pStyle w:val="NummerierungStufe1"/>
      </w:pPr>
      <w:r w:rsidRPr="008D0377">
        <w:t>Grünlandflächen.</w:t>
      </w:r>
    </w:p>
    <w:p w14:paraId="312B1DC9" w14:textId="77777777" w:rsidR="00D21E79" w:rsidRPr="008D0377" w:rsidRDefault="00D21E79" w:rsidP="00D21E79">
      <w:pPr>
        <w:pStyle w:val="JuristischerAbsatznummeriert"/>
      </w:pPr>
      <w:r w:rsidRPr="008D0377">
        <w:t>Probennahme und -analyse sind nach Abschnitt 4 durchzuführen.</w:t>
      </w:r>
    </w:p>
    <w:p w14:paraId="5E226ED3" w14:textId="77777777" w:rsidR="00D21E79" w:rsidRPr="00D21E79" w:rsidRDefault="00D21E79" w:rsidP="00D21E79">
      <w:pPr>
        <w:pStyle w:val="ParagraphBezeichner"/>
      </w:pPr>
    </w:p>
    <w:p w14:paraId="6A028771" w14:textId="77777777" w:rsidR="00D21E79" w:rsidRPr="00D21E79" w:rsidRDefault="00D21E79" w:rsidP="00D21E79">
      <w:pPr>
        <w:pStyle w:val="Paragraphberschrift"/>
      </w:pPr>
      <w:bookmarkStart w:id="70" w:name="_Toc64379944"/>
      <w:r w:rsidRPr="008D0377">
        <w:t>Orientierende Untersuchung</w:t>
      </w:r>
      <w:bookmarkEnd w:id="70"/>
    </w:p>
    <w:p w14:paraId="7E12DE60" w14:textId="77777777" w:rsidR="00D21E79" w:rsidRPr="008D0377" w:rsidRDefault="00D21E79" w:rsidP="00D21E79">
      <w:pPr>
        <w:pStyle w:val="JuristischerAbsatznummeriert"/>
      </w:pPr>
      <w:r w:rsidRPr="008D0377">
        <w:t>Ziel der orientierenden Untersuchung ist, auf der Grundlage der Ergebnisse der Erfassung mit Hilfe örtlicher Untersuchungen, insbesondere Messungen, festzustellen, ob ein hinreichender Verdacht für das Vorliegen einer Altlast oder einer schädlichen Bodenveränderung besteht.</w:t>
      </w:r>
    </w:p>
    <w:p w14:paraId="34EA1165" w14:textId="77777777" w:rsidR="00D21E79" w:rsidRPr="008D0377" w:rsidRDefault="00D21E79" w:rsidP="00D21E79">
      <w:pPr>
        <w:pStyle w:val="JuristischerAbsatznummeriert"/>
      </w:pPr>
      <w:r w:rsidRPr="008D0377">
        <w:t>Bei altlastverdächtigen Altablagerungen sollen neben der Charakterisierung des Schadstoffpotenzials des Ablagerungsmaterials insbesondere Untersuchungen der vom Abfallkörper ausgehenden Wirkungen durch Ausgasung leichtflüchtiger Stoffe und Deponiegas hinsichtlich des Übergangs von Schadstoffen in das Grundwasser durchgeführt werden.</w:t>
      </w:r>
    </w:p>
    <w:p w14:paraId="12AA27BC" w14:textId="77777777" w:rsidR="00D21E79" w:rsidRPr="00A10B6A" w:rsidRDefault="00D21E79" w:rsidP="00D21E79">
      <w:pPr>
        <w:pStyle w:val="JuristischerAbsatznummeriert"/>
      </w:pPr>
      <w:r w:rsidRPr="008D0377">
        <w:lastRenderedPageBreak/>
        <w:t>Wird bei Untersuchungen für den Wirkungspfad Boden-Grundwasser ein Prüfwert nach Anlage 2 Tabelle 1 oder 3 am Ort der Probennahme überschritten, soll durch eine Sickerwasserprognose abgeschätzt werden, ob zu erwarten ist, dass die Konzentration dieses Schadstoffs im Sickerwasser am Ort der Beurteilung den Prüfwert nach Anlage 2 Tabelle 2 oder 3 übersteigen wird. Ergänzend kann die Einmischung des Sickerwassers in das Grundwasser berücksichtigt werden.</w:t>
      </w:r>
    </w:p>
    <w:p w14:paraId="24C31B2F" w14:textId="77777777" w:rsidR="00D21E79" w:rsidRPr="00D21E79" w:rsidRDefault="00D21E79" w:rsidP="00D21E79">
      <w:pPr>
        <w:pStyle w:val="ParagraphBezeichner"/>
      </w:pPr>
    </w:p>
    <w:p w14:paraId="6BF6A347" w14:textId="77777777" w:rsidR="00D21E79" w:rsidRPr="00D21E79" w:rsidRDefault="00D21E79" w:rsidP="00D21E79">
      <w:pPr>
        <w:pStyle w:val="Paragraphberschrift"/>
      </w:pPr>
      <w:bookmarkStart w:id="71" w:name="_Toc64379946"/>
      <w:r w:rsidRPr="008D0377">
        <w:t>Detailuntersuchung</w:t>
      </w:r>
      <w:bookmarkEnd w:id="71"/>
    </w:p>
    <w:p w14:paraId="6FE2C663" w14:textId="77777777" w:rsidR="00D21E79" w:rsidRPr="008D0377" w:rsidRDefault="00D21E79" w:rsidP="00D21E79">
      <w:pPr>
        <w:pStyle w:val="JuristischerAbsatznummeriert"/>
      </w:pPr>
      <w:r w:rsidRPr="008D0377">
        <w:t>) Ziel der Detailuntersuchung ist, mit Hilfe vertiefender und weitergehender Untersuchungen eine abschließende Gefährdungsabschätzung zu ermöglichen. Sie dient insbesondere der Feststellung von Menge und räumlicher Verteilung von Schadstoffen, ihrer mobilen oder mobilisierbaren Anteile, ihrer Ausbreitungsmöglichkeiten im Boden, in Gewässern und in der Luft sowie der Möglichkeit ihrer Aufnahme durch Menschen, Tiere und Pflanzen.</w:t>
      </w:r>
    </w:p>
    <w:p w14:paraId="69E1BDDF" w14:textId="77777777" w:rsidR="00D21E79" w:rsidRPr="008D0377" w:rsidRDefault="00D21E79" w:rsidP="00D21E79">
      <w:pPr>
        <w:pStyle w:val="JuristischerAbsatznummeriert"/>
      </w:pPr>
      <w:r w:rsidRPr="008D0377">
        <w:t>Bei Detailuntersuchungen soll festgestellt werden, ob sich aus räumlich begrenzten Anreicherungen von Schadstoffen innerhalb einer Verdachtsfläche oder altlastverdächtigen Fläche Gefahren ergeben und ob und wie eine Abgrenzung von nicht belasteten Flächen geboten ist.</w:t>
      </w:r>
    </w:p>
    <w:p w14:paraId="143E023C" w14:textId="77777777" w:rsidR="00D21E79" w:rsidRPr="008D0377" w:rsidRDefault="00D21E79" w:rsidP="00D21E79">
      <w:pPr>
        <w:pStyle w:val="JuristischerAbsatznummeriert"/>
      </w:pPr>
      <w:r w:rsidRPr="008D0377">
        <w:t>Im Rahmen der Detailuntersuchung sollen die für die jeweils betroffenen Wirkungspfade im Sinne des § 11 Absatz 2 und 3 maßgeblichen Expositionsbedingungen und die bedeutsamen resorptionsverfügbaren, mobilen oder mobilisierbaren Anteile der Schadstoffgehalte ermittelt werden. Die Resorptionsverfügbarkeit ist nach der DIN 19738 zu bestimmen.</w:t>
      </w:r>
    </w:p>
    <w:p w14:paraId="29E872B1" w14:textId="6CC896B2" w:rsidR="00D21E79" w:rsidRPr="008D0377" w:rsidRDefault="00A10B6A" w:rsidP="00AA1E49">
      <w:pPr>
        <w:pStyle w:val="JuristischerAbsatznummeriert"/>
        <w:numPr>
          <w:ilvl w:val="2"/>
          <w:numId w:val="0"/>
        </w:numPr>
        <w:tabs>
          <w:tab w:val="num" w:pos="850"/>
        </w:tabs>
        <w:ind w:firstLine="425"/>
      </w:pPr>
      <w:r>
        <w:t>(3a)</w:t>
      </w:r>
      <w:r>
        <w:tab/>
      </w:r>
      <w:r w:rsidR="00D21E79" w:rsidRPr="008D0377">
        <w:t xml:space="preserve">Bei altlastverdächtigen Altablagerungen sollen insbesondere Untersuchungen der vom Abfallkörper ausgehenden Wirkungen hinsichtlich des Übergangs von Schadstoffen in das Grundwasser durch Rückschlüsse und Rückrechnung aus Abstrom-Messungen im Grundwasser unter Berücksichtigung insbesondere auch der Schadstoffkonzentration im </w:t>
      </w:r>
      <w:proofErr w:type="spellStart"/>
      <w:r w:rsidR="00D21E79" w:rsidRPr="008D0377">
        <w:t>Anstrom</w:t>
      </w:r>
      <w:proofErr w:type="spellEnd"/>
      <w:r w:rsidR="00D21E79" w:rsidRPr="008D0377">
        <w:t xml:space="preserve"> durchgeführt werden.</w:t>
      </w:r>
    </w:p>
    <w:p w14:paraId="5584C14C" w14:textId="77777777" w:rsidR="00D21E79" w:rsidRPr="008D0377" w:rsidRDefault="00D21E79" w:rsidP="00D21E79">
      <w:pPr>
        <w:pStyle w:val="JuristischerAbsatznummeriert"/>
      </w:pPr>
      <w:r w:rsidRPr="008D0377">
        <w:t>Ergibt sich auf Grund einer Abschätzung nach § 12 Absatz 3 der hinreichende Verdacht einer schädlichen Bodenveränderung oder Altlast, sollen durch eine weitergehende Sickerwasserprognose die Schadstoffeinträge in das Grundwasser abgeschätzt werden. Ergänzend kann die zuständige Behörde eine Einmischungsprognose verlangen.</w:t>
      </w:r>
    </w:p>
    <w:p w14:paraId="60F86802" w14:textId="77777777" w:rsidR="00D21E79" w:rsidRPr="00A10B6A" w:rsidRDefault="00D21E79" w:rsidP="00D21E79">
      <w:pPr>
        <w:pStyle w:val="JuristischerAbsatznummeriert"/>
      </w:pPr>
      <w:r w:rsidRPr="008D0377">
        <w:t>Die Detailuntersuchung kann auch die Ermittlung natürlich ablaufender Abbau- und Rückhalteprozesse umfassen, soweit sie als Standortbedingungen bei der Gefährdungsabschätzung zu berücksichtigen sind.</w:t>
      </w:r>
    </w:p>
    <w:p w14:paraId="34BB080B" w14:textId="77777777" w:rsidR="00D21E79" w:rsidRPr="00D21E79" w:rsidRDefault="00D21E79" w:rsidP="00D21E79">
      <w:pPr>
        <w:pStyle w:val="ParagraphBezeichner"/>
      </w:pPr>
    </w:p>
    <w:p w14:paraId="06305661" w14:textId="77777777" w:rsidR="00D21E79" w:rsidRPr="00D21E79" w:rsidRDefault="00D21E79" w:rsidP="00D21E79">
      <w:pPr>
        <w:pStyle w:val="Paragraphberschrift"/>
      </w:pPr>
      <w:bookmarkStart w:id="72" w:name="_Toc64379948"/>
      <w:r w:rsidRPr="008D0377">
        <w:t>Sickerwasserprognose</w:t>
      </w:r>
      <w:bookmarkEnd w:id="72"/>
    </w:p>
    <w:p w14:paraId="076E8C8D" w14:textId="77777777" w:rsidR="00D21E79" w:rsidRPr="008D0377" w:rsidRDefault="00D21E79" w:rsidP="00D21E79">
      <w:pPr>
        <w:pStyle w:val="JuristischerAbsatznummeriert"/>
      </w:pPr>
      <w:r w:rsidRPr="008D0377">
        <w:t>Die Prognose der Stoffkonzentration für einen Prüfwertvergleich am Ort der Beurteilung kann, auch unter Anwendung von Stofftransportmodellen, vorgenommen werden</w:t>
      </w:r>
    </w:p>
    <w:p w14:paraId="3712B160" w14:textId="77777777" w:rsidR="00D21E79" w:rsidRPr="008D0377" w:rsidRDefault="00D21E79" w:rsidP="00D21E79">
      <w:pPr>
        <w:pStyle w:val="NummerierungStufe1"/>
      </w:pPr>
      <w:r w:rsidRPr="008D0377">
        <w:t>auf der Grundlage von Materialuntersuchungen durch Elution mit Wasser in Verbindung mit einer Transportprognose,</w:t>
      </w:r>
    </w:p>
    <w:p w14:paraId="632B7389" w14:textId="77777777" w:rsidR="00D21E79" w:rsidRPr="008D0377" w:rsidRDefault="00D21E79" w:rsidP="00D21E79">
      <w:pPr>
        <w:pStyle w:val="NummerierungStufe1"/>
      </w:pPr>
      <w:r w:rsidRPr="008D0377">
        <w:lastRenderedPageBreak/>
        <w:t xml:space="preserve">durch Rückschlüsse oder Rückrechnungen aus Untersuchungen im </w:t>
      </w:r>
      <w:proofErr w:type="spellStart"/>
      <w:r w:rsidRPr="008D0377">
        <w:t>Grundwasserabstrom</w:t>
      </w:r>
      <w:proofErr w:type="spellEnd"/>
      <w:r w:rsidRPr="008D0377">
        <w:t xml:space="preserve"> unter Berücksichtigung der Stoffkonzentration im </w:t>
      </w:r>
      <w:proofErr w:type="spellStart"/>
      <w:r w:rsidRPr="008D0377">
        <w:t>Grundwasseranstrom</w:t>
      </w:r>
      <w:proofErr w:type="spellEnd"/>
      <w:r w:rsidRPr="008D0377">
        <w:t>, der Verdünnung, des Schadstoffverhaltens in der wasserungesättigten und der wassergesättigten Bodenzone sowie des Schadstoffinventars im Boden oder</w:t>
      </w:r>
    </w:p>
    <w:p w14:paraId="14FC2970" w14:textId="77777777" w:rsidR="00D21E79" w:rsidRPr="008D0377" w:rsidRDefault="00D21E79" w:rsidP="00D21E79">
      <w:pPr>
        <w:pStyle w:val="NummerierungStufe1"/>
      </w:pPr>
      <w:r w:rsidRPr="008D0377">
        <w:t>auf der Grundlage von in-situ-Untersuchungen.</w:t>
      </w:r>
    </w:p>
    <w:p w14:paraId="28CE58EC" w14:textId="77777777" w:rsidR="00D21E79" w:rsidRPr="008D0377" w:rsidRDefault="00D21E79" w:rsidP="00D21E79">
      <w:pPr>
        <w:pStyle w:val="JuristischerAbsatznummeriert"/>
      </w:pPr>
      <w:r w:rsidRPr="008D0377">
        <w:t xml:space="preserve">Wenn im Einzelfall ein Eindringen von sauren Sickerwässern, ein Eindringen von Lösevermittlern oder eine Änderung des Reduktions- und Oxidations-Potentials zu erwarten ist, sollen entsprechende weitere Extraktions-, </w:t>
      </w:r>
      <w:proofErr w:type="spellStart"/>
      <w:r w:rsidRPr="008D0377">
        <w:t>Elutions</w:t>
      </w:r>
      <w:proofErr w:type="spellEnd"/>
      <w:r w:rsidRPr="008D0377">
        <w:t>- oder Perkolationsverfahren angewendet werden.</w:t>
      </w:r>
    </w:p>
    <w:p w14:paraId="0F362829" w14:textId="77777777" w:rsidR="00D21E79" w:rsidRPr="008D0377" w:rsidRDefault="00D21E79" w:rsidP="00D21E79">
      <w:pPr>
        <w:pStyle w:val="JuristischerAbsatznummeriert"/>
      </w:pPr>
      <w:r w:rsidRPr="008D0377">
        <w:t>Bei der Prognose ist insbesondere die Abbau- und Rückhaltewirkung der wasserungesättigten Zone zu berücksichtigen. Hierbei sind insbesondere folgende Kriterien maßgebend:</w:t>
      </w:r>
    </w:p>
    <w:p w14:paraId="2BAF58E1" w14:textId="77777777" w:rsidR="00D21E79" w:rsidRPr="008D0377" w:rsidRDefault="00D21E79" w:rsidP="00D21E79">
      <w:pPr>
        <w:pStyle w:val="NummerierungStufe1"/>
      </w:pPr>
      <w:r w:rsidRPr="008D0377">
        <w:t>Länge der Sickerstrecke,</w:t>
      </w:r>
    </w:p>
    <w:p w14:paraId="00F17B1F" w14:textId="77777777" w:rsidR="00D21E79" w:rsidRPr="008D0377" w:rsidRDefault="00D21E79" w:rsidP="00D21E79">
      <w:pPr>
        <w:pStyle w:val="NummerierungStufe1"/>
      </w:pPr>
      <w:r w:rsidRPr="008D0377">
        <w:t>Bodenart,</w:t>
      </w:r>
    </w:p>
    <w:p w14:paraId="4B0CFD66" w14:textId="77777777" w:rsidR="00D21E79" w:rsidRPr="008D0377" w:rsidRDefault="00D21E79" w:rsidP="00D21E79">
      <w:pPr>
        <w:pStyle w:val="NummerierungStufe1"/>
      </w:pPr>
      <w:r w:rsidRPr="008D0377">
        <w:t>Gehalt an organischer Substanz,</w:t>
      </w:r>
    </w:p>
    <w:p w14:paraId="4C62012E" w14:textId="77777777" w:rsidR="00D21E79" w:rsidRPr="008D0377" w:rsidRDefault="00D21E79" w:rsidP="00D21E79">
      <w:pPr>
        <w:pStyle w:val="NummerierungStufe1"/>
      </w:pPr>
      <w:r w:rsidRPr="008D0377">
        <w:t>pH-Wert,</w:t>
      </w:r>
    </w:p>
    <w:p w14:paraId="66D41FD2" w14:textId="77777777" w:rsidR="00D21E79" w:rsidRPr="008D0377" w:rsidRDefault="00D21E79" w:rsidP="00D21E79">
      <w:pPr>
        <w:pStyle w:val="NummerierungStufe1"/>
      </w:pPr>
      <w:r w:rsidRPr="008D0377">
        <w:t>Sickerwasserrate,</w:t>
      </w:r>
    </w:p>
    <w:p w14:paraId="72D59A85" w14:textId="77777777" w:rsidR="00D21E79" w:rsidRPr="008D0377" w:rsidRDefault="00D21E79" w:rsidP="00D21E79">
      <w:pPr>
        <w:pStyle w:val="NummerierungStufe1"/>
      </w:pPr>
      <w:r w:rsidRPr="008D0377">
        <w:t>Grundwasserneubildungsrate sowie</w:t>
      </w:r>
    </w:p>
    <w:p w14:paraId="0795DB5A" w14:textId="77777777" w:rsidR="00D21E79" w:rsidRPr="008D0377" w:rsidRDefault="00D21E79" w:rsidP="00D21E79">
      <w:pPr>
        <w:pStyle w:val="NummerierungStufe1"/>
      </w:pPr>
      <w:r w:rsidRPr="008D0377">
        <w:t>Mobilität, Mobilisierbarkeit und Abbaubarkeit der Stoffe.</w:t>
      </w:r>
    </w:p>
    <w:p w14:paraId="1B0CC910" w14:textId="77777777" w:rsidR="00D21E79" w:rsidRPr="008D0377" w:rsidRDefault="00D21E79" w:rsidP="00D21E79">
      <w:pPr>
        <w:pStyle w:val="JuristischerAbsatznummeriert"/>
      </w:pPr>
      <w:r w:rsidRPr="008D0377">
        <w:t>Bei direkter Beprobung und Untersuchung von Sickerwasser und Grundwasser ist bei der Bewertung die witterungsbedingte Variabilität der ermittelten Stoffkonzentrationen zu berücksichtigen.</w:t>
      </w:r>
    </w:p>
    <w:p w14:paraId="548A3B96" w14:textId="77777777" w:rsidR="00D21E79" w:rsidRPr="00A10B6A" w:rsidRDefault="00D21E79" w:rsidP="00D21E79">
      <w:pPr>
        <w:pStyle w:val="JuristischerAbsatznummeriert"/>
        <w:tabs>
          <w:tab w:val="clear" w:pos="850"/>
        </w:tabs>
      </w:pPr>
      <w:r w:rsidRPr="008D0377">
        <w:t xml:space="preserve">Bei der Einmischungsprognose gemäß § 12 Absatz 3 und § 13 Absatz 4 soll die Einmischung des Sickerwassers in das Grundwasser über eine pauschale </w:t>
      </w:r>
      <w:proofErr w:type="spellStart"/>
      <w:r w:rsidRPr="008D0377">
        <w:t>Einmischtiefe</w:t>
      </w:r>
      <w:proofErr w:type="spellEnd"/>
      <w:r w:rsidRPr="008D0377">
        <w:t xml:space="preserve"> von einem Meter rechnerisch berücksichtigt werden. Die Bezugsfläche dieses anrechenbaren Grundwasservolumens ist diejenige, auf der Prüfwertüberschreitungen im Sickerwasser festgestellt oder abgeschätzt werden.</w:t>
      </w:r>
    </w:p>
    <w:p w14:paraId="561CBBFD" w14:textId="77777777" w:rsidR="00D21E79" w:rsidRPr="00D21E79" w:rsidRDefault="00D21E79" w:rsidP="00D21E79">
      <w:pPr>
        <w:pStyle w:val="ParagraphBezeichner"/>
      </w:pPr>
    </w:p>
    <w:p w14:paraId="2764B23A" w14:textId="77777777" w:rsidR="00D21E79" w:rsidRPr="00D21E79" w:rsidRDefault="00D21E79" w:rsidP="00D21E79">
      <w:pPr>
        <w:pStyle w:val="Paragraphberschrift"/>
      </w:pPr>
      <w:bookmarkStart w:id="73" w:name="_Toc64379950"/>
      <w:r w:rsidRPr="008D0377">
        <w:t>Bewertung</w:t>
      </w:r>
      <w:bookmarkEnd w:id="73"/>
    </w:p>
    <w:p w14:paraId="5D162253" w14:textId="77777777" w:rsidR="00D21E79" w:rsidRPr="008D0377" w:rsidRDefault="00D21E79" w:rsidP="00D21E79">
      <w:pPr>
        <w:pStyle w:val="JuristischerAbsatznummeriert"/>
      </w:pPr>
      <w:r w:rsidRPr="008D0377">
        <w:t xml:space="preserve">Die Ergebnisse der Untersuchungen nach den §§ 12 bis 14 sind unter Beachtung der Umstände des Einzelfalls insbesondere anhand der Prüf- und Maßnahmenwerte nach Anlage 2 unter Berücksichtigung der jeweiligen Anwendungshinweise zu bewerten. Die Prüf- und Maßnahmenwerte nach Anlage 2 Tabelle 4 bis 8 gelten für die in Anlage 3 Tabelle 3 genannten </w:t>
      </w:r>
      <w:proofErr w:type="spellStart"/>
      <w:r w:rsidRPr="008D0377">
        <w:t>Beprobungstiefen</w:t>
      </w:r>
      <w:proofErr w:type="spellEnd"/>
      <w:r w:rsidRPr="008D0377">
        <w:t xml:space="preserve">. Für die dort für den Wirkungspfad Boden-Nutzpflanze jeweils genannten größeren </w:t>
      </w:r>
      <w:proofErr w:type="spellStart"/>
      <w:r w:rsidRPr="008D0377">
        <w:t>Beprobungstiefen</w:t>
      </w:r>
      <w:proofErr w:type="spellEnd"/>
      <w:r w:rsidRPr="008D0377">
        <w:t xml:space="preserve"> sind die 1,5-fachen Werte maßgeblich.</w:t>
      </w:r>
    </w:p>
    <w:p w14:paraId="352FC064" w14:textId="77777777" w:rsidR="00D21E79" w:rsidRPr="008D0377" w:rsidRDefault="00D21E79" w:rsidP="00D21E79">
      <w:pPr>
        <w:pStyle w:val="JuristischerAbsatznummeriert"/>
      </w:pPr>
      <w:r w:rsidRPr="008D0377">
        <w:t>Werden nach den durchgeführten Untersuchungen und Prognosen die in Anlage 2Tabelle 1 bis 4 und 6 bis 8 festgelegten Prüfwerte nicht überschritten, besteht insoweit nicht der Verdacht einer schädlichen Bodenveränderung oder Altlast.</w:t>
      </w:r>
    </w:p>
    <w:p w14:paraId="03F487EF" w14:textId="77777777" w:rsidR="00D21E79" w:rsidRPr="008D0377" w:rsidRDefault="00D21E79" w:rsidP="00D21E79">
      <w:pPr>
        <w:pStyle w:val="JuristischerAbsatznummeriert"/>
      </w:pPr>
      <w:r w:rsidRPr="008D0377">
        <w:lastRenderedPageBreak/>
        <w:t>Die Ergebnisse der Detailuntersuchung sind unter Beachtung der Umstände des Einzelfalls daraufhin zu bewerten, inwieweit Sanierungs-, Schutz- oder Beschränkungsmaßnahmen im Sinne des § 2 Absatz 7 und 8 des Bundes-Bodenschutzgesetzes erforderlich sind. Treffen im Einzelfall alle bei der Ableitung eines Prüfwertes angenommenen ungünstigen Umstände zusammen, können Maßnahmen bereits dann erforderlich sein, wenn der Gehalt oder die Konzentration eines Schadstoffes geringfügig oberhalb des jeweiligen Prüfwertes liegt.</w:t>
      </w:r>
    </w:p>
    <w:p w14:paraId="570F99DD" w14:textId="77777777" w:rsidR="00D21E79" w:rsidRPr="008D0377" w:rsidRDefault="00D21E79" w:rsidP="00D21E79">
      <w:pPr>
        <w:pStyle w:val="JuristischerAbsatznummeriert"/>
      </w:pPr>
      <w:r w:rsidRPr="008D0377">
        <w:t>Wenn in dieser Verordnung für einen Schadstoff kein Prüf- oder Maßnahmenwert festgelegt ist, sind für seine Bewertung die zur Ableitung der festgelegten Prüf- und Maßnahmenwerte dieser Verordnung herangezogenen Methoden und Maßstäbe zu beachten. Die Methoden und Maßstäbe sind im Bundesanzeiger Nummer 161a vom 28. August 1999 veröffentlicht.</w:t>
      </w:r>
    </w:p>
    <w:p w14:paraId="0C8E9C6A" w14:textId="77777777" w:rsidR="00D21E79" w:rsidRPr="008D0377" w:rsidRDefault="00D21E79" w:rsidP="00D21E79">
      <w:pPr>
        <w:pStyle w:val="JuristischerAbsatznummeriert"/>
      </w:pPr>
      <w:r w:rsidRPr="008D0377">
        <w:t>Erfolgt innerhalb einer Verdachtsfläche oder altlastverdächtigen Fläche auf Teilflächen eine von der vorherrschenden Nutzung abweichende empfindlichere Nutzung, sind diese Teilflächen nach den für ihre Nutzung festgelegten Prüf- und Maßnahmenwerten zu bewerten.</w:t>
      </w:r>
    </w:p>
    <w:p w14:paraId="56133BEA" w14:textId="77777777" w:rsidR="00D21E79" w:rsidRPr="008D0377" w:rsidRDefault="00D21E79" w:rsidP="00D21E79">
      <w:pPr>
        <w:pStyle w:val="JuristischerAbsatznummeriert"/>
      </w:pPr>
      <w:r w:rsidRPr="008D0377">
        <w:t>Naturbedingt erhöhte Gehalte an Schadstoffen begründen nur dann den Verdacht einer schädlichen Bodenveränderung, wenn diese Stoffe durch Einwirkungen auf den Boden in erheblichem Umfang freigesetzt wurden oder werden. Bei Böden mit großflächig siedlungsbedingt erhöhten Schadstoffgehalten kann ein Vergleich dieser Gehalte mit den im Einzelfall ermittelten Schadstoffgehalten in die Gefahrenbeurteilung einbezogen werden.</w:t>
      </w:r>
    </w:p>
    <w:p w14:paraId="3AEE5CB2" w14:textId="77777777" w:rsidR="00D21E79" w:rsidRPr="008D0377" w:rsidRDefault="00D21E79" w:rsidP="00D21E79">
      <w:pPr>
        <w:pStyle w:val="JuristischerAbsatznummeriert"/>
      </w:pPr>
      <w:r w:rsidRPr="008D0377">
        <w:t>Neben dem Eintrag über das Sickerwasser sind auch Einträge von Schadstoffen über die Bodenluft oder über flüssige Phasen in das Grundwasser bei der Bewertung zu berücksichtigen.</w:t>
      </w:r>
    </w:p>
    <w:p w14:paraId="6566E696" w14:textId="77777777" w:rsidR="00D21E79" w:rsidRPr="00A10B6A" w:rsidRDefault="00D21E79" w:rsidP="00D21E79">
      <w:pPr>
        <w:pStyle w:val="JuristischerAbsatznummeriert"/>
      </w:pPr>
      <w:r w:rsidRPr="008D0377">
        <w:t>Bei der Bewertung der Untersuchungsergebnisse und der Entscheidung über die zu treffenden Maßnahmen ist zu berücksichtigen, ob erhöhte Schadstoffkonzentrationen im Sickerwasser oder andere Schadstoffausträge auf Dauer nur geringe Schadstofffrachten und nur lokal begrenzt erhöhte Schadstoffkonzentrationen in Gewässern erwarten lassen.</w:t>
      </w:r>
    </w:p>
    <w:p w14:paraId="37A90519" w14:textId="77777777" w:rsidR="00D21E79" w:rsidRPr="00D21E79" w:rsidRDefault="00D21E79" w:rsidP="00D21E79">
      <w:pPr>
        <w:pStyle w:val="ParagraphBezeichner"/>
      </w:pPr>
    </w:p>
    <w:p w14:paraId="6A356C8B" w14:textId="77777777" w:rsidR="00D21E79" w:rsidRPr="00D21E79" w:rsidRDefault="00D21E79" w:rsidP="00D21E79">
      <w:pPr>
        <w:pStyle w:val="Paragraphberschrift"/>
      </w:pPr>
      <w:bookmarkStart w:id="74" w:name="_Toc64379952"/>
      <w:r w:rsidRPr="008D0377">
        <w:t>Sanierungsuntersuchungen und Sanierungsplanung</w:t>
      </w:r>
      <w:bookmarkEnd w:id="74"/>
    </w:p>
    <w:p w14:paraId="1E91EFE2" w14:textId="77777777" w:rsidR="00D21E79" w:rsidRPr="008D0377" w:rsidRDefault="00D21E79" w:rsidP="00D21E79">
      <w:pPr>
        <w:pStyle w:val="JuristischerAbsatznummeriert"/>
      </w:pPr>
      <w:r w:rsidRPr="008D0377">
        <w:t>Ziel von Sanierungsuntersuchungen ist, anhand eines Sanierungsziels zu ermitteln, mit welchen Maßnahmen eine Sanierung im Sinne des § 4 Absatz 3 des Bundes-Bodenschutzgesetzes erreicht werden kann, inwieweit Veränderungen des Bodens nach der Sanierung verbleiben und welche rechtlichen, organisatorischen und finanziellen Umstände für die Durchführung der Maßnahmen von Bedeutung sind.</w:t>
      </w:r>
    </w:p>
    <w:p w14:paraId="74EBA44E" w14:textId="1435FCD1" w:rsidR="00D21E79" w:rsidRPr="008D0377" w:rsidRDefault="00D21E79" w:rsidP="00174E3F">
      <w:pPr>
        <w:pStyle w:val="JuristischerAbsatznummeriert"/>
      </w:pPr>
      <w:r w:rsidRPr="008D0377">
        <w:t xml:space="preserve">Im Rahmen von Sanierungsuntersuchungen sind die geeigneten, erforderlichen und angemessenen Maßnahmen unter Berücksichtigung von Maßnahmenkombinationen zu ermitteln. Insbesondere sind die Eignung der Verfahren, deren technische Durchführbarkeit, Zuverlässigkeit, Verfügbarkeit und Nachhaltigkeit, der erforderliche Zeitaufwand, die Wirkungsdauer der Maßnahmen und deren Überwachungsmöglichkeiten, die Erfordernisse der Nachsorge und die Nachbesserungsmöglichkeiten, die Auswirkungen auf die Betroffenen im Sinne des § 12 Satz 1 des Bundes-Bodenschutzgesetzes und auf die Umwelt, Zulassungserfordernisse sowie die Entstehung, Verwertung und Beseitigung von Abfällen zu prüfen und miteinander zu vergleichen. Die Ergebnisse der Prüfung und das </w:t>
      </w:r>
      <w:r w:rsidRPr="008D0377">
        <w:lastRenderedPageBreak/>
        <w:t>danach vorzugswürdige Maßnahmenkonzept sind mit einer Abschätzung der Kosten darzustellen.</w:t>
      </w:r>
    </w:p>
    <w:p w14:paraId="3AFB7A5D" w14:textId="283D595B" w:rsidR="00D21E79" w:rsidRPr="008D0377" w:rsidRDefault="00D21E79" w:rsidP="00174E3F">
      <w:pPr>
        <w:pStyle w:val="JuristischerAbsatznummeriert"/>
      </w:pPr>
      <w:r w:rsidRPr="008D0377">
        <w:t>Bei der Erstellung eines Sanierungsplans sind die Maßnahmen nach § 13 Absatz 1 Satz 1 Nummer 3 des Bundes-Bodenschutzgesetzes textlich und zeichnerisch vollständig darzustellen. Im Sanierungsplan ist darzulegen, dass die vorgesehenen Maßnahmen geeignet sind, dauerhaft Gefahren, erhebliche Nachteile oder erhebliche Belästigungen für den einzelnen oder die Allgemeinheit zu vermeiden. Darzustellen sind insbesondere auch die Auswirkungen der Maßnahmen auf die Umwelt und die voraussichtlichen Kosten sowie die erforderlichen Zulassungen, auch soweit ein verbindlicher Sanierungsplan nach § 13 Absatz 6 des Bundes-Bodenschutzgesetzes diese nicht einschließen kann.</w:t>
      </w:r>
    </w:p>
    <w:p w14:paraId="6DB329DA" w14:textId="2A5B9427" w:rsidR="00D21E79" w:rsidRPr="008D0377" w:rsidRDefault="00D21E79" w:rsidP="00174E3F">
      <w:pPr>
        <w:pStyle w:val="JuristischerAbsatznummeriert"/>
      </w:pPr>
      <w:r w:rsidRPr="008D0377">
        <w:t>Über die in § 13 Absatz 1 Satz 1 des Bundes-Bodenschutzgesetzes aufgeführten Angaben hinaus soll ein Sanierungsplan Angaben enthalten zu</w:t>
      </w:r>
    </w:p>
    <w:p w14:paraId="0D598D2E" w14:textId="77777777" w:rsidR="00D21E79" w:rsidRPr="008D0377" w:rsidRDefault="00D21E79" w:rsidP="00174E3F">
      <w:pPr>
        <w:pStyle w:val="NummerierungStufe1"/>
      </w:pPr>
      <w:r w:rsidRPr="008D0377">
        <w:t>den Standortverhältnissen,</w:t>
      </w:r>
    </w:p>
    <w:p w14:paraId="3F89D04A" w14:textId="77777777" w:rsidR="00D21E79" w:rsidRPr="008D0377" w:rsidRDefault="00D21E79" w:rsidP="00174E3F">
      <w:pPr>
        <w:pStyle w:val="NummerierungStufe1"/>
      </w:pPr>
      <w:r w:rsidRPr="008D0377">
        <w:t>der äußeren Abgrenzung des Sanierungsplans sowie dem Einwirkungsbereich, der durch die Altlast und die Schadstoffausbreitung bereits betroffen ist oder der durch die vorgesehenen Maßnahmen zu prognostizieren ist,</w:t>
      </w:r>
    </w:p>
    <w:p w14:paraId="250871AA" w14:textId="77777777" w:rsidR="00D21E79" w:rsidRPr="008D0377" w:rsidRDefault="00D21E79" w:rsidP="00174E3F">
      <w:pPr>
        <w:pStyle w:val="NummerierungStufe1"/>
      </w:pPr>
      <w:r w:rsidRPr="008D0377">
        <w:t>der technischen Ausgestaltung von Sanierungsmaßnahmen sowie Art und Umfang sonstiger Maßnahmen, den Elementen und dem Ablauf der Sanierung,</w:t>
      </w:r>
    </w:p>
    <w:p w14:paraId="4FFD44DF" w14:textId="77777777" w:rsidR="00D21E79" w:rsidRPr="008D0377" w:rsidRDefault="00D21E79" w:rsidP="00174E3F">
      <w:pPr>
        <w:pStyle w:val="NummerierungStufe1"/>
      </w:pPr>
      <w:r w:rsidRPr="008D0377">
        <w:t>fachspezifischen Berechnungen zu den Maßnahmenkomponenten,</w:t>
      </w:r>
    </w:p>
    <w:p w14:paraId="42480F1B" w14:textId="77777777" w:rsidR="00D21E79" w:rsidRPr="008D0377" w:rsidRDefault="00D21E79" w:rsidP="00174E3F">
      <w:pPr>
        <w:pStyle w:val="NummerierungStufe1"/>
      </w:pPr>
      <w:r w:rsidRPr="008D0377">
        <w:t>den Eigenkontrollmaßnahmen zur Überprüfung der sachgerechten Ausführung und Wirksamkeit der vorgesehenen Maßnahmen,</w:t>
      </w:r>
    </w:p>
    <w:p w14:paraId="61784E75" w14:textId="77777777" w:rsidR="00D21E79" w:rsidRPr="008D0377" w:rsidRDefault="00D21E79" w:rsidP="00174E3F">
      <w:pPr>
        <w:pStyle w:val="NummerierungStufe1"/>
      </w:pPr>
      <w:r w:rsidRPr="008D0377">
        <w:t>den zu behandelnden Mengen und den Transport-, Verwertungs- und Entsorgungswegen,</w:t>
      </w:r>
    </w:p>
    <w:p w14:paraId="5F66BB90" w14:textId="77777777" w:rsidR="00D21E79" w:rsidRPr="008D0377" w:rsidRDefault="00D21E79" w:rsidP="00174E3F">
      <w:pPr>
        <w:pStyle w:val="NummerierungStufe1"/>
      </w:pPr>
      <w:r w:rsidRPr="008D0377">
        <w:t>den getroffenen behördlichen Entscheidungen und den geschlossenen öffentlich-rechtlichen Verträgen, die sich auf die Erfüllung der Pflichten nach § 4 des Bundes-Bodenschutzgesetzes auswirken,</w:t>
      </w:r>
    </w:p>
    <w:p w14:paraId="03367415" w14:textId="77777777" w:rsidR="00D21E79" w:rsidRPr="008D0377" w:rsidRDefault="00D21E79" w:rsidP="00174E3F">
      <w:pPr>
        <w:pStyle w:val="NummerierungStufe1"/>
      </w:pPr>
      <w:r w:rsidRPr="008D0377">
        <w:t>den behördlichen Zulassungserfordernissen für die durchzuführenden Maßnahmen,</w:t>
      </w:r>
    </w:p>
    <w:p w14:paraId="5B100B44" w14:textId="77777777" w:rsidR="00D21E79" w:rsidRPr="008D0377" w:rsidRDefault="00D21E79" w:rsidP="00174E3F">
      <w:pPr>
        <w:pStyle w:val="NummerierungStufe1"/>
      </w:pPr>
      <w:r w:rsidRPr="008D0377">
        <w:t>den für eine Verbindlichkeitserklärung nach § 13 Absatz 6 des Bundes-Bodenschutzgesetzes durch die zuständige Behörde geforderten Angaben und Unterlagen sowie</w:t>
      </w:r>
    </w:p>
    <w:p w14:paraId="118D0E0B" w14:textId="77777777" w:rsidR="00D21E79" w:rsidRPr="008D0377" w:rsidRDefault="00D21E79" w:rsidP="00174E3F">
      <w:pPr>
        <w:pStyle w:val="NummerierungStufe1"/>
      </w:pPr>
      <w:r w:rsidRPr="008D0377">
        <w:t>dem Zeitplan und den Kosten.</w:t>
      </w:r>
    </w:p>
    <w:p w14:paraId="6F44F3BF" w14:textId="4403A496" w:rsidR="00D21E79" w:rsidRPr="008D0377" w:rsidRDefault="00D21E79" w:rsidP="00174E3F">
      <w:pPr>
        <w:pStyle w:val="JuristischerAbsatznummeriert"/>
      </w:pPr>
      <w:r w:rsidRPr="008D0377">
        <w:t>Soll Bodenmaterial im Rahmen der Sanierung im Bereich derselben schädlichen Bodenveränderung oder Altlast oder innerhalb des Gebietes eines für verbindlich erklärten Sanierungsplans umgelagert werden, sind die Anforderungen nach § 4 Absatz 3 des Bundes-Bodenschutzgesetzes zu erfüllen.</w:t>
      </w:r>
    </w:p>
    <w:p w14:paraId="495919DE" w14:textId="5B41F71D" w:rsidR="00174E3F" w:rsidRPr="00174E3F" w:rsidRDefault="00174E3F" w:rsidP="00174E3F">
      <w:pPr>
        <w:pStyle w:val="ParagraphBezeichner"/>
      </w:pPr>
    </w:p>
    <w:p w14:paraId="467E972D" w14:textId="7DDBE2D8" w:rsidR="00174E3F" w:rsidRPr="00174E3F" w:rsidRDefault="00174E3F" w:rsidP="00174E3F">
      <w:pPr>
        <w:pStyle w:val="Paragraphberschrift"/>
      </w:pPr>
      <w:bookmarkStart w:id="75" w:name="_Toc64379954"/>
      <w:r w:rsidRPr="008D0377">
        <w:t>Sanierungsmaßnahmen, Schutz- und Beschränkungsmaßnahmen, natürliche Schadstoffminderung</w:t>
      </w:r>
      <w:bookmarkEnd w:id="75"/>
    </w:p>
    <w:p w14:paraId="002787CA" w14:textId="77777777" w:rsidR="00174E3F" w:rsidRPr="008D0377" w:rsidRDefault="00174E3F" w:rsidP="00174E3F">
      <w:pPr>
        <w:pStyle w:val="JuristischerAbsatznummeriert"/>
      </w:pPr>
      <w:r w:rsidRPr="008D0377">
        <w:t xml:space="preserve">Dekontaminations- und Sicherungsmaßnahmen müssen gewährleisten oder wesentlich dazu beitragen, dass durch im Boden oder in Altlasten verbleibende Schadstoffe </w:t>
      </w:r>
      <w:r w:rsidRPr="008D0377">
        <w:lastRenderedPageBreak/>
        <w:t>und deren Umwandlungsprodukte dauerhaft keine Gefahren, erheblichen Nachteile oder erheblichen Belästigungen für den einzelnen oder die Allgemeinheit bestehen.</w:t>
      </w:r>
    </w:p>
    <w:p w14:paraId="5F87B507" w14:textId="5F0ACAF4" w:rsidR="00174E3F" w:rsidRPr="008D0377" w:rsidRDefault="00174E3F" w:rsidP="00174E3F">
      <w:pPr>
        <w:pStyle w:val="JuristischerAbsatznummeriert"/>
      </w:pPr>
      <w:r w:rsidRPr="008D0377">
        <w:t>Wenn Schadstoffe nach § 4 Absatz 5 des Bundes-Bodenschutzgesetzes zu beseitigen sind und eine Vorbelastung besteht, sind von den nach § 4 Absatz 3, 5 oder 6 des Bundes-Bodenschutzgesetzes Pflichtigen grundsätzlich die Leistungen zu verlangen, die sie ohne Vorbelastung zu erbringen hätten. Die zuvor bestehenden Nutzungsmöglichkeiten des Grundstücks sollen wiederhergestellt werden.</w:t>
      </w:r>
    </w:p>
    <w:p w14:paraId="3E683A05" w14:textId="529B7C9B" w:rsidR="00174E3F" w:rsidRPr="008D0377" w:rsidRDefault="00174E3F" w:rsidP="00174E3F">
      <w:pPr>
        <w:pStyle w:val="JuristischerAbsatznummeriert"/>
      </w:pPr>
      <w:r w:rsidRPr="008D0377">
        <w:t>Nach Abschluss einer Dekontaminationsmaßnahme ist das Erreichen des Sanierungsziels gegenüber der zuständigen Behörde nachzuweisen. Die Wirksamkeit von Sicherungsmaßnahmen ist für den von der zuständigen Behörde bestimmten Zeitraum zu überwachen und zu gewährleisten sowie gegenüber der zuständigen Behörde nachzuweisen.</w:t>
      </w:r>
    </w:p>
    <w:p w14:paraId="295AC166" w14:textId="3CC9A190" w:rsidR="00174E3F" w:rsidRPr="008D0377" w:rsidRDefault="00174E3F" w:rsidP="00174E3F">
      <w:pPr>
        <w:pStyle w:val="JuristischerAbsatznummeriert"/>
      </w:pPr>
      <w:r w:rsidRPr="008D0377">
        <w:t>Im Rahmen der Entscheidung über Sanierungsmaßnahmen kann die natürliche Schadstoffminderung berücksichtigt werden, wenn</w:t>
      </w:r>
    </w:p>
    <w:p w14:paraId="19BA31F6" w14:textId="77777777" w:rsidR="00174E3F" w:rsidRPr="008D0377" w:rsidRDefault="00174E3F" w:rsidP="00174E3F">
      <w:pPr>
        <w:pStyle w:val="NummerierungStufe1"/>
      </w:pPr>
      <w:r w:rsidRPr="008D0377">
        <w:t xml:space="preserve">die Schadstoffminderungsprozesse identifiziert und hinreichend quantifizierbar sind, </w:t>
      </w:r>
    </w:p>
    <w:p w14:paraId="171B5DEC" w14:textId="77777777" w:rsidR="00174E3F" w:rsidRPr="008D0377" w:rsidRDefault="00174E3F" w:rsidP="00174E3F">
      <w:pPr>
        <w:pStyle w:val="NummerierungStufe1"/>
      </w:pPr>
      <w:r w:rsidRPr="008D0377">
        <w:t>die voraussichtliche Zeitdauer sowie Prognoseunsicherheiten beachtet werden,</w:t>
      </w:r>
    </w:p>
    <w:p w14:paraId="0FEED904" w14:textId="77777777" w:rsidR="00174E3F" w:rsidRPr="008D0377" w:rsidRDefault="00174E3F" w:rsidP="00174E3F">
      <w:pPr>
        <w:pStyle w:val="NummerierungStufe1"/>
      </w:pPr>
      <w:r w:rsidRPr="008D0377">
        <w:t>Zwischenziele und Überwachungsmaßnahmen festgelegt werden und</w:t>
      </w:r>
    </w:p>
    <w:p w14:paraId="59081D5B" w14:textId="77777777" w:rsidR="00174E3F" w:rsidRPr="008D0377" w:rsidRDefault="00174E3F" w:rsidP="00174E3F">
      <w:pPr>
        <w:pStyle w:val="NummerierungStufe1"/>
      </w:pPr>
      <w:r w:rsidRPr="008D0377">
        <w:t>Verdünnungsprozesse im Gesamtkonzept nur eine untergeordnete Rolle spielen.</w:t>
      </w:r>
    </w:p>
    <w:p w14:paraId="6E0EAB68" w14:textId="7D4AA3E1" w:rsidR="00174E3F" w:rsidRPr="008D0377" w:rsidRDefault="00174E3F" w:rsidP="00174E3F">
      <w:pPr>
        <w:pStyle w:val="JuristischerAbsatznummeriert"/>
      </w:pPr>
      <w:r w:rsidRPr="008D0377">
        <w:t xml:space="preserve">Auf land- oder forstwirtschaftlich genutzten Flächen kommen bei schädlichen Bodenveränderungen oder Altlasten insbesondere Schutz- und Beschränkungsmaßnahmen durch Anpassungen der Nutzung und der Bewirtschaftung von Böden sowie Maßnahmen </w:t>
      </w:r>
      <w:proofErr w:type="gramStart"/>
      <w:r w:rsidRPr="008D0377">
        <w:t>zur Veränderungen</w:t>
      </w:r>
      <w:proofErr w:type="gramEnd"/>
      <w:r w:rsidRPr="008D0377">
        <w:t xml:space="preserve"> der Bodenbeschaffenheit in Betracht. Über Art und Umfang der Maßnahmen ist zwischen den zuständigen Behörden Einvernehmen herzustellen. Über die Durchführung der getroffenen Schutz- und Beschränkungsmaßnahmen sind von </w:t>
      </w:r>
      <w:proofErr w:type="spellStart"/>
      <w:r w:rsidRPr="008D0377">
        <w:t>dennach</w:t>
      </w:r>
      <w:proofErr w:type="spellEnd"/>
      <w:r w:rsidRPr="008D0377">
        <w:t xml:space="preserve"> § 4 Absatz 3, 5 oder 6 des Bundes-Bodenschutzgesetzes Pflichtigen Aufzeichnungen zu führen, zehn Jahre lang aufzubewahren und der zuständigen Behörde auf Verlangen vorzulegen. § 17 Absatz 3 des Bundes-Bodenschutzgesetzes bleibt unberührt.</w:t>
      </w:r>
    </w:p>
    <w:p w14:paraId="060B7293" w14:textId="7AE7ABAD" w:rsidR="00174E3F" w:rsidRPr="008D0377" w:rsidRDefault="00174E3F" w:rsidP="00174E3F">
      <w:pPr>
        <w:pStyle w:val="JuristischerAbsatznummeriert"/>
      </w:pPr>
      <w:r w:rsidRPr="008D0377">
        <w:t>Maßnahmen zur Abwehr gegenwärtiger Gefahren können von der zuständigen Behörde auch ohne vorherige Untersuchung ergriffen oder angeordnet werden.</w:t>
      </w:r>
    </w:p>
    <w:p w14:paraId="27E819F8" w14:textId="3B7668ED" w:rsidR="00174E3F" w:rsidRPr="00174E3F" w:rsidRDefault="00174E3F" w:rsidP="00174E3F">
      <w:pPr>
        <w:pStyle w:val="AbschnittBezeichner"/>
      </w:pPr>
    </w:p>
    <w:p w14:paraId="1091BADB" w14:textId="5202428F" w:rsidR="00174E3F" w:rsidRPr="008D0377" w:rsidRDefault="00174E3F" w:rsidP="00174E3F">
      <w:pPr>
        <w:pStyle w:val="Abschnittberschrift"/>
      </w:pPr>
      <w:bookmarkStart w:id="76" w:name="_Toc64379956"/>
      <w:r w:rsidRPr="008D0377">
        <w:t>Vorerkundung, Probennahme und –</w:t>
      </w:r>
      <w:proofErr w:type="spellStart"/>
      <w:r w:rsidRPr="008D0377">
        <w:t>analyse</w:t>
      </w:r>
      <w:bookmarkEnd w:id="76"/>
      <w:proofErr w:type="spellEnd"/>
    </w:p>
    <w:p w14:paraId="7F6DD876" w14:textId="3BC036ED" w:rsidR="00174E3F" w:rsidRDefault="00174E3F" w:rsidP="00174E3F">
      <w:pPr>
        <w:pStyle w:val="ParagraphBezeichner"/>
      </w:pPr>
    </w:p>
    <w:p w14:paraId="5807E6CE" w14:textId="3AC1D54F" w:rsidR="00174E3F" w:rsidRPr="00174E3F" w:rsidRDefault="00174E3F" w:rsidP="00174E3F">
      <w:pPr>
        <w:pStyle w:val="Paragraphberschrift"/>
      </w:pPr>
      <w:bookmarkStart w:id="77" w:name="_Toc64379958"/>
      <w:r w:rsidRPr="008D0377">
        <w:t>Vorerkundung</w:t>
      </w:r>
      <w:bookmarkEnd w:id="77"/>
    </w:p>
    <w:p w14:paraId="5AEB171C" w14:textId="77777777" w:rsidR="00174E3F" w:rsidRPr="008D0377" w:rsidRDefault="00174E3F" w:rsidP="00174E3F">
      <w:pPr>
        <w:pStyle w:val="JuristischerAbsatznummeriert"/>
      </w:pPr>
      <w:r w:rsidRPr="008D0377">
        <w:t>Die Vorerkundung von Böden in situ und von Materialien in Haufwerken dient</w:t>
      </w:r>
    </w:p>
    <w:p w14:paraId="07E26FB5" w14:textId="77777777" w:rsidR="00174E3F" w:rsidRPr="008D0377" w:rsidRDefault="00174E3F" w:rsidP="00174E3F">
      <w:pPr>
        <w:pStyle w:val="NummerierungStufe1"/>
      </w:pPr>
      <w:r w:rsidRPr="008D0377">
        <w:t>einer Einschätzung der Beschaffenheit der Böden und Materialien, insbesondere zur Ermittlung des erforderlichen Untersuchungsumfangs und analytischen Untersuchungsbedarfs,</w:t>
      </w:r>
    </w:p>
    <w:p w14:paraId="14E420C3" w14:textId="77777777" w:rsidR="00174E3F" w:rsidRPr="008D0377" w:rsidRDefault="00174E3F" w:rsidP="00174E3F">
      <w:pPr>
        <w:pStyle w:val="NummerierungStufe1"/>
      </w:pPr>
      <w:r w:rsidRPr="008D0377">
        <w:t xml:space="preserve">als Grundlage einer repräsentativen Probennahme, insbesondere zur Entwicklung einer geeigneten </w:t>
      </w:r>
      <w:proofErr w:type="spellStart"/>
      <w:r w:rsidRPr="008D0377">
        <w:t>Probennahmestrategie</w:t>
      </w:r>
      <w:proofErr w:type="spellEnd"/>
      <w:r w:rsidRPr="008D0377">
        <w:t xml:space="preserve"> und</w:t>
      </w:r>
    </w:p>
    <w:p w14:paraId="0EC9A08D" w14:textId="77777777" w:rsidR="00174E3F" w:rsidRPr="008D0377" w:rsidRDefault="00174E3F" w:rsidP="00174E3F">
      <w:pPr>
        <w:pStyle w:val="NummerierungStufe1"/>
      </w:pPr>
      <w:r w:rsidRPr="008D0377">
        <w:lastRenderedPageBreak/>
        <w:t>der Bewertung der Ergebnisse analytischer Untersuchungen, insbesondere bei deren Übertragung auf den Untersuchungsraum.</w:t>
      </w:r>
    </w:p>
    <w:p w14:paraId="525E33F3" w14:textId="39A5BA62" w:rsidR="00174E3F" w:rsidRPr="008D0377" w:rsidRDefault="00174E3F" w:rsidP="00174E3F">
      <w:pPr>
        <w:pStyle w:val="JuristischerAbsatznummeriert"/>
      </w:pPr>
      <w:r w:rsidRPr="008D0377">
        <w:t xml:space="preserve">Im Rahmen der Vorerkundung sind vorhandene Hintergrundinformationen zu ermitteln und auszuwerten. Hierzu zählen aktuelle und historische Unterlagen, Luftbilder und Karten sowie Auskünfte und Stellungnahmen zuständiger Behörden. </w:t>
      </w:r>
    </w:p>
    <w:p w14:paraId="12979975" w14:textId="118B94D2" w:rsidR="00174E3F" w:rsidRPr="008D0377" w:rsidRDefault="00174E3F" w:rsidP="00174E3F">
      <w:pPr>
        <w:pStyle w:val="JuristischerAbsatznummeriert"/>
      </w:pPr>
      <w:r w:rsidRPr="008D0377">
        <w:t>Die gewonnenen Erkenntnisse sind durch eine Inaugenscheinnahme auf ihre Plausibilität zu überprüfen und, soweit dies für das weitere Vorgehen erforderlich ist, zu vertiefen und zu ergänzen. Im Rahmen der Inaugenscheinnahme sind insbesondere Auffälligkeiten in Hinblick auf anthropogene Veränderungen der Böden zu dokumentieren.</w:t>
      </w:r>
    </w:p>
    <w:p w14:paraId="217B4CDD" w14:textId="7C82ED63" w:rsidR="00174E3F" w:rsidRPr="008D0377" w:rsidRDefault="00174E3F" w:rsidP="00174E3F">
      <w:pPr>
        <w:pStyle w:val="JuristischerAbsatznummeriert"/>
      </w:pPr>
      <w:r w:rsidRPr="008D0377">
        <w:t>Bei der Vorerkundung sind die Anforderungen der DIN 19731 zu beachten.</w:t>
      </w:r>
    </w:p>
    <w:p w14:paraId="50C4B536" w14:textId="233CE2CB" w:rsidR="00174E3F" w:rsidRPr="008D0377" w:rsidRDefault="00174E3F" w:rsidP="00174E3F">
      <w:pPr>
        <w:pStyle w:val="JuristischerAbsatznummeriert"/>
      </w:pPr>
      <w:r w:rsidRPr="008D0377">
        <w:t xml:space="preserve">Liegen keine geeigneten bodenbezogenen Informationen vor, soll eine bodenkundliche Kartierung oder Bodenansprache auf der Grundlage der "Arbeitshilfe für die Bodenansprache im vor- und nachsorgenden Bodenschutz - Auszug aus der Bodenkundlichen </w:t>
      </w:r>
      <w:proofErr w:type="spellStart"/>
      <w:r w:rsidRPr="008D0377">
        <w:t>Kartieranleitung</w:t>
      </w:r>
      <w:proofErr w:type="spellEnd"/>
      <w:r w:rsidRPr="008D0377">
        <w:t xml:space="preserve"> KA 5" in dem Umfang durchgeführt werden, der für die jeweilige Fragestellung erforderlich ist.</w:t>
      </w:r>
    </w:p>
    <w:p w14:paraId="6FA6C8F3" w14:textId="539AFF53" w:rsidR="00174E3F" w:rsidRPr="00174E3F" w:rsidRDefault="00174E3F" w:rsidP="00174E3F">
      <w:pPr>
        <w:pStyle w:val="ParagraphBezeichner"/>
      </w:pPr>
    </w:p>
    <w:p w14:paraId="48F50F9F" w14:textId="2034F850" w:rsidR="00174E3F" w:rsidRPr="00174E3F" w:rsidRDefault="00174E3F" w:rsidP="00174E3F">
      <w:pPr>
        <w:pStyle w:val="Paragraphberschrift"/>
      </w:pPr>
      <w:bookmarkStart w:id="78" w:name="_Toc64379960"/>
      <w:r w:rsidRPr="008D0377">
        <w:t>Allgemeine Anforderungen an die Probenahme</w:t>
      </w:r>
      <w:bookmarkEnd w:id="78"/>
    </w:p>
    <w:p w14:paraId="36F8F27E" w14:textId="77777777" w:rsidR="00174E3F" w:rsidRPr="008D0377" w:rsidRDefault="00174E3F" w:rsidP="00174E3F">
      <w:pPr>
        <w:pStyle w:val="JuristischerAbsatznummeriert"/>
      </w:pPr>
      <w:r w:rsidRPr="008D0377">
        <w:t>Die Probennahme ist von Sachverständigen im Sinne des § 18 des Bundes-Bodenschutzgesetzes oder Personen mit vergleichbarer Sachkunde zu entwickeln und zu begründen, zu begleiten und zu dokumentieren. Die Probennahme ist von einer nach DIN EN ISO/IEC 17025 oder DIN EN ISO/IEC 17020 akkreditierten oder nach Regelungen der Länder gemäß § 18 Satz 2 des Bundes-Bodenschutzgesetzes notifizierten Untersuchungsstelle durchzuführen.</w:t>
      </w:r>
    </w:p>
    <w:p w14:paraId="2E9B7D8D" w14:textId="7E133A5C" w:rsidR="00174E3F" w:rsidRPr="008D0377" w:rsidRDefault="00174E3F" w:rsidP="00174E3F">
      <w:pPr>
        <w:pStyle w:val="JuristischerAbsatznummeriert"/>
      </w:pPr>
      <w:r w:rsidRPr="008D0377">
        <w:t>Die Probennahme muss sicherstellen, dass die zu untersuchenden Böden oder Materialien dem Ziel der Untersuchung entsprechend hinreichend repräsentativ erfasst werden.</w:t>
      </w:r>
    </w:p>
    <w:p w14:paraId="276692BA" w14:textId="14BFFD1E" w:rsidR="00174E3F" w:rsidRPr="008D0377" w:rsidRDefault="00174E3F" w:rsidP="00174E3F">
      <w:pPr>
        <w:pStyle w:val="JuristischerAbsatznummeriert"/>
      </w:pPr>
      <w:r w:rsidRPr="008D0377">
        <w:t>Die Probennahme hat insbesondere das jeweilige Ziel der Untersuchung, die örtlichen Umstände, die Eigenarten des zu untersuchenden Materials, die zu untersuchenden Parameter, sowie den erforderlichen Umfang an Genauigkeit und Zuverlässigkeit der Ergebnisse zu berücksichtigen. Die Hinweise der DIN ISO 10381-1 sind zu berücksichtigen.</w:t>
      </w:r>
    </w:p>
    <w:p w14:paraId="1BB6248F" w14:textId="5006C973" w:rsidR="00174E3F" w:rsidRPr="008D0377" w:rsidRDefault="00174E3F" w:rsidP="00174E3F">
      <w:pPr>
        <w:pStyle w:val="JuristischerAbsatznummeriert"/>
      </w:pPr>
      <w:r w:rsidRPr="008D0377">
        <w:t xml:space="preserve">Liegen Hinweise auf Inhomogenitäten oder </w:t>
      </w:r>
      <w:proofErr w:type="spellStart"/>
      <w:r w:rsidRPr="008D0377">
        <w:t>Heterogenitäten</w:t>
      </w:r>
      <w:proofErr w:type="spellEnd"/>
      <w:r w:rsidRPr="008D0377">
        <w:t xml:space="preserve"> in dem zu untersuchenden Boden in situ oder in dem zu untersuchenden Haufwerk vor, ist für die Probennahme, soweit möglich, eine für die jeweilige Fragestellung geeignete Untergliederung in Teilbereiche vorzunehmen.</w:t>
      </w:r>
    </w:p>
    <w:p w14:paraId="2271B50F" w14:textId="4684CAE3" w:rsidR="00174E3F" w:rsidRPr="008D0377" w:rsidRDefault="00174E3F" w:rsidP="00174E3F">
      <w:pPr>
        <w:pStyle w:val="JuristischerAbsatznummeriert"/>
      </w:pPr>
      <w:r w:rsidRPr="008D0377">
        <w:t xml:space="preserve">Vermutete Schadstoffanreicherungen sind gezielt zu beproben. Die Zahl und die räumliche Anordnung der </w:t>
      </w:r>
      <w:proofErr w:type="spellStart"/>
      <w:r w:rsidRPr="008D0377">
        <w:t>Probennahmestellen</w:t>
      </w:r>
      <w:proofErr w:type="spellEnd"/>
      <w:r w:rsidRPr="008D0377">
        <w:t xml:space="preserve"> sind so zu planen, dass eine räumliche Abgrenzung von Schadstoffanreicherungen erfolgen, ein Belastungsverdacht geklärt und eine mögliche Gefahr bewertet werden kann.</w:t>
      </w:r>
    </w:p>
    <w:p w14:paraId="33077F07" w14:textId="669F3C03" w:rsidR="00174E3F" w:rsidRPr="008D0377" w:rsidRDefault="00174E3F" w:rsidP="00174E3F">
      <w:pPr>
        <w:pStyle w:val="JuristischerAbsatznummeriert"/>
      </w:pPr>
      <w:r w:rsidRPr="008D0377">
        <w:t xml:space="preserve">Wenn die jeweilige Fragestellung Mischproben erfordert, sollen diese in der Regel aus 20 Einzelstichproben je Teilbereich hergestellt werden. </w:t>
      </w:r>
    </w:p>
    <w:p w14:paraId="55CFF5DD" w14:textId="10B355E8" w:rsidR="00174E3F" w:rsidRPr="008D0377" w:rsidRDefault="00174E3F" w:rsidP="00174E3F">
      <w:pPr>
        <w:pStyle w:val="JuristischerAbsatznummeriert"/>
      </w:pPr>
      <w:r w:rsidRPr="008D0377">
        <w:lastRenderedPageBreak/>
        <w:t>Bei vorbereitenden Schritten zur Gewinnung der Feldprobe wie der Grobsortierung, der Grobzerkleinerung und der Klassierung des zu untersuchenden Materials sind die Hinweise der DIN 19747 zu beachten.</w:t>
      </w:r>
    </w:p>
    <w:p w14:paraId="03B9AFE6" w14:textId="0B9FF47E" w:rsidR="00174E3F" w:rsidRPr="008D0377" w:rsidRDefault="00174E3F" w:rsidP="00174E3F">
      <w:pPr>
        <w:pStyle w:val="JuristischerAbsatznummeriert"/>
      </w:pPr>
      <w:r w:rsidRPr="008D0377">
        <w:t>Grobe Materialien mit einer Korngröße von mehr als 2 Millimetern sowie Fremdbestandteile und Störstoffe, die möglicherweise Schadstoffe enthalten oder denen diese anhaften können, sind bei Feststoffuntersuchungen aus der gesamten Probenmenge zu entnehmen und gesondert der Laboruntersuchung zuzuführen. Ihr Masseanteil an dem beprobten Bodenhorizont oder der Schichteinheit ist zu ermitteln, zu dokumentieren und bei der Bewertung der Messergebnisse einzubeziehen.</w:t>
      </w:r>
    </w:p>
    <w:p w14:paraId="37C6B286" w14:textId="5C8D8DB2" w:rsidR="00174E3F" w:rsidRPr="008809E7" w:rsidRDefault="00174E3F" w:rsidP="00174E3F">
      <w:pPr>
        <w:pStyle w:val="JuristischerAbsatznummeriert"/>
      </w:pPr>
      <w:r w:rsidRPr="008D0377">
        <w:t xml:space="preserve">Die Probennahme </w:t>
      </w:r>
      <w:r w:rsidRPr="008809E7">
        <w:t>bei Bodenluft- und Deponiegasuntersuchungen richtet sich nach Anlage 3 Tabelle 8.</w:t>
      </w:r>
    </w:p>
    <w:p w14:paraId="01EBA400" w14:textId="267FEF58" w:rsidR="00174E3F" w:rsidRPr="00174E3F" w:rsidRDefault="00174E3F" w:rsidP="00174E3F">
      <w:pPr>
        <w:pStyle w:val="ParagraphBezeichner"/>
      </w:pPr>
    </w:p>
    <w:p w14:paraId="60A9FEAF" w14:textId="63968D74" w:rsidR="00174E3F" w:rsidRPr="00174E3F" w:rsidRDefault="00174E3F" w:rsidP="00174E3F">
      <w:pPr>
        <w:pStyle w:val="Paragraphberschrift"/>
      </w:pPr>
      <w:bookmarkStart w:id="79" w:name="_Toc64379962"/>
      <w:r w:rsidRPr="008D0377">
        <w:t>Besondere Anforderungen an die Probennahme aus Böden in situ</w:t>
      </w:r>
      <w:bookmarkEnd w:id="79"/>
    </w:p>
    <w:p w14:paraId="7663EFAC" w14:textId="0E64425E" w:rsidR="00174E3F" w:rsidRPr="008D0377" w:rsidRDefault="00174E3F" w:rsidP="00174E3F">
      <w:pPr>
        <w:pStyle w:val="JuristischerAbsatznummeriert"/>
      </w:pPr>
      <w:r w:rsidRPr="008D0377">
        <w:t xml:space="preserve">Böden sind in der Regel horizontweise zu beproben. Grundlage für die Ermittlung der Horizontabfolge ist die „Arbeitshilfe für die Bodenansprache im vor- und nachsorgenden Bodenschutz - Auszug aus der Bodenkundlichen </w:t>
      </w:r>
      <w:proofErr w:type="spellStart"/>
      <w:r w:rsidRPr="008D0377">
        <w:t>Kartieranleitung</w:t>
      </w:r>
      <w:proofErr w:type="spellEnd"/>
      <w:r w:rsidRPr="008D0377">
        <w:t xml:space="preserve"> KA 5“. Ist eine eindeutige Horizontansprache nicht möglich, sind für den Wirkungspfad Boden-Nutzpflanze die </w:t>
      </w:r>
      <w:proofErr w:type="spellStart"/>
      <w:r w:rsidRPr="008D0377">
        <w:t>Beprobungstiefen</w:t>
      </w:r>
      <w:proofErr w:type="spellEnd"/>
      <w:r w:rsidRPr="008D0377">
        <w:t xml:space="preserve"> nach Anlage 3 Tabelle 3 heranzuziehen.</w:t>
      </w:r>
    </w:p>
    <w:p w14:paraId="72EE9ABC" w14:textId="06367714" w:rsidR="00174E3F" w:rsidRPr="008D0377" w:rsidRDefault="00174E3F" w:rsidP="00174E3F">
      <w:pPr>
        <w:pStyle w:val="JuristischerAbsatznichtnummeriert"/>
      </w:pPr>
      <w:r w:rsidRPr="008D0377">
        <w:t xml:space="preserve">(1a) Zur Bestimmung der </w:t>
      </w:r>
      <w:proofErr w:type="spellStart"/>
      <w:r w:rsidRPr="008D0377">
        <w:t>Beprobungstiefe</w:t>
      </w:r>
      <w:proofErr w:type="spellEnd"/>
      <w:r w:rsidRPr="008D0377">
        <w:t xml:space="preserve"> für den Wirkungspfad Boden-Mensch gilt bei Untersuchung auf anorganische und schwerflüchtige organische Schadstoffe die Anlage 3 Tabelle 3. Sind in den </w:t>
      </w:r>
      <w:proofErr w:type="spellStart"/>
      <w:r w:rsidRPr="008D0377">
        <w:t>Beprobungstiefen</w:t>
      </w:r>
      <w:proofErr w:type="spellEnd"/>
      <w:r w:rsidRPr="008D0377">
        <w:t xml:space="preserve"> Horizontwechsel vorhanden, ist zusätzlich eine Beprobung nach Horizonten vorzunehmen, wenn dies für die jeweilige Fragestellung erforderlich ist.</w:t>
      </w:r>
    </w:p>
    <w:p w14:paraId="4347CBEA" w14:textId="44A52825" w:rsidR="00D21E79" w:rsidRPr="008809E7" w:rsidRDefault="00174E3F" w:rsidP="00174E3F">
      <w:pPr>
        <w:pStyle w:val="JuristischerAbsatznummeriert"/>
        <w:tabs>
          <w:tab w:val="clear" w:pos="850"/>
        </w:tabs>
      </w:pPr>
      <w:r w:rsidRPr="008D0377">
        <w:t>Zur Probengewinnung sind Verfahren anzuwenden, die in der DIN EN ISO 22475-1 und der DIN ISO 10381-2 aufgeführt sind.</w:t>
      </w:r>
    </w:p>
    <w:p w14:paraId="40442FE3" w14:textId="4D9F8B63" w:rsidR="00174E3F" w:rsidRPr="00174E3F" w:rsidRDefault="00174E3F" w:rsidP="00174E3F">
      <w:pPr>
        <w:pStyle w:val="ParagraphBezeichner"/>
      </w:pPr>
    </w:p>
    <w:p w14:paraId="5D0CF398" w14:textId="3C9560BA" w:rsidR="00174E3F" w:rsidRPr="00174E3F" w:rsidRDefault="00174E3F" w:rsidP="00174E3F">
      <w:pPr>
        <w:pStyle w:val="Paragraphberschrift"/>
      </w:pPr>
      <w:bookmarkStart w:id="80" w:name="_Toc64379964"/>
      <w:r w:rsidRPr="008D0377">
        <w:t>Besondere Anforderungen an die Probennahme aus Haufwerken</w:t>
      </w:r>
      <w:bookmarkEnd w:id="80"/>
    </w:p>
    <w:p w14:paraId="201C593D" w14:textId="77777777" w:rsidR="00174E3F" w:rsidRPr="008D0377" w:rsidRDefault="00174E3F" w:rsidP="00174E3F">
      <w:pPr>
        <w:pStyle w:val="JuristischerAbsatznummeriert"/>
      </w:pPr>
      <w:r w:rsidRPr="008D0377">
        <w:t>Die Beprobung von Haufwerken ist gemäß der „Richtlinie für das Vorgehen bei physikalischen, chemischen und biologischen Untersuchungen im Zusammenhang mit der Verwertung / Beseitigung von Abfällen“ (LAGA PN 98) vorzunehmen.</w:t>
      </w:r>
    </w:p>
    <w:p w14:paraId="0D01E66F" w14:textId="29E8D02D" w:rsidR="00174E3F" w:rsidRPr="008809E7" w:rsidRDefault="00174E3F" w:rsidP="00174E3F">
      <w:pPr>
        <w:pStyle w:val="JuristischerAbsatznummeriert"/>
      </w:pPr>
      <w:r w:rsidRPr="008D0377">
        <w:t xml:space="preserve">Die gemäß LAGA PN 98 im Regelfall vorgesehene Anzahl von Laborproben kann für größere Chargen von Bodenmaterial, wie </w:t>
      </w:r>
      <w:proofErr w:type="spellStart"/>
      <w:r w:rsidRPr="008D0377">
        <w:t>aufgemietete</w:t>
      </w:r>
      <w:proofErr w:type="spellEnd"/>
      <w:r w:rsidRPr="008D0377">
        <w:t xml:space="preserve"> Homogenbereiche im Sinne der DIN 18300, in Abstimmung mit der zuständigen Behörde im Einzelfall verringert werden, wenn insbesondere durch eine Vorerkundung oder Vor-Ort-Analytik eine homogene Schadstoffverteilung hinreichend belegt ist.</w:t>
      </w:r>
    </w:p>
    <w:p w14:paraId="303D78B8" w14:textId="40E7D432" w:rsidR="00174E3F" w:rsidRPr="00174E3F" w:rsidRDefault="00174E3F" w:rsidP="00174E3F">
      <w:pPr>
        <w:pStyle w:val="ParagraphBezeichner"/>
      </w:pPr>
    </w:p>
    <w:p w14:paraId="2E55782D" w14:textId="11D7BBB5" w:rsidR="00174E3F" w:rsidRPr="008809E7" w:rsidRDefault="00174E3F" w:rsidP="00D16E21">
      <w:pPr>
        <w:pStyle w:val="Paragraphberschrift"/>
      </w:pPr>
      <w:bookmarkStart w:id="81" w:name="_Toc64379966"/>
      <w:r w:rsidRPr="008D0377">
        <w:t>Zusätzliche wirkungspfadbezogene Anforderungen an die Probennahme bei orientierenden Untersuchungen und Detailuntersuchungen</w:t>
      </w:r>
      <w:bookmarkEnd w:id="81"/>
    </w:p>
    <w:p w14:paraId="5200331E" w14:textId="77777777" w:rsidR="00174E3F" w:rsidRPr="008D0377" w:rsidRDefault="00174E3F" w:rsidP="00174E3F">
      <w:pPr>
        <w:pStyle w:val="JuristischerAbsatznummeriert"/>
      </w:pPr>
      <w:r w:rsidRPr="008D0377">
        <w:t xml:space="preserve">Beim Wirkungspfad Boden-Mensch sind im Rahmen der Festlegung der </w:t>
      </w:r>
      <w:proofErr w:type="spellStart"/>
      <w:r w:rsidRPr="008D0377">
        <w:t>Probennahmestellen</w:t>
      </w:r>
      <w:proofErr w:type="spellEnd"/>
      <w:r w:rsidRPr="008D0377">
        <w:t xml:space="preserve"> und der </w:t>
      </w:r>
      <w:proofErr w:type="spellStart"/>
      <w:r w:rsidRPr="008D0377">
        <w:t>Beprobungstiefe</w:t>
      </w:r>
      <w:proofErr w:type="spellEnd"/>
      <w:r w:rsidRPr="008D0377">
        <w:t xml:space="preserve"> auch Ermittlungen zu den im Einzelfall vorliegenden Expositionsbedingungen vorzunehmen, insbesondere über die </w:t>
      </w:r>
    </w:p>
    <w:p w14:paraId="6CB5F145" w14:textId="77777777" w:rsidR="00174E3F" w:rsidRPr="008D0377" w:rsidRDefault="00174E3F" w:rsidP="00174E3F">
      <w:pPr>
        <w:pStyle w:val="NummerierungStufe1"/>
      </w:pPr>
      <w:r w:rsidRPr="008D0377">
        <w:t>tatsächliche Nutzung der Fläche nach Art, Häufigkeit und Dauer,</w:t>
      </w:r>
    </w:p>
    <w:p w14:paraId="1AF5C913" w14:textId="77777777" w:rsidR="00174E3F" w:rsidRPr="008D0377" w:rsidRDefault="00174E3F" w:rsidP="00174E3F">
      <w:pPr>
        <w:pStyle w:val="NummerierungStufe1"/>
      </w:pPr>
      <w:r w:rsidRPr="008D0377">
        <w:t>Zugänglichkeit der Fläche,</w:t>
      </w:r>
    </w:p>
    <w:p w14:paraId="622F8BAF" w14:textId="77777777" w:rsidR="00174E3F" w:rsidRPr="008D0377" w:rsidRDefault="00174E3F" w:rsidP="00174E3F">
      <w:pPr>
        <w:pStyle w:val="NummerierungStufe1"/>
      </w:pPr>
      <w:r w:rsidRPr="008D0377">
        <w:t>Versiegelung der Fläche und über den Aufwuchs,</w:t>
      </w:r>
    </w:p>
    <w:p w14:paraId="550E91BD" w14:textId="77777777" w:rsidR="00174E3F" w:rsidRPr="008D0377" w:rsidRDefault="00174E3F" w:rsidP="00174E3F">
      <w:pPr>
        <w:pStyle w:val="NummerierungStufe1"/>
      </w:pPr>
      <w:r w:rsidRPr="008D0377">
        <w:t>Möglichkeit der inhalativen Aufnahme von Bodenpartikeln und</w:t>
      </w:r>
    </w:p>
    <w:p w14:paraId="2AF9DF58" w14:textId="77777777" w:rsidR="00174E3F" w:rsidRPr="008D0377" w:rsidRDefault="00174E3F" w:rsidP="00174E3F">
      <w:pPr>
        <w:pStyle w:val="NummerierungStufe1"/>
      </w:pPr>
      <w:r w:rsidRPr="008D0377">
        <w:t>Relevanz weiterer Wirkungspfade.</w:t>
      </w:r>
    </w:p>
    <w:p w14:paraId="698815D8" w14:textId="42B00375" w:rsidR="00174E3F" w:rsidRPr="008D0377" w:rsidRDefault="00174E3F" w:rsidP="00174E3F">
      <w:pPr>
        <w:pStyle w:val="JuristischerAbsatznummeriert"/>
      </w:pPr>
      <w:r w:rsidRPr="008D0377">
        <w:t xml:space="preserve">Beim Wirkungspfad Boden-Mensch gilt für die Beurteilung der Gefahren durch orale und dermale Aufnahme die </w:t>
      </w:r>
      <w:proofErr w:type="spellStart"/>
      <w:r w:rsidRPr="008D0377">
        <w:t>Beprobungstiefe</w:t>
      </w:r>
      <w:proofErr w:type="spellEnd"/>
      <w:r w:rsidRPr="008D0377">
        <w:t xml:space="preserve"> nach Anlage 3 Tabelle 3. Werden leichtflüchtige Schadstoffe untersucht, um gemäß § 10 Absatz 6 Anhaltspunkte für die Ausbreitung dieser Stoffe in Gebäude hinein zu ermitteln, richten sich die </w:t>
      </w:r>
      <w:proofErr w:type="spellStart"/>
      <w:r w:rsidRPr="008D0377">
        <w:t>Beprobungstiefen</w:t>
      </w:r>
      <w:proofErr w:type="spellEnd"/>
      <w:r w:rsidRPr="008D0377">
        <w:t xml:space="preserve"> nach dem dazu verwendeten Expositionsszenario (Boden-Bodenluft-Innenraumluft). Für die inhalative Aufnahme von Bodenpartikeln sind in der Regel die obersten 2 Zentimeter des Bodens maßgebend. Bei Überschreitung der Prüfwerte ist zur Bewertung der inhalativen Wirkung die Feinkornfraktion bis 63 Mikrometer heranzuziehen.</w:t>
      </w:r>
    </w:p>
    <w:p w14:paraId="31D2FEFB" w14:textId="59D1D803" w:rsidR="00174E3F" w:rsidRPr="008D0377" w:rsidRDefault="00174E3F" w:rsidP="00174E3F">
      <w:pPr>
        <w:pStyle w:val="JuristischerAbsatznummeriert"/>
      </w:pPr>
      <w:r w:rsidRPr="008D0377">
        <w:t>Beim Wirkungspfad Boden-Mensch kann bei Flächen unter 500 Quadratmetern sowie in Hausgärten oder sonstigen Gärten entsprechender Nutzung auf eine Teilung verzichtet werden. Für Flächen über 10 000 Quadratmetern sollen mindestens jedoch zehn Teilflächen beprobt werden.</w:t>
      </w:r>
    </w:p>
    <w:p w14:paraId="5EC3D1CB" w14:textId="2126F655" w:rsidR="00174E3F" w:rsidRPr="008D0377" w:rsidRDefault="00174E3F" w:rsidP="00174E3F">
      <w:pPr>
        <w:pStyle w:val="JuristischerAbsatznummeriert"/>
      </w:pPr>
      <w:r w:rsidRPr="008D0377">
        <w:t xml:space="preserve">Beim Wirkungspfad Boden-Nutzpflanze ist bei Ackerflächen oder Grünlandflächen mit annähernd gleichmäßiger Bodenbeschaffenheit und Schadstoffverteilung auf Flächen bis 10 Hektar in der Regel für jeweils 1 Hektar, mindestens aber von drei Teilflächen, je eine Mischprobe nach § 19 Absatz 6 entsprechend den </w:t>
      </w:r>
      <w:proofErr w:type="spellStart"/>
      <w:r w:rsidRPr="008D0377">
        <w:t>Beprobungstiefen</w:t>
      </w:r>
      <w:proofErr w:type="spellEnd"/>
      <w:r w:rsidRPr="008D0377">
        <w:t xml:space="preserve"> zu entnehmen. Bei Flächen unter 5 000 Quadratmetern kann auf eine Teilung verzichtet werden. Für Flächen über 10 Hektar sollen mindestens jedoch zehn Teilflächen beprobt werden. In Nutzgärten soll die Probennahme in der Regel durch Entnahme einer grundstücksbezogenen Mischprobe nach § 19 Absatz 6 für jede </w:t>
      </w:r>
      <w:proofErr w:type="spellStart"/>
      <w:r w:rsidRPr="008D0377">
        <w:t>Beprobungstiefe</w:t>
      </w:r>
      <w:proofErr w:type="spellEnd"/>
      <w:r w:rsidRPr="008D0377">
        <w:t xml:space="preserve"> erfolgen.</w:t>
      </w:r>
    </w:p>
    <w:p w14:paraId="4E7E9228" w14:textId="7ECF9571" w:rsidR="00174E3F" w:rsidRPr="008D0377" w:rsidRDefault="00174E3F" w:rsidP="00174E3F">
      <w:pPr>
        <w:pStyle w:val="JuristischerAbsatznummeriert"/>
      </w:pPr>
      <w:r w:rsidRPr="008D0377">
        <w:t xml:space="preserve">Beim Wirkungspfad Boden-Grundwasser ist zur Feststellung der vertikalen Schadstoffverteilung die wasserungesättigte Bodenzone bis unterhalb einer mutmaßlichen Schadstoffanreicherung unter besonderer Berücksichtigung der Zone schwankender Grundwasserstände zu beproben. Im Untergrund dürfen abweichend von § 20 Absatz 1 Satz 1 Proben aus Tiefenintervallen bis zu 1 Meter entnommen werden. In begründeten Fällen ist die Zusammenfassung engräumiger Bodenhorizonte oder -schichten bis zu 1 Meter Tiefenintervall zulässig. Die </w:t>
      </w:r>
      <w:proofErr w:type="spellStart"/>
      <w:r w:rsidRPr="008D0377">
        <w:t>Beprobungstiefe</w:t>
      </w:r>
      <w:proofErr w:type="spellEnd"/>
      <w:r w:rsidRPr="008D0377">
        <w:t xml:space="preserve"> ist zu verringern, wenn erkennbar wird, dass bei Durchbohrung von Wasser stauenden Schichten im Untergrund eine hierdurch entstehende Verunreinigung des Grundwassers zu besorgen ist. Ist das Durchbohren von Wasser stauenden Schichten erforderlich, sind besondere Sicherungsmaßnahmen zu ergreifen.</w:t>
      </w:r>
    </w:p>
    <w:p w14:paraId="5ACDB6B2" w14:textId="4AE5BEAC" w:rsidR="00174E3F" w:rsidRPr="00174E3F" w:rsidRDefault="00174E3F" w:rsidP="00174E3F">
      <w:pPr>
        <w:pStyle w:val="ParagraphBezeichner"/>
      </w:pPr>
    </w:p>
    <w:p w14:paraId="37969F6D" w14:textId="6C063029" w:rsidR="00174E3F" w:rsidRPr="008809E7" w:rsidRDefault="00174E3F" w:rsidP="00D16E21">
      <w:pPr>
        <w:pStyle w:val="Paragraphberschrift"/>
      </w:pPr>
      <w:bookmarkStart w:id="82" w:name="_Toc64379968"/>
      <w:r w:rsidRPr="008D0377">
        <w:t>Konservierung, Transport und Aufbewahrung von Proben; Probenvorbehandlung, -vorbereitung und -aufarbeitung</w:t>
      </w:r>
      <w:bookmarkEnd w:id="82"/>
    </w:p>
    <w:p w14:paraId="3FC28432" w14:textId="77777777" w:rsidR="00174E3F" w:rsidRPr="008D0377" w:rsidRDefault="00174E3F" w:rsidP="00174E3F">
      <w:pPr>
        <w:pStyle w:val="JuristischerAbsatznummeriert"/>
      </w:pPr>
      <w:r w:rsidRPr="008D0377">
        <w:t>Für die Auswahl von Probengefäßen sowie für Konservierung, Transport und Aufbewahrung von Proben sind die DIN ISO 10381-1, die DIN 19747 und die DIN EN ISO 5667-3 zu beachten.</w:t>
      </w:r>
    </w:p>
    <w:p w14:paraId="1EBFA7C0" w14:textId="5BA87EBB" w:rsidR="00174E3F" w:rsidRPr="008D0377" w:rsidRDefault="00174E3F" w:rsidP="00174E3F">
      <w:pPr>
        <w:pStyle w:val="JuristischerAbsatznummeriert"/>
      </w:pPr>
      <w:r w:rsidRPr="008D0377">
        <w:t>Das Vorgehen bei der Probenvorbehandlung, der Probenvorbereitung und der Probenaufarbeitung für chemische, biologische oder physikalische Untersuchungen von Feststoffproben aus Böden und Materialien richtet sich nach der DIN 19747.</w:t>
      </w:r>
    </w:p>
    <w:p w14:paraId="0EA6EB01" w14:textId="748FBB7D" w:rsidR="00174E3F" w:rsidRPr="008809E7" w:rsidRDefault="00174E3F" w:rsidP="00174E3F">
      <w:pPr>
        <w:pStyle w:val="JuristischerAbsatznummeriert"/>
      </w:pPr>
      <w:r w:rsidRPr="008D0377">
        <w:t>Repräsentative Teile der Proben sind mindestens bis zum Abschluss des Verfahrens als Rückstellproben nach der DIN 19747 aufzubewahren. Die zuständige Behörde kann Art und Umfang der Rückstellung nach den Erfordernissen des Einzelfalls festlegen.</w:t>
      </w:r>
    </w:p>
    <w:p w14:paraId="3772A24B" w14:textId="0BED2C2A" w:rsidR="00174E3F" w:rsidRPr="00174E3F" w:rsidRDefault="00174E3F" w:rsidP="00174E3F">
      <w:pPr>
        <w:pStyle w:val="ParagraphBezeichner"/>
      </w:pPr>
    </w:p>
    <w:p w14:paraId="62ED9D9A" w14:textId="2BF9A605" w:rsidR="00174E3F" w:rsidRPr="00174E3F" w:rsidRDefault="00174E3F" w:rsidP="00174E3F">
      <w:pPr>
        <w:pStyle w:val="Paragraphberschrift"/>
      </w:pPr>
      <w:bookmarkStart w:id="83" w:name="_Toc64379970"/>
      <w:r w:rsidRPr="008D0377">
        <w:t>Physikalisch-chemische und chemische Analyse</w:t>
      </w:r>
      <w:bookmarkEnd w:id="83"/>
    </w:p>
    <w:p w14:paraId="3BC9B8D5" w14:textId="27CD6CF4" w:rsidR="00174E3F" w:rsidRPr="008D0377" w:rsidRDefault="00174E3F" w:rsidP="00174E3F">
      <w:pPr>
        <w:pStyle w:val="JuristischerAbsatznummeriert"/>
      </w:pPr>
      <w:r w:rsidRPr="008D0377">
        <w:t>Die physikalisch-chemische und chemische Analyse der Proben ist durch eine nach DIN EN ISO/IEC 17025 akkreditierte Untersuchungsstelle durchzuführen.</w:t>
      </w:r>
    </w:p>
    <w:p w14:paraId="4717F046" w14:textId="56237013" w:rsidR="00174E3F" w:rsidRPr="008D0377" w:rsidRDefault="00174E3F" w:rsidP="00174E3F">
      <w:pPr>
        <w:pStyle w:val="JuristischerAbsatznummeriert"/>
      </w:pPr>
      <w:r w:rsidRPr="008D0377">
        <w:t>Die Bestimmung der physikalisch-chemischen Eigenschaften hat nach Anlage 3 Tabelle 1 zu erfolgen.</w:t>
      </w:r>
    </w:p>
    <w:p w14:paraId="75FBC4CE" w14:textId="7960BC3C" w:rsidR="00174E3F" w:rsidRPr="008D0377" w:rsidRDefault="00174E3F" w:rsidP="00174E3F">
      <w:pPr>
        <w:pStyle w:val="JuristischerAbsatznummeriert"/>
      </w:pPr>
      <w:r w:rsidRPr="008D0377">
        <w:t>Zur Bestimmung der Schadstoffgehalte sind aus den nach § 23 vorbehandelten, vorbereiteten und aufgearbeiteten Proben gemäß den nachfolgenden Absätzen Extrakte und Eluate herzustellen und zu analysieren. Die Schadstoffgehalte sind auf Trockenmasse zu beziehen, die bei 105 °C nach der DIN EN 14346 Methode A gewonnen wurde. Bei summarischen Messgrößen, wie etwa PCB, LHKW, BTEX und PAK sind neben der Summe auch die zugrunde gelegten Einzelergebnisse anzugeben. Für die Summenbildung bleiben Ergebnisse unterhalb der Bestimmungsgrenze unberücksichtigt.</w:t>
      </w:r>
    </w:p>
    <w:p w14:paraId="3C762D00" w14:textId="08E77FC3" w:rsidR="00174E3F" w:rsidRPr="008D0377" w:rsidRDefault="00174E3F" w:rsidP="00174E3F">
      <w:pPr>
        <w:pStyle w:val="JuristischerAbsatznummeriert"/>
      </w:pPr>
      <w:r w:rsidRPr="008D0377">
        <w:t>Die Bestimmung der Gehalte an anorganischen Schadstoffen hinsichtlich</w:t>
      </w:r>
    </w:p>
    <w:p w14:paraId="1CA927FA" w14:textId="77777777" w:rsidR="00174E3F" w:rsidRPr="008D0377" w:rsidRDefault="00174E3F" w:rsidP="00174E3F">
      <w:pPr>
        <w:pStyle w:val="NummerierungStufe1"/>
      </w:pPr>
      <w:r w:rsidRPr="008D0377">
        <w:t>der Vorsorgewerte nach Anlage 1 Tabelle 1,</w:t>
      </w:r>
    </w:p>
    <w:p w14:paraId="206F6688" w14:textId="77777777" w:rsidR="00174E3F" w:rsidRPr="008D0377" w:rsidRDefault="00174E3F" w:rsidP="00174E3F">
      <w:pPr>
        <w:pStyle w:val="NummerierungStufe1"/>
      </w:pPr>
      <w:r w:rsidRPr="008D0377">
        <w:t>der Feststoffwerte nach Anlage 1 Tabelle 4,</w:t>
      </w:r>
    </w:p>
    <w:p w14:paraId="6CBD3889" w14:textId="77777777" w:rsidR="00174E3F" w:rsidRPr="008D0377" w:rsidRDefault="00174E3F" w:rsidP="00174E3F">
      <w:pPr>
        <w:pStyle w:val="NummerierungStufe1"/>
      </w:pPr>
      <w:r w:rsidRPr="008D0377">
        <w:t xml:space="preserve">der Prüfwerte für den Wirkungspfad Boden-Mensch nach Anlage 2 Tabelle 4, mit Ausnahme der Cyanide und von Chrom VI, </w:t>
      </w:r>
    </w:p>
    <w:p w14:paraId="322EC466" w14:textId="77777777" w:rsidR="00174E3F" w:rsidRPr="008D0377" w:rsidRDefault="00174E3F" w:rsidP="00174E3F">
      <w:pPr>
        <w:pStyle w:val="NummerierungStufe1"/>
      </w:pPr>
      <w:r w:rsidRPr="008D0377">
        <w:t xml:space="preserve">der Prüf- und Maßnahmenwerte für Arsen und Quecksilber für den Wirkungspfad Boden-Nutzpflanze auf Ackerflächen und in Nutzgärten im Hinblick auf die Pflanzenqualität nach Anlage 2 Tabelle 6 und </w:t>
      </w:r>
    </w:p>
    <w:p w14:paraId="473154CC" w14:textId="77777777" w:rsidR="00174E3F" w:rsidRPr="008D0377" w:rsidRDefault="00174E3F" w:rsidP="00174E3F">
      <w:pPr>
        <w:pStyle w:val="NummerierungStufe1"/>
      </w:pPr>
      <w:r w:rsidRPr="008D0377">
        <w:t xml:space="preserve">der Prüf- und Maßnahmenwerte für den Wirkungspfad Boden-Nutzpflanze auf Grünlandflächen im Hinblick auf die Pflanzenqualität nach Anlage 2 Tabelle 7 </w:t>
      </w:r>
    </w:p>
    <w:p w14:paraId="4A8EE47C" w14:textId="77777777" w:rsidR="00174E3F" w:rsidRPr="008D0377" w:rsidRDefault="00174E3F" w:rsidP="00174E3F">
      <w:pPr>
        <w:pStyle w:val="JuristischerAbsatzFolgeabsatz"/>
      </w:pPr>
      <w:r w:rsidRPr="008D0377">
        <w:t>hat aus dem Königswasser-Extrakt nach der DIN EN 13657 mit den Verfahren nach 9.2 oder nach der DIN EN 16174 mit den in Anlage 3 Tabelle 4 angegebenen Verfahren zu erfolgen.</w:t>
      </w:r>
    </w:p>
    <w:p w14:paraId="446D1065" w14:textId="0C911BAE" w:rsidR="00174E3F" w:rsidRPr="008D0377" w:rsidRDefault="00174E3F" w:rsidP="00174E3F">
      <w:pPr>
        <w:pStyle w:val="JuristischerAbsatznummeriert"/>
      </w:pPr>
      <w:r w:rsidRPr="008D0377">
        <w:lastRenderedPageBreak/>
        <w:t>Die Bestimmung der Gehalte an Cyaniden und Chrom VI hinsichtlich der Prüfwerte für den Wirkungspfad Boden-Mensch nach Anlage 2 Tabelle 4 hat mit den in Anlage 3 Tabelle 4 angegebenen Verfahren zu erfolgen.</w:t>
      </w:r>
    </w:p>
    <w:p w14:paraId="4B5041A1" w14:textId="08507C78" w:rsidR="00174E3F" w:rsidRPr="008D0377" w:rsidRDefault="00174E3F" w:rsidP="00174E3F">
      <w:pPr>
        <w:pStyle w:val="JuristischerAbsatznummeriert"/>
      </w:pPr>
      <w:r w:rsidRPr="008D0377">
        <w:t xml:space="preserve">Die Bestimmung der Gehalte an anorganischen Schadstoffen hinsichtlich </w:t>
      </w:r>
    </w:p>
    <w:p w14:paraId="60F29048" w14:textId="77777777" w:rsidR="00174E3F" w:rsidRPr="008D0377" w:rsidRDefault="00174E3F" w:rsidP="00174E3F">
      <w:pPr>
        <w:pStyle w:val="NummerierungStufe1"/>
      </w:pPr>
      <w:r w:rsidRPr="008D0377">
        <w:t xml:space="preserve">der Prüf- und Maßnahmenwerte für Blei, Cadmium und Thallium für den Wirkungspfad Boden-Nutzpflanze auf Ackerflächen und in Nutzgärten im Hinblick auf die Pflanzenqualität nach Anlage 2 Tabelle 6 und </w:t>
      </w:r>
    </w:p>
    <w:p w14:paraId="54960F58" w14:textId="77777777" w:rsidR="00174E3F" w:rsidRPr="008D0377" w:rsidRDefault="00174E3F" w:rsidP="00174E3F">
      <w:pPr>
        <w:pStyle w:val="NummerierungStufe1"/>
      </w:pPr>
      <w:r w:rsidRPr="008D0377">
        <w:t>der Prüfwerte auf Ackerflächen im Hinblick auf Wachstumsbeeinträchtigungen bei Kulturpflanzen nach Anlage 2 Tabelle 8</w:t>
      </w:r>
    </w:p>
    <w:p w14:paraId="1BD7801B" w14:textId="77777777" w:rsidR="00174E3F" w:rsidRPr="008D0377" w:rsidRDefault="00174E3F" w:rsidP="00174E3F">
      <w:pPr>
        <w:pStyle w:val="JuristischerAbsatzFolgeabsatz"/>
      </w:pPr>
      <w:r w:rsidRPr="008D0377">
        <w:t>hat aus dem Ammoniumnitrat-Extrakt nach der DIN ISO 19730 mit den in Anlage 3 Tabelle 4 angegebenen Verfahren zu erfolgen.</w:t>
      </w:r>
    </w:p>
    <w:p w14:paraId="66B59197" w14:textId="2A85F2F5" w:rsidR="00174E3F" w:rsidRPr="008D0377" w:rsidRDefault="00174E3F" w:rsidP="00174E3F">
      <w:pPr>
        <w:pStyle w:val="JuristischerAbsatznummeriert"/>
      </w:pPr>
      <w:r w:rsidRPr="008D0377">
        <w:t xml:space="preserve">Die Bestimmung der Gehalte an organischen Schadstoffen hinsichtlich </w:t>
      </w:r>
    </w:p>
    <w:p w14:paraId="5E9F2C90" w14:textId="77777777" w:rsidR="00174E3F" w:rsidRPr="008D0377" w:rsidRDefault="00174E3F" w:rsidP="00174E3F">
      <w:pPr>
        <w:pStyle w:val="NummerierungStufe1"/>
      </w:pPr>
      <w:r w:rsidRPr="008D0377">
        <w:t>der Vorsorgewerte nach Anlage 1 Tabelle 2,</w:t>
      </w:r>
    </w:p>
    <w:p w14:paraId="1B7D80EF" w14:textId="77777777" w:rsidR="00174E3F" w:rsidRPr="008D0377" w:rsidRDefault="00174E3F" w:rsidP="00174E3F">
      <w:pPr>
        <w:pStyle w:val="NummerierungStufe1"/>
      </w:pPr>
      <w:r w:rsidRPr="008D0377">
        <w:t>der Prüf- und Maßnahmenwerte für den Wirkungspfad Boden-Mensch nach Anlage 2 Tabelle 4 und 5 sowie</w:t>
      </w:r>
    </w:p>
    <w:p w14:paraId="38C80487" w14:textId="77777777" w:rsidR="00174E3F" w:rsidRPr="008D0377" w:rsidRDefault="00174E3F" w:rsidP="00174E3F">
      <w:pPr>
        <w:pStyle w:val="NummerierungStufe1"/>
      </w:pPr>
      <w:r w:rsidRPr="008D0377">
        <w:t>der Prüf- und Maßnahmenwerte für den Wirkungspfad Boden-Nutzpflanze nach Anlage 2 Tabelle 6 und 7</w:t>
      </w:r>
    </w:p>
    <w:p w14:paraId="6C626F41" w14:textId="77777777" w:rsidR="00174E3F" w:rsidRPr="008D0377" w:rsidRDefault="00174E3F" w:rsidP="00174E3F">
      <w:pPr>
        <w:pStyle w:val="JuristischerAbsatzFolgeabsatz"/>
      </w:pPr>
      <w:r w:rsidRPr="008D0377">
        <w:t>hat mit den in Anlage 3 Tabelle 5 angegebenen Verfahren zu erfolgen.</w:t>
      </w:r>
    </w:p>
    <w:p w14:paraId="66CD69B6" w14:textId="74C311F2" w:rsidR="00174E3F" w:rsidRPr="008D0377" w:rsidRDefault="00174E3F" w:rsidP="00174E3F">
      <w:pPr>
        <w:pStyle w:val="JuristischerAbsatznummeriert"/>
      </w:pPr>
      <w:r w:rsidRPr="008D0377">
        <w:t>Die Bestimmung der flüchtigen Schadstoffe in der Bodenluft hat mit den in Anlage 3 Tabelle 8 angegebenen Analyseverfahren zu erfolgen.</w:t>
      </w:r>
    </w:p>
    <w:p w14:paraId="24394503" w14:textId="1A46FE04" w:rsidR="00174E3F" w:rsidRPr="008D0377" w:rsidRDefault="00174E3F" w:rsidP="00174E3F">
      <w:pPr>
        <w:pStyle w:val="JuristischerAbsatznummeriert"/>
      </w:pPr>
      <w:r w:rsidRPr="008D0377">
        <w:t xml:space="preserve">Die Bestimmung der Konzentration anorganischer Schadstoffe hinsichtlich </w:t>
      </w:r>
    </w:p>
    <w:p w14:paraId="4419444E" w14:textId="77777777" w:rsidR="00174E3F" w:rsidRPr="008D0377" w:rsidRDefault="00174E3F" w:rsidP="00174E3F">
      <w:pPr>
        <w:pStyle w:val="NummerierungStufe1"/>
      </w:pPr>
      <w:r w:rsidRPr="008D0377">
        <w:t xml:space="preserve">der </w:t>
      </w:r>
      <w:proofErr w:type="spellStart"/>
      <w:r w:rsidRPr="008D0377">
        <w:t>Eluatwerte</w:t>
      </w:r>
      <w:proofErr w:type="spellEnd"/>
      <w:r w:rsidRPr="008D0377">
        <w:t xml:space="preserve"> nach Anlage 1 Tabelle 4 und 5 sowie</w:t>
      </w:r>
    </w:p>
    <w:p w14:paraId="185E315D" w14:textId="77777777" w:rsidR="00174E3F" w:rsidRPr="008D0377" w:rsidRDefault="00174E3F" w:rsidP="00174E3F">
      <w:pPr>
        <w:pStyle w:val="NummerierungStufe1"/>
      </w:pPr>
      <w:r w:rsidRPr="008D0377">
        <w:t>der Prüfwerte für den Wirkungspfad Boden-Grundwasser am Ort der Probennahme nach Anlage 2 Tabelle 1 und im Sickerwasser am Ort der Beurteilung nach Anlage 2 Tabelle 2</w:t>
      </w:r>
    </w:p>
    <w:p w14:paraId="70988C22" w14:textId="77777777" w:rsidR="00174E3F" w:rsidRPr="008D0377" w:rsidRDefault="00174E3F" w:rsidP="00174E3F">
      <w:pPr>
        <w:pStyle w:val="JuristischerAbsatzFolgeabsatz"/>
      </w:pPr>
      <w:r w:rsidRPr="008D0377">
        <w:t>hat mit den in Anlage 3 Tabelle 6 angegebenen Verfahren zu erfolgen. Für die Herstellung von Eluaten mit Wasser sind die in Anlage 3 Tabelle 2 angegebenen Verfahren anzuwenden.</w:t>
      </w:r>
    </w:p>
    <w:p w14:paraId="17B507F5" w14:textId="5E5AD963" w:rsidR="00174E3F" w:rsidRPr="008D0377" w:rsidRDefault="00174E3F" w:rsidP="00174E3F">
      <w:pPr>
        <w:pStyle w:val="JuristischerAbsatznummeriert"/>
      </w:pPr>
      <w:r w:rsidRPr="008D0377">
        <w:t>Die Bestimmung der Konzentration organischer Schadstoffe hinsichtlich</w:t>
      </w:r>
    </w:p>
    <w:p w14:paraId="16FF1015" w14:textId="77777777" w:rsidR="00174E3F" w:rsidRPr="008D0377" w:rsidRDefault="00174E3F" w:rsidP="00174E3F">
      <w:pPr>
        <w:pStyle w:val="NummerierungStufe1"/>
      </w:pPr>
      <w:r w:rsidRPr="008D0377">
        <w:t xml:space="preserve">der </w:t>
      </w:r>
      <w:proofErr w:type="spellStart"/>
      <w:r w:rsidRPr="008D0377">
        <w:t>Eluatwerte</w:t>
      </w:r>
      <w:proofErr w:type="spellEnd"/>
      <w:r w:rsidRPr="008D0377">
        <w:t xml:space="preserve"> nach Anlage 1 Tabelle 4 und</w:t>
      </w:r>
    </w:p>
    <w:p w14:paraId="5218B372" w14:textId="77777777" w:rsidR="00174E3F" w:rsidRPr="008D0377" w:rsidRDefault="00174E3F" w:rsidP="00174E3F">
      <w:pPr>
        <w:pStyle w:val="NummerierungStufe1"/>
      </w:pPr>
      <w:r w:rsidRPr="008D0377">
        <w:t xml:space="preserve">der Prüfwerte für den Wirkungspfad Boden-Grundwasser am Ort der Probennahme und im Sickerwasser am Ort der Beurteilung nach Anlage 2 Tabelle 3 </w:t>
      </w:r>
    </w:p>
    <w:p w14:paraId="18A8F0A3" w14:textId="77777777" w:rsidR="00174E3F" w:rsidRPr="008D0377" w:rsidRDefault="00174E3F" w:rsidP="00174E3F">
      <w:pPr>
        <w:pStyle w:val="JuristischerAbsatzFolgeabsatz"/>
      </w:pPr>
      <w:r w:rsidRPr="008D0377">
        <w:t>hat mit den in Anlage 3 Tabelle 7 angegebenen Verfahren zu erfolgen. Absatz 9 Satz 2 gilt entsprechend.</w:t>
      </w:r>
    </w:p>
    <w:p w14:paraId="2129DD1D" w14:textId="0DF4A9C8" w:rsidR="00174E3F" w:rsidRPr="008D0377" w:rsidRDefault="00174E3F" w:rsidP="00174E3F">
      <w:pPr>
        <w:pStyle w:val="JuristischerAbsatznummeriert"/>
      </w:pPr>
      <w:r w:rsidRPr="008D0377">
        <w:t xml:space="preserve">Abweichend von § 23 und den vorstehenden Absätzen dürfen auch andere Verfahren und Methoden zur Probennahme, -vorbehandlung, -vorbereitung und -aufarbeitung sowie zur physikalisch-chemischen und chemischen Analyse angewendet werden, wenn deren Gleichwertigkeit und praktische Eignung </w:t>
      </w:r>
    </w:p>
    <w:p w14:paraId="5E1453A9" w14:textId="29C3D350" w:rsidR="00174E3F" w:rsidRPr="008D0377" w:rsidRDefault="00174E3F" w:rsidP="00174E3F">
      <w:pPr>
        <w:pStyle w:val="NummerierungStufe1"/>
      </w:pPr>
      <w:r w:rsidRPr="008D0377">
        <w:lastRenderedPageBreak/>
        <w:t>durch den Fachbeirat Bodenuntersuchungen allgemein festgestellt und die Feststellung durch das Bundesministerium für Umwelt, Naturschutz, Bau und Reaktorsichersicherheit im Bundesanzeiger veröffentlicht wurde oder</w:t>
      </w:r>
    </w:p>
    <w:p w14:paraId="60378379" w14:textId="2DF57FCC" w:rsidR="00174E3F" w:rsidRPr="008809E7" w:rsidRDefault="00174E3F" w:rsidP="00174E3F">
      <w:pPr>
        <w:pStyle w:val="NummerierungStufe1"/>
      </w:pPr>
      <w:r w:rsidRPr="008D0377">
        <w:t>vom Anwender im Einzelfall gegenüber der zuständigen Behörde nachgewiesen wird.</w:t>
      </w:r>
    </w:p>
    <w:p w14:paraId="6A7C3040" w14:textId="631CD372" w:rsidR="00174E3F" w:rsidRPr="00174E3F" w:rsidRDefault="00174E3F" w:rsidP="00174E3F">
      <w:pPr>
        <w:pStyle w:val="AbschnittBezeichner"/>
      </w:pPr>
    </w:p>
    <w:p w14:paraId="0FE3AC7A" w14:textId="62DA2DB0" w:rsidR="00174E3F" w:rsidRPr="00174E3F" w:rsidRDefault="00174E3F" w:rsidP="00174E3F">
      <w:pPr>
        <w:pStyle w:val="Abschnittberschrift"/>
      </w:pPr>
      <w:bookmarkStart w:id="84" w:name="_Toc64379972"/>
      <w:r w:rsidRPr="008D0377">
        <w:t>Gemeinsame Bestimmungen</w:t>
      </w:r>
      <w:bookmarkEnd w:id="84"/>
    </w:p>
    <w:p w14:paraId="25F524E5" w14:textId="3BB7A938" w:rsidR="00174E3F" w:rsidRPr="00174E3F" w:rsidRDefault="00174E3F" w:rsidP="00174E3F">
      <w:pPr>
        <w:pStyle w:val="ParagraphBezeichner"/>
      </w:pPr>
    </w:p>
    <w:p w14:paraId="48BA3F6B" w14:textId="2D880070" w:rsidR="00174E3F" w:rsidRPr="00174E3F" w:rsidRDefault="00174E3F" w:rsidP="00174E3F">
      <w:pPr>
        <w:pStyle w:val="Paragraphberschrift"/>
      </w:pPr>
      <w:bookmarkStart w:id="85" w:name="_Toc64379974"/>
      <w:r w:rsidRPr="008D0377">
        <w:t>Fachbeirat Bodenuntersuchungen</w:t>
      </w:r>
      <w:bookmarkEnd w:id="85"/>
    </w:p>
    <w:p w14:paraId="4F649F45" w14:textId="77777777" w:rsidR="00174E3F" w:rsidRPr="008D0377" w:rsidRDefault="00174E3F" w:rsidP="00174E3F">
      <w:pPr>
        <w:pStyle w:val="JuristischerAbsatznummeriert"/>
      </w:pPr>
      <w:r w:rsidRPr="008D0377">
        <w:t>Beim Bundesministerium für Umwelt, Naturschutz, Bau und Reaktorsicherheit wird ein Fachbeirat Bodenuntersuchungen (FBU) eingerichtet. Er hat die Aufgabe, Erkenntnisse über fortschrittliche Verfahren und Methoden, deren praktische Eignung zur Erfüllung der Anforderungen der §§ 10 bis 15 und des Abschnitts 4 gesichert erscheint, sowie über deren Anwendung zusammenzustellen. Zu diesem Zweck kann der Fachbeirat insbesondere</w:t>
      </w:r>
    </w:p>
    <w:p w14:paraId="623EFC85" w14:textId="77777777" w:rsidR="00174E3F" w:rsidRPr="008D0377" w:rsidRDefault="00174E3F" w:rsidP="00174E3F">
      <w:pPr>
        <w:pStyle w:val="NummerierungStufe1"/>
      </w:pPr>
      <w:r w:rsidRPr="008D0377">
        <w:t>Maßstäbe zur Beurteilung der Gleichwertigkeit und praktischen Eignung von Verfahren und Methoden zur Probennahme, -vorbehandlung, -vorbereitung und -aufarbeitung sowie zur physikalisch-chemischen und chemischen Analyse aufstellen,</w:t>
      </w:r>
    </w:p>
    <w:p w14:paraId="256A6E15" w14:textId="77777777" w:rsidR="00174E3F" w:rsidRPr="008D0377" w:rsidRDefault="00174E3F" w:rsidP="00174E3F">
      <w:pPr>
        <w:pStyle w:val="NummerierungStufe1"/>
      </w:pPr>
      <w:r w:rsidRPr="008D0377">
        <w:t>die Gleichwertigkeit und praktische Eignung von Verfahren und Methoden zur Probennahme, -vorbehandlung, -vorbereitung und -aufarbeitung sowie zur physikalisch-chemischen und chemischen Analyse allgemein feststellen und</w:t>
      </w:r>
    </w:p>
    <w:p w14:paraId="7F0DE774" w14:textId="77777777" w:rsidR="00174E3F" w:rsidRPr="008D0377" w:rsidRDefault="00174E3F" w:rsidP="00174E3F">
      <w:pPr>
        <w:pStyle w:val="NummerierungStufe1"/>
      </w:pPr>
      <w:r w:rsidRPr="008D0377">
        <w:t>Empfehlungen zur Eignung von Qualitätssicherungsmaßnahmen einschließlich der zulässigen Ergebnisunsicherheit von Verfahren und Methoden im Sinne der Nummern 1 und 2 abgeben.</w:t>
      </w:r>
    </w:p>
    <w:p w14:paraId="551C869D" w14:textId="2435A6EC" w:rsidR="00174E3F" w:rsidRPr="008D0377" w:rsidRDefault="00174E3F" w:rsidP="00174E3F">
      <w:pPr>
        <w:pStyle w:val="JuristischerAbsatznummeriert"/>
      </w:pPr>
      <w:r w:rsidRPr="008D0377">
        <w:t>In den Fachbeirat sind fachlich qualifizierte und erfahrene Personen aus Bundes- und Landesbehörden, aus der Wissenschaft sowie aus Wirtschaftsbereichen, die vom Vollzug dieser Verordnung berührt sind, zu berufen. Der Fachbeirat soll nicht mehr als zwölf Mitglieder umfassen. Die Mitglieder des Fachbeirats sind nicht weisungsgebunden und nehmen zu den ihnen vorgelegten Fragen auf Grund ihrer fachlichen Qualifikation und Erfahrung Stellung. Die Mitgliedschaft ist ehrenamtlich.</w:t>
      </w:r>
    </w:p>
    <w:p w14:paraId="3A46158E" w14:textId="379B0148" w:rsidR="00174E3F" w:rsidRPr="008D0377" w:rsidRDefault="00174E3F" w:rsidP="00174E3F">
      <w:pPr>
        <w:pStyle w:val="JuristischerAbsatznummeriert"/>
      </w:pPr>
      <w:r w:rsidRPr="008D0377">
        <w:t>Das Bundesministerium für Umwelt, Naturschutz, Bau und Reaktorsicherheit beruft die Mitglieder des Fachbeirats. Der Fachbeirat gibt sich eine Geschäftsordnung und wählt aus seiner Mitte eine Vorsitzende oder einen Vorsitzenden. Die Geschäftsordnung bedarf der Zustimmung des Bundesministeriums für Umwelt, Naturschutz, Bau und Reaktorsicherheit.</w:t>
      </w:r>
    </w:p>
    <w:p w14:paraId="21CA1381" w14:textId="1EECA821" w:rsidR="00174E3F" w:rsidRPr="00174E3F" w:rsidRDefault="00174E3F" w:rsidP="00174E3F">
      <w:pPr>
        <w:pStyle w:val="ParagraphBezeichner"/>
      </w:pPr>
    </w:p>
    <w:p w14:paraId="0B4B65D2" w14:textId="6E38CB42" w:rsidR="00174E3F" w:rsidRPr="00174E3F" w:rsidRDefault="00174E3F" w:rsidP="00174E3F">
      <w:pPr>
        <w:pStyle w:val="Paragraphberschrift"/>
      </w:pPr>
      <w:bookmarkStart w:id="86" w:name="_Toc64379976"/>
      <w:r w:rsidRPr="008D0377">
        <w:t>Ordnungswidrigkeiten</w:t>
      </w:r>
      <w:bookmarkEnd w:id="86"/>
    </w:p>
    <w:p w14:paraId="4D361C7C" w14:textId="2FEF8D07" w:rsidR="00174E3F" w:rsidRPr="008D0377" w:rsidRDefault="00174E3F" w:rsidP="00174E3F">
      <w:pPr>
        <w:pStyle w:val="JuristischerAbsatznichtnummeriert"/>
      </w:pPr>
      <w:r w:rsidRPr="008D0377">
        <w:t>Ordnungswidrig im Sinne des § 26 Absatz 1 Nummer 1 des Bundes-Bodenschutzgesetzes handelt, wer vorsätzlich oder fahrlässig</w:t>
      </w:r>
    </w:p>
    <w:p w14:paraId="6A8ED5B9" w14:textId="77777777" w:rsidR="00174E3F" w:rsidRPr="008D0377" w:rsidRDefault="00174E3F" w:rsidP="00174E3F">
      <w:pPr>
        <w:pStyle w:val="NummerierungStufe1"/>
      </w:pPr>
      <w:r w:rsidRPr="008D0377">
        <w:lastRenderedPageBreak/>
        <w:t>entgegen § 6 Absatz 2 oder§ 7 Absatz 6 Satz 1, auch in Verbindung mit Satz 2, oder § 8 Absatz 5 Satz 1 oder 2 Material aufbringt oder einbringt,</w:t>
      </w:r>
    </w:p>
    <w:p w14:paraId="694438E5" w14:textId="77777777" w:rsidR="00174E3F" w:rsidRPr="008D0377" w:rsidRDefault="00174E3F" w:rsidP="00174E3F">
      <w:pPr>
        <w:pStyle w:val="NummerierungStufe1"/>
      </w:pPr>
      <w:r w:rsidRPr="008D0377">
        <w:t>entgegen § 6 Absatz 5 Satz 1 eine Untersuchung nicht, nicht richtig, nicht vollständig oder nicht rechtzeitig durchführt oder nicht, nicht richtig, nicht vollständig oder nicht rechtzeitig durchführen lässt,</w:t>
      </w:r>
    </w:p>
    <w:p w14:paraId="52BD24CB" w14:textId="77777777" w:rsidR="00174E3F" w:rsidRPr="008D0377" w:rsidRDefault="00174E3F" w:rsidP="00174E3F">
      <w:pPr>
        <w:pStyle w:val="NummerierungStufe1"/>
      </w:pPr>
      <w:r w:rsidRPr="008D0377">
        <w:t>entgegen § 6 Absatz 7 Satz 1 eine Dokumentation nicht, nicht richtig oder nicht rechtzeitig erstellt,</w:t>
      </w:r>
    </w:p>
    <w:p w14:paraId="6A7148CA" w14:textId="77777777" w:rsidR="00174E3F" w:rsidRPr="008D0377" w:rsidRDefault="00174E3F" w:rsidP="00174E3F">
      <w:pPr>
        <w:pStyle w:val="NummerierungStufe1"/>
      </w:pPr>
      <w:r w:rsidRPr="008D0377">
        <w:t>entgegen § 6 Absatz 7 Satz 2 ein Dokument nicht oder nicht mindestens zehn Jahre aufbewahrt oder nicht oder nicht rechtzeitig vorlegt,</w:t>
      </w:r>
    </w:p>
    <w:p w14:paraId="25530806" w14:textId="77777777" w:rsidR="00174E3F" w:rsidRPr="008D0377" w:rsidRDefault="00174E3F" w:rsidP="00174E3F">
      <w:pPr>
        <w:pStyle w:val="NummerierungStufe1"/>
      </w:pPr>
      <w:r w:rsidRPr="008D0377">
        <w:t>entgegen § 6 Absatz 8 Satz 1 eine Anzeige nicht, nicht richtig, nicht vollständig oder nicht rechtzeitig erstattet oder</w:t>
      </w:r>
    </w:p>
    <w:p w14:paraId="471DD94F" w14:textId="6CF11BB3" w:rsidR="00174E3F" w:rsidRPr="00174E3F" w:rsidRDefault="00174E3F" w:rsidP="00174E3F">
      <w:pPr>
        <w:pStyle w:val="NummerierungStufe1"/>
      </w:pPr>
      <w:r w:rsidRPr="008D0377">
        <w:t>entgegen § 7 Absatz 1 Satz 1 oder § 8 Absatz 1 Satz 1 ein Material oder ein Gemisch verwendet.</w:t>
      </w:r>
    </w:p>
    <w:p w14:paraId="7A38F258" w14:textId="67D7478E" w:rsidR="00174E3F" w:rsidRPr="00174E3F" w:rsidRDefault="00174E3F" w:rsidP="00174E3F">
      <w:pPr>
        <w:pStyle w:val="ParagraphBezeichner"/>
      </w:pPr>
    </w:p>
    <w:p w14:paraId="30506CCB" w14:textId="2B94C5C6" w:rsidR="00174E3F" w:rsidRPr="00174E3F" w:rsidRDefault="00174E3F" w:rsidP="00174E3F">
      <w:pPr>
        <w:pStyle w:val="Paragraphberschrift"/>
      </w:pPr>
      <w:bookmarkStart w:id="87" w:name="_Toc64379978"/>
      <w:r w:rsidRPr="008D0377">
        <w:t>Zugänglichkeit technischer Regeln und Normen</w:t>
      </w:r>
      <w:bookmarkEnd w:id="87"/>
    </w:p>
    <w:p w14:paraId="055646A3" w14:textId="77777777" w:rsidR="00174E3F" w:rsidRPr="008D0377" w:rsidRDefault="00174E3F" w:rsidP="00174E3F">
      <w:pPr>
        <w:pStyle w:val="JuristischerAbsatznummeriert"/>
      </w:pPr>
      <w:r w:rsidRPr="008D0377">
        <w:t xml:space="preserve">Die in dieser Verordnung genannten DIN- und ISO-Normen, Normentwürfe und VDI-Richtlinien sind in Anlage 4 mit ihrer vollständigen Bezeichnung aufgeführt und können bei der Beuth-Verlag GmbH, 10772 Berlin, bezogen werden. Die „Arbeitshilfe für die Bodenansprache im vor- und nachsorgenden Bodenschutz – Auszug aus der Bodenkundlichen </w:t>
      </w:r>
      <w:proofErr w:type="spellStart"/>
      <w:r w:rsidRPr="008D0377">
        <w:t>Kartieranleitung</w:t>
      </w:r>
      <w:proofErr w:type="spellEnd"/>
      <w:r w:rsidRPr="008D0377">
        <w:t xml:space="preserve"> KA 5“; Hannover 2009, kann bei der E. </w:t>
      </w:r>
      <w:proofErr w:type="spellStart"/>
      <w:r w:rsidRPr="008D0377">
        <w:t>Schweizerbart'sche</w:t>
      </w:r>
      <w:proofErr w:type="spellEnd"/>
      <w:r w:rsidRPr="008D0377">
        <w:t xml:space="preserve"> Verlagsbuchhandlung, 70176 Stuttgart, bezogen werden.</w:t>
      </w:r>
    </w:p>
    <w:p w14:paraId="163C6B91" w14:textId="1393FE7C" w:rsidR="00174E3F" w:rsidRPr="008D0377" w:rsidRDefault="00174E3F" w:rsidP="00174E3F">
      <w:pPr>
        <w:pStyle w:val="JuristischerAbsatznummeriert"/>
      </w:pPr>
      <w:r w:rsidRPr="008D0377">
        <w:t>Die in Absatz 1 genannten technischen Regeln und Normen sind bei der Deutschen Nationalbibliothek archivmäßig gesichert niedergelegt.</w:t>
      </w:r>
    </w:p>
    <w:p w14:paraId="49B1DCEC" w14:textId="3C88305D" w:rsidR="00174E3F" w:rsidRPr="008809E7" w:rsidRDefault="00174E3F" w:rsidP="00174E3F">
      <w:pPr>
        <w:pStyle w:val="JuristischerAbsatznummeriert"/>
      </w:pPr>
      <w:r w:rsidRPr="008D0377">
        <w:t>Verweisungen auf Entwürfe von technischen Normen in den Anlagen beziehen sich jeweils auf die Fassung, die zu dem in der Verweisung angegebenen Zeitpunkt veröffentlicht ist.</w:t>
      </w:r>
    </w:p>
    <w:p w14:paraId="295E836A" w14:textId="33E8F6D6" w:rsidR="00174E3F" w:rsidRPr="00174E3F" w:rsidRDefault="00174E3F" w:rsidP="00174E3F">
      <w:pPr>
        <w:pStyle w:val="ParagraphBezeichner"/>
      </w:pPr>
    </w:p>
    <w:p w14:paraId="7767FB4A" w14:textId="51C01D07" w:rsidR="00174E3F" w:rsidRPr="00174E3F" w:rsidRDefault="00174E3F" w:rsidP="00174E3F">
      <w:pPr>
        <w:pStyle w:val="Paragraphberschrift"/>
      </w:pPr>
      <w:bookmarkStart w:id="88" w:name="_Toc64379980"/>
      <w:r w:rsidRPr="008D0377">
        <w:t>Übergangsregelung</w:t>
      </w:r>
      <w:bookmarkEnd w:id="88"/>
    </w:p>
    <w:p w14:paraId="4AE52DFB" w14:textId="77777777" w:rsidR="00174E3F" w:rsidRPr="008D0377" w:rsidRDefault="00174E3F" w:rsidP="00174E3F">
      <w:pPr>
        <w:pStyle w:val="JuristischerAbsatznummeriert"/>
      </w:pPr>
      <w:r w:rsidRPr="008D0377">
        <w:t xml:space="preserve">Werden Materialien bei Verfüllungen von Abgrabungen auf Grund von Zulassungen, die vor dem … </w:t>
      </w:r>
      <w:r w:rsidRPr="008D0377">
        <w:rPr>
          <w:rStyle w:val="Marker"/>
        </w:rPr>
        <w:t>[einsetzen: Datum der Verkündung dieser Verordnung]</w:t>
      </w:r>
      <w:r w:rsidRPr="008D0377">
        <w:t xml:space="preserve"> erteilt wurden und die Anforderungen an die auf- oder einzubringenden Materialien festlegen, auf oder in den Boden auf- oder eingebracht, sind die Anforderungen dieser Verordnung erst ab dem … </w:t>
      </w:r>
      <w:r w:rsidRPr="008D0377">
        <w:rPr>
          <w:rStyle w:val="Marker"/>
        </w:rPr>
        <w:t>[einsetzen: Angabe des Tages und Monats des Inkrafttretens dieser Verordnung sowie die Jahreszahl des achten auf das Inkrafttreten folgenden Jahres]</w:t>
      </w:r>
      <w:r w:rsidRPr="008D0377">
        <w:t xml:space="preserve"> einzuhalten.</w:t>
      </w:r>
    </w:p>
    <w:p w14:paraId="04D0284B" w14:textId="41F6EB13" w:rsidR="00174E3F" w:rsidRPr="008D0377" w:rsidRDefault="00174E3F" w:rsidP="00174E3F">
      <w:pPr>
        <w:pStyle w:val="JuristischerAbsatznummeriert"/>
      </w:pPr>
      <w:r w:rsidRPr="008D0377">
        <w:t>Die sich aus § 19 Absatz 1 Satz 1 und 2 ergebenden allgemeinen Anforderungen an die Probennahme sind ab dem … [einsetzen: Angabe des Tages und Monats des Inkrafttretens dieser Verordnung sowie die Jahreszahl des fünften auf das Inkrafttreten folgenden Jahres] einzuhalten.</w:t>
      </w:r>
    </w:p>
    <w:p w14:paraId="7AC82CBD" w14:textId="77777777" w:rsidR="00174E3F" w:rsidRDefault="00174E3F" w:rsidP="00174E3F">
      <w:pPr>
        <w:sectPr w:rsidR="00174E3F" w:rsidSect="007947FE">
          <w:pgSz w:w="11907" w:h="16839"/>
          <w:pgMar w:top="1134" w:right="1417" w:bottom="1134" w:left="1701" w:header="709" w:footer="709" w:gutter="0"/>
          <w:cols w:space="708"/>
          <w:docGrid w:linePitch="360"/>
        </w:sectPr>
      </w:pPr>
    </w:p>
    <w:p w14:paraId="7D05B2B0" w14:textId="2261A14A" w:rsidR="00174E3F" w:rsidRPr="00174E3F" w:rsidRDefault="00174E3F" w:rsidP="00656043">
      <w:pPr>
        <w:pStyle w:val="AnlageBezeichnernummeriert"/>
        <w:numPr>
          <w:ilvl w:val="0"/>
          <w:numId w:val="28"/>
        </w:numPr>
      </w:pPr>
    </w:p>
    <w:p w14:paraId="19246260" w14:textId="551DDF5C" w:rsidR="00D16E21" w:rsidRPr="00D16E21" w:rsidRDefault="00D16E21" w:rsidP="00D16E21">
      <w:pPr>
        <w:pStyle w:val="AnlageVerweis"/>
      </w:pPr>
      <w:r w:rsidRPr="008D0377">
        <w:t>(zu § 3 Absatz 1 Satz1 Nummer 1 und Absatz 2, § 5, § 6 Absatz 5 Satz 2 und Absatz 6 Nummer1, § 7 Absatz 2, 3 und 5, § 8 Absatz 2, Absatz 3 Nummer 1, Absatz 6 Nummer 1 und Absatz 7 Satz 1 und 6, § 24 Absatz 4 Nummer 1 und 2, Absatz 7 Nummer 1, Absatz 9 Nummer 1 und Absatz 10 Nummer 1)</w:t>
      </w:r>
    </w:p>
    <w:p w14:paraId="27D4F7C7" w14:textId="4F7D68A5" w:rsidR="00174E3F" w:rsidRPr="00174E3F" w:rsidRDefault="00174E3F" w:rsidP="00174E3F">
      <w:pPr>
        <w:pStyle w:val="Anlageberschrift"/>
      </w:pPr>
      <w:bookmarkStart w:id="89" w:name="_Toc64379982"/>
      <w:r w:rsidRPr="008D0377">
        <w:t>Vorsorgewerte und Werte zur Beurteilung von Materialien</w:t>
      </w:r>
      <w:bookmarkEnd w:id="89"/>
    </w:p>
    <w:p w14:paraId="681A3CF4" w14:textId="04DB66CB" w:rsidR="00D16E21" w:rsidRPr="00D16E21" w:rsidRDefault="00D16E21" w:rsidP="00D16E21">
      <w:pPr>
        <w:pStyle w:val="berschrift1"/>
      </w:pPr>
      <w:r w:rsidRPr="008D0377">
        <w:t>Tabelle 1: Vorsorgewerte für anorganische Stoffe1)</w:t>
      </w:r>
    </w:p>
    <w:tbl>
      <w:tblPr>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39"/>
        <w:gridCol w:w="2097"/>
        <w:gridCol w:w="2835"/>
        <w:gridCol w:w="1984"/>
      </w:tblGrid>
      <w:tr w:rsidR="00D16E21" w:rsidRPr="005D4F27" w14:paraId="003B479A" w14:textId="77777777" w:rsidTr="009030B5">
        <w:tc>
          <w:tcPr>
            <w:tcW w:w="1839" w:type="dxa"/>
            <w:tcBorders>
              <w:top w:val="single" w:sz="12" w:space="0" w:color="auto"/>
              <w:bottom w:val="single" w:sz="12" w:space="0" w:color="auto"/>
              <w:right w:val="single" w:sz="12" w:space="0" w:color="auto"/>
            </w:tcBorders>
            <w:shd w:val="clear" w:color="auto" w:fill="EEECE1"/>
          </w:tcPr>
          <w:p w14:paraId="51A152CD" w14:textId="77777777" w:rsidR="00D16E21" w:rsidRPr="005D4F27" w:rsidRDefault="00D16E21" w:rsidP="009030B5">
            <w:pPr>
              <w:rPr>
                <w:rFonts w:eastAsia="Calibri"/>
                <w:b/>
              </w:rPr>
            </w:pPr>
            <w:r w:rsidRPr="005D4F27">
              <w:rPr>
                <w:rFonts w:eastAsia="Calibri"/>
                <w:b/>
              </w:rPr>
              <w:t>Stoff</w:t>
            </w:r>
          </w:p>
        </w:tc>
        <w:tc>
          <w:tcPr>
            <w:tcW w:w="2097" w:type="dxa"/>
            <w:tcBorders>
              <w:top w:val="single" w:sz="12" w:space="0" w:color="auto"/>
              <w:left w:val="single" w:sz="12" w:space="0" w:color="auto"/>
              <w:bottom w:val="single" w:sz="12" w:space="0" w:color="auto"/>
            </w:tcBorders>
            <w:shd w:val="clear" w:color="auto" w:fill="EEECE1"/>
          </w:tcPr>
          <w:p w14:paraId="34F26D79" w14:textId="77777777" w:rsidR="00D16E21" w:rsidRPr="005D4F27" w:rsidRDefault="00D16E21" w:rsidP="009030B5">
            <w:pPr>
              <w:rPr>
                <w:rFonts w:eastAsia="Calibri"/>
                <w:b/>
              </w:rPr>
            </w:pPr>
            <w:r w:rsidRPr="005D4F27">
              <w:rPr>
                <w:rFonts w:eastAsia="Calibri"/>
                <w:b/>
              </w:rPr>
              <w:t xml:space="preserve">Vorsorgewert bei Bodenart </w:t>
            </w:r>
            <w:r w:rsidRPr="005D4F27">
              <w:rPr>
                <w:rFonts w:eastAsia="Calibri"/>
                <w:b/>
                <w:vertAlign w:val="superscript"/>
              </w:rPr>
              <w:t>2)</w:t>
            </w:r>
            <w:r w:rsidRPr="005D4F27">
              <w:rPr>
                <w:rFonts w:eastAsia="Calibri"/>
                <w:b/>
              </w:rPr>
              <w:t xml:space="preserve"> Sand</w:t>
            </w:r>
          </w:p>
        </w:tc>
        <w:tc>
          <w:tcPr>
            <w:tcW w:w="2835" w:type="dxa"/>
            <w:tcBorders>
              <w:top w:val="single" w:sz="12" w:space="0" w:color="auto"/>
              <w:bottom w:val="single" w:sz="12" w:space="0" w:color="auto"/>
            </w:tcBorders>
            <w:shd w:val="clear" w:color="auto" w:fill="EEECE1"/>
          </w:tcPr>
          <w:p w14:paraId="535E7D1E" w14:textId="77777777" w:rsidR="00D16E21" w:rsidRPr="005D4F27" w:rsidRDefault="00D16E21" w:rsidP="009030B5">
            <w:pPr>
              <w:rPr>
                <w:rFonts w:eastAsia="Calibri"/>
                <w:b/>
              </w:rPr>
            </w:pPr>
            <w:r w:rsidRPr="005D4F27">
              <w:rPr>
                <w:rFonts w:eastAsia="Calibri"/>
                <w:b/>
              </w:rPr>
              <w:t xml:space="preserve">Vorsorgewertbei Bodenart </w:t>
            </w:r>
            <w:r w:rsidRPr="005D4F27">
              <w:rPr>
                <w:rFonts w:eastAsia="Calibri"/>
                <w:b/>
                <w:vertAlign w:val="superscript"/>
              </w:rPr>
              <w:t>2)</w:t>
            </w:r>
            <w:r w:rsidRPr="005D4F27">
              <w:rPr>
                <w:rFonts w:eastAsia="Calibri"/>
                <w:b/>
              </w:rPr>
              <w:t xml:space="preserve"> Lehm/Schluff</w:t>
            </w:r>
          </w:p>
        </w:tc>
        <w:tc>
          <w:tcPr>
            <w:tcW w:w="1984" w:type="dxa"/>
            <w:tcBorders>
              <w:top w:val="single" w:sz="12" w:space="0" w:color="auto"/>
              <w:bottom w:val="single" w:sz="12" w:space="0" w:color="auto"/>
            </w:tcBorders>
            <w:shd w:val="clear" w:color="auto" w:fill="EEECE1"/>
          </w:tcPr>
          <w:p w14:paraId="6AF2D0A5" w14:textId="77777777" w:rsidR="00D16E21" w:rsidRPr="005D4F27" w:rsidRDefault="00D16E21" w:rsidP="009030B5">
            <w:pPr>
              <w:rPr>
                <w:rFonts w:eastAsia="Calibri"/>
                <w:b/>
              </w:rPr>
            </w:pPr>
            <w:r w:rsidRPr="005D4F27">
              <w:rPr>
                <w:rFonts w:eastAsia="Calibri"/>
                <w:b/>
              </w:rPr>
              <w:t xml:space="preserve">Vorsorgewert bei Bodenart </w:t>
            </w:r>
            <w:r w:rsidRPr="005D4F27">
              <w:rPr>
                <w:rFonts w:eastAsia="Calibri"/>
                <w:b/>
                <w:vertAlign w:val="superscript"/>
              </w:rPr>
              <w:t>2)</w:t>
            </w:r>
            <w:r w:rsidRPr="005D4F27">
              <w:rPr>
                <w:rFonts w:eastAsia="Calibri"/>
                <w:b/>
              </w:rPr>
              <w:t xml:space="preserve"> Ton</w:t>
            </w:r>
          </w:p>
        </w:tc>
      </w:tr>
      <w:tr w:rsidR="00D16E21" w:rsidRPr="005D4F27" w14:paraId="7FE567B4" w14:textId="77777777" w:rsidTr="009030B5">
        <w:tc>
          <w:tcPr>
            <w:tcW w:w="1839" w:type="dxa"/>
            <w:tcBorders>
              <w:top w:val="single" w:sz="12" w:space="0" w:color="auto"/>
              <w:bottom w:val="single" w:sz="12" w:space="0" w:color="auto"/>
              <w:right w:val="single" w:sz="12" w:space="0" w:color="auto"/>
            </w:tcBorders>
            <w:shd w:val="clear" w:color="auto" w:fill="FFFFFF"/>
          </w:tcPr>
          <w:p w14:paraId="7D368395" w14:textId="77777777" w:rsidR="00D16E21" w:rsidRPr="005D4F27" w:rsidRDefault="00D16E21" w:rsidP="009030B5">
            <w:pPr>
              <w:rPr>
                <w:rFonts w:eastAsia="Calibri"/>
              </w:rPr>
            </w:pPr>
          </w:p>
        </w:tc>
        <w:tc>
          <w:tcPr>
            <w:tcW w:w="6916" w:type="dxa"/>
            <w:gridSpan w:val="3"/>
            <w:tcBorders>
              <w:top w:val="single" w:sz="12" w:space="0" w:color="auto"/>
              <w:left w:val="single" w:sz="12" w:space="0" w:color="auto"/>
              <w:bottom w:val="single" w:sz="12" w:space="0" w:color="auto"/>
            </w:tcBorders>
            <w:shd w:val="clear" w:color="auto" w:fill="FFFFFF"/>
          </w:tcPr>
          <w:p w14:paraId="2F62E484" w14:textId="77777777" w:rsidR="00D16E21" w:rsidRPr="005D4F27" w:rsidRDefault="00D16E21" w:rsidP="009030B5">
            <w:pPr>
              <w:jc w:val="center"/>
              <w:rPr>
                <w:rFonts w:eastAsia="Calibri"/>
              </w:rPr>
            </w:pPr>
            <w:r w:rsidRPr="008D26AB">
              <w:rPr>
                <w:rFonts w:ascii="Times" w:eastAsia="Times" w:hAnsi="Times" w:cs="Times"/>
                <w:sz w:val="26"/>
              </w:rPr>
              <w:t xml:space="preserve"> </w:t>
            </w:r>
            <w:r w:rsidRPr="008D26AB">
              <w:rPr>
                <w:rFonts w:eastAsia="Calibri"/>
              </w:rPr>
              <w:t>[mg/kg TM]</w:t>
            </w:r>
          </w:p>
        </w:tc>
      </w:tr>
      <w:tr w:rsidR="00D16E21" w:rsidRPr="005D4F27" w14:paraId="3DC493EF" w14:textId="77777777" w:rsidTr="009030B5">
        <w:trPr>
          <w:cantSplit/>
        </w:trPr>
        <w:tc>
          <w:tcPr>
            <w:tcW w:w="1839" w:type="dxa"/>
            <w:tcBorders>
              <w:top w:val="single" w:sz="12" w:space="0" w:color="auto"/>
              <w:right w:val="single" w:sz="12" w:space="0" w:color="auto"/>
            </w:tcBorders>
          </w:tcPr>
          <w:p w14:paraId="1EC856BC" w14:textId="77777777" w:rsidR="00D16E21" w:rsidRPr="005D4F27" w:rsidRDefault="00D16E21" w:rsidP="009030B5">
            <w:pPr>
              <w:rPr>
                <w:rFonts w:eastAsia="Calibri"/>
              </w:rPr>
            </w:pPr>
            <w:r w:rsidRPr="005D4F27">
              <w:rPr>
                <w:rFonts w:eastAsia="Calibri"/>
              </w:rPr>
              <w:t>Arsen</w:t>
            </w:r>
          </w:p>
        </w:tc>
        <w:tc>
          <w:tcPr>
            <w:tcW w:w="2097" w:type="dxa"/>
            <w:tcBorders>
              <w:top w:val="single" w:sz="12" w:space="0" w:color="auto"/>
              <w:left w:val="single" w:sz="12" w:space="0" w:color="auto"/>
            </w:tcBorders>
            <w:vAlign w:val="center"/>
          </w:tcPr>
          <w:p w14:paraId="06B424F8" w14:textId="77777777" w:rsidR="00D16E21" w:rsidRPr="005D4F27" w:rsidRDefault="00D16E21" w:rsidP="009030B5">
            <w:pPr>
              <w:jc w:val="center"/>
              <w:rPr>
                <w:rFonts w:eastAsia="Calibri"/>
              </w:rPr>
            </w:pPr>
            <w:r w:rsidRPr="005D4F27">
              <w:rPr>
                <w:rFonts w:eastAsia="Calibri"/>
              </w:rPr>
              <w:t>10</w:t>
            </w:r>
          </w:p>
        </w:tc>
        <w:tc>
          <w:tcPr>
            <w:tcW w:w="2835" w:type="dxa"/>
            <w:tcBorders>
              <w:top w:val="single" w:sz="12" w:space="0" w:color="auto"/>
            </w:tcBorders>
            <w:vAlign w:val="center"/>
          </w:tcPr>
          <w:p w14:paraId="47FAFA30" w14:textId="77777777" w:rsidR="00D16E21" w:rsidRPr="005D4F27" w:rsidRDefault="00D16E21" w:rsidP="009030B5">
            <w:pPr>
              <w:jc w:val="center"/>
              <w:rPr>
                <w:rFonts w:eastAsia="Calibri"/>
              </w:rPr>
            </w:pPr>
            <w:r w:rsidRPr="005D4F27">
              <w:rPr>
                <w:rFonts w:eastAsia="Calibri"/>
              </w:rPr>
              <w:t>20</w:t>
            </w:r>
          </w:p>
        </w:tc>
        <w:tc>
          <w:tcPr>
            <w:tcW w:w="1984" w:type="dxa"/>
            <w:tcBorders>
              <w:top w:val="single" w:sz="12" w:space="0" w:color="auto"/>
            </w:tcBorders>
            <w:vAlign w:val="center"/>
          </w:tcPr>
          <w:p w14:paraId="025CD0D8" w14:textId="77777777" w:rsidR="00D16E21" w:rsidRPr="005D4F27" w:rsidRDefault="00D16E21" w:rsidP="009030B5">
            <w:pPr>
              <w:jc w:val="center"/>
              <w:rPr>
                <w:rFonts w:eastAsia="Calibri"/>
              </w:rPr>
            </w:pPr>
            <w:r w:rsidRPr="005D4F27">
              <w:rPr>
                <w:rFonts w:eastAsia="Calibri"/>
              </w:rPr>
              <w:t>20</w:t>
            </w:r>
          </w:p>
        </w:tc>
      </w:tr>
      <w:tr w:rsidR="00D16E21" w:rsidRPr="005D4F27" w14:paraId="09A0F44B" w14:textId="77777777" w:rsidTr="009030B5">
        <w:trPr>
          <w:cantSplit/>
        </w:trPr>
        <w:tc>
          <w:tcPr>
            <w:tcW w:w="1839" w:type="dxa"/>
            <w:tcBorders>
              <w:right w:val="single" w:sz="12" w:space="0" w:color="auto"/>
            </w:tcBorders>
          </w:tcPr>
          <w:p w14:paraId="396C0AC6" w14:textId="77777777" w:rsidR="00D16E21" w:rsidRPr="005D4F27" w:rsidRDefault="00D16E21" w:rsidP="009030B5">
            <w:pPr>
              <w:rPr>
                <w:rFonts w:eastAsia="Calibri"/>
              </w:rPr>
            </w:pPr>
            <w:r w:rsidRPr="005D4F27">
              <w:rPr>
                <w:rFonts w:eastAsia="Calibri"/>
              </w:rPr>
              <w:t xml:space="preserve">Blei </w:t>
            </w:r>
            <w:r w:rsidRPr="005D4F27">
              <w:rPr>
                <w:rFonts w:eastAsia="Calibri"/>
                <w:vertAlign w:val="superscript"/>
              </w:rPr>
              <w:t>3)</w:t>
            </w:r>
          </w:p>
        </w:tc>
        <w:tc>
          <w:tcPr>
            <w:tcW w:w="2097" w:type="dxa"/>
            <w:tcBorders>
              <w:left w:val="single" w:sz="12" w:space="0" w:color="auto"/>
            </w:tcBorders>
            <w:vAlign w:val="center"/>
          </w:tcPr>
          <w:p w14:paraId="00E61B56" w14:textId="77777777" w:rsidR="00D16E21" w:rsidRPr="005D4F27" w:rsidRDefault="00D16E21" w:rsidP="009030B5">
            <w:pPr>
              <w:jc w:val="center"/>
              <w:rPr>
                <w:rFonts w:eastAsia="Calibri"/>
              </w:rPr>
            </w:pPr>
            <w:r w:rsidRPr="005D4F27">
              <w:rPr>
                <w:rFonts w:eastAsia="Calibri"/>
              </w:rPr>
              <w:t>40</w:t>
            </w:r>
          </w:p>
        </w:tc>
        <w:tc>
          <w:tcPr>
            <w:tcW w:w="2835" w:type="dxa"/>
            <w:vAlign w:val="center"/>
          </w:tcPr>
          <w:p w14:paraId="16B357B6" w14:textId="77777777" w:rsidR="00D16E21" w:rsidRPr="005D4F27" w:rsidRDefault="00D16E21" w:rsidP="009030B5">
            <w:pPr>
              <w:jc w:val="center"/>
              <w:rPr>
                <w:rFonts w:eastAsia="Calibri"/>
              </w:rPr>
            </w:pPr>
            <w:r w:rsidRPr="005D4F27">
              <w:rPr>
                <w:rFonts w:eastAsia="Calibri"/>
              </w:rPr>
              <w:t>70</w:t>
            </w:r>
          </w:p>
        </w:tc>
        <w:tc>
          <w:tcPr>
            <w:tcW w:w="1984" w:type="dxa"/>
            <w:vAlign w:val="center"/>
          </w:tcPr>
          <w:p w14:paraId="79388DB3" w14:textId="77777777" w:rsidR="00D16E21" w:rsidRPr="005D4F27" w:rsidRDefault="00D16E21" w:rsidP="009030B5">
            <w:pPr>
              <w:jc w:val="center"/>
              <w:rPr>
                <w:rFonts w:eastAsia="Calibri"/>
              </w:rPr>
            </w:pPr>
            <w:r w:rsidRPr="005D4F27">
              <w:rPr>
                <w:rFonts w:eastAsia="Calibri"/>
              </w:rPr>
              <w:t>100</w:t>
            </w:r>
          </w:p>
        </w:tc>
      </w:tr>
      <w:tr w:rsidR="00D16E21" w:rsidRPr="005D4F27" w14:paraId="7F3C6692" w14:textId="77777777" w:rsidTr="009030B5">
        <w:trPr>
          <w:cantSplit/>
        </w:trPr>
        <w:tc>
          <w:tcPr>
            <w:tcW w:w="1839" w:type="dxa"/>
            <w:tcBorders>
              <w:right w:val="single" w:sz="12" w:space="0" w:color="auto"/>
            </w:tcBorders>
          </w:tcPr>
          <w:p w14:paraId="7EC89E76" w14:textId="77777777" w:rsidR="00D16E21" w:rsidRPr="005D4F27" w:rsidRDefault="00D16E21" w:rsidP="009030B5">
            <w:pPr>
              <w:rPr>
                <w:rFonts w:eastAsia="Calibri"/>
              </w:rPr>
            </w:pPr>
            <w:r w:rsidRPr="005D4F27">
              <w:rPr>
                <w:rFonts w:eastAsia="Calibri"/>
              </w:rPr>
              <w:t xml:space="preserve">Cadmium </w:t>
            </w:r>
            <w:r w:rsidRPr="005D4F27">
              <w:rPr>
                <w:rFonts w:eastAsia="Calibri"/>
                <w:vertAlign w:val="superscript"/>
              </w:rPr>
              <w:t>4)</w:t>
            </w:r>
          </w:p>
        </w:tc>
        <w:tc>
          <w:tcPr>
            <w:tcW w:w="2097" w:type="dxa"/>
            <w:tcBorders>
              <w:left w:val="single" w:sz="12" w:space="0" w:color="auto"/>
            </w:tcBorders>
            <w:vAlign w:val="center"/>
          </w:tcPr>
          <w:p w14:paraId="7173FE10" w14:textId="77777777" w:rsidR="00D16E21" w:rsidRPr="005D4F27" w:rsidRDefault="00D16E21" w:rsidP="009030B5">
            <w:pPr>
              <w:jc w:val="center"/>
              <w:rPr>
                <w:rFonts w:eastAsia="Calibri"/>
              </w:rPr>
            </w:pPr>
            <w:r w:rsidRPr="005D4F27">
              <w:rPr>
                <w:rFonts w:eastAsia="Calibri"/>
              </w:rPr>
              <w:t>0,4</w:t>
            </w:r>
          </w:p>
        </w:tc>
        <w:tc>
          <w:tcPr>
            <w:tcW w:w="2835" w:type="dxa"/>
            <w:vAlign w:val="center"/>
          </w:tcPr>
          <w:p w14:paraId="09E6ACEB" w14:textId="77777777" w:rsidR="00D16E21" w:rsidRPr="005D4F27" w:rsidRDefault="00D16E21" w:rsidP="009030B5">
            <w:pPr>
              <w:jc w:val="center"/>
              <w:rPr>
                <w:rFonts w:eastAsia="Calibri"/>
              </w:rPr>
            </w:pPr>
            <w:r w:rsidRPr="005D4F27">
              <w:rPr>
                <w:rFonts w:eastAsia="Calibri"/>
              </w:rPr>
              <w:t>1</w:t>
            </w:r>
          </w:p>
        </w:tc>
        <w:tc>
          <w:tcPr>
            <w:tcW w:w="1984" w:type="dxa"/>
            <w:vAlign w:val="center"/>
          </w:tcPr>
          <w:p w14:paraId="718465A5" w14:textId="77777777" w:rsidR="00D16E21" w:rsidRPr="005D4F27" w:rsidRDefault="00D16E21" w:rsidP="009030B5">
            <w:pPr>
              <w:jc w:val="center"/>
              <w:rPr>
                <w:rFonts w:eastAsia="Calibri"/>
              </w:rPr>
            </w:pPr>
            <w:r w:rsidRPr="005D4F27">
              <w:rPr>
                <w:rFonts w:eastAsia="Calibri"/>
              </w:rPr>
              <w:t>1,5</w:t>
            </w:r>
          </w:p>
        </w:tc>
      </w:tr>
      <w:tr w:rsidR="00D16E21" w:rsidRPr="005D4F27" w14:paraId="0F505FE9" w14:textId="77777777" w:rsidTr="009030B5">
        <w:trPr>
          <w:cantSplit/>
        </w:trPr>
        <w:tc>
          <w:tcPr>
            <w:tcW w:w="1839" w:type="dxa"/>
            <w:tcBorders>
              <w:right w:val="single" w:sz="12" w:space="0" w:color="auto"/>
            </w:tcBorders>
          </w:tcPr>
          <w:p w14:paraId="4B37E427" w14:textId="77777777" w:rsidR="00D16E21" w:rsidRPr="005D4F27" w:rsidRDefault="00D16E21" w:rsidP="009030B5">
            <w:pPr>
              <w:rPr>
                <w:rFonts w:eastAsia="Calibri"/>
              </w:rPr>
            </w:pPr>
            <w:r w:rsidRPr="005D4F27">
              <w:rPr>
                <w:rFonts w:eastAsia="Calibri"/>
              </w:rPr>
              <w:t xml:space="preserve">Chrom </w:t>
            </w:r>
            <w:r w:rsidRPr="005D4F27">
              <w:rPr>
                <w:rFonts w:eastAsia="Calibri"/>
                <w:vertAlign w:val="subscript"/>
              </w:rPr>
              <w:t>gesamt</w:t>
            </w:r>
          </w:p>
        </w:tc>
        <w:tc>
          <w:tcPr>
            <w:tcW w:w="2097" w:type="dxa"/>
            <w:tcBorders>
              <w:left w:val="single" w:sz="12" w:space="0" w:color="auto"/>
            </w:tcBorders>
            <w:vAlign w:val="center"/>
          </w:tcPr>
          <w:p w14:paraId="3A388269" w14:textId="77777777" w:rsidR="00D16E21" w:rsidRPr="005D4F27" w:rsidRDefault="00D16E21" w:rsidP="009030B5">
            <w:pPr>
              <w:jc w:val="center"/>
              <w:rPr>
                <w:rFonts w:eastAsia="Calibri"/>
              </w:rPr>
            </w:pPr>
            <w:r w:rsidRPr="005D4F27">
              <w:rPr>
                <w:rFonts w:eastAsia="Calibri"/>
              </w:rPr>
              <w:t>30</w:t>
            </w:r>
          </w:p>
        </w:tc>
        <w:tc>
          <w:tcPr>
            <w:tcW w:w="2835" w:type="dxa"/>
            <w:vAlign w:val="center"/>
          </w:tcPr>
          <w:p w14:paraId="24EFD29C" w14:textId="77777777" w:rsidR="00D16E21" w:rsidRPr="005D4F27" w:rsidRDefault="00D16E21" w:rsidP="009030B5">
            <w:pPr>
              <w:jc w:val="center"/>
              <w:rPr>
                <w:rFonts w:eastAsia="Calibri"/>
              </w:rPr>
            </w:pPr>
            <w:r w:rsidRPr="005D4F27">
              <w:rPr>
                <w:rFonts w:eastAsia="Calibri"/>
              </w:rPr>
              <w:t>60</w:t>
            </w:r>
          </w:p>
        </w:tc>
        <w:tc>
          <w:tcPr>
            <w:tcW w:w="1984" w:type="dxa"/>
            <w:vAlign w:val="center"/>
          </w:tcPr>
          <w:p w14:paraId="1F6F63B2" w14:textId="77777777" w:rsidR="00D16E21" w:rsidRPr="005D4F27" w:rsidRDefault="00D16E21" w:rsidP="009030B5">
            <w:pPr>
              <w:jc w:val="center"/>
              <w:rPr>
                <w:rFonts w:eastAsia="Calibri"/>
              </w:rPr>
            </w:pPr>
            <w:r w:rsidRPr="005D4F27">
              <w:rPr>
                <w:rFonts w:eastAsia="Calibri"/>
              </w:rPr>
              <w:t>100</w:t>
            </w:r>
          </w:p>
        </w:tc>
      </w:tr>
      <w:tr w:rsidR="00D16E21" w:rsidRPr="005D4F27" w14:paraId="7FEFA562" w14:textId="77777777" w:rsidTr="009030B5">
        <w:trPr>
          <w:cantSplit/>
        </w:trPr>
        <w:tc>
          <w:tcPr>
            <w:tcW w:w="1839" w:type="dxa"/>
            <w:tcBorders>
              <w:right w:val="single" w:sz="12" w:space="0" w:color="auto"/>
            </w:tcBorders>
          </w:tcPr>
          <w:p w14:paraId="197C229F" w14:textId="77777777" w:rsidR="00D16E21" w:rsidRPr="005D4F27" w:rsidRDefault="00D16E21" w:rsidP="009030B5">
            <w:pPr>
              <w:rPr>
                <w:rFonts w:eastAsia="Calibri"/>
              </w:rPr>
            </w:pPr>
            <w:r w:rsidRPr="005D4F27">
              <w:rPr>
                <w:rFonts w:eastAsia="Calibri"/>
              </w:rPr>
              <w:t>Kupfer</w:t>
            </w:r>
          </w:p>
        </w:tc>
        <w:tc>
          <w:tcPr>
            <w:tcW w:w="2097" w:type="dxa"/>
            <w:tcBorders>
              <w:left w:val="single" w:sz="12" w:space="0" w:color="auto"/>
            </w:tcBorders>
            <w:vAlign w:val="center"/>
          </w:tcPr>
          <w:p w14:paraId="4A48F159" w14:textId="77777777" w:rsidR="00D16E21" w:rsidRPr="005D4F27" w:rsidRDefault="00D16E21" w:rsidP="009030B5">
            <w:pPr>
              <w:jc w:val="center"/>
              <w:rPr>
                <w:rFonts w:eastAsia="Calibri"/>
              </w:rPr>
            </w:pPr>
            <w:r w:rsidRPr="005D4F27">
              <w:rPr>
                <w:rFonts w:eastAsia="Calibri"/>
              </w:rPr>
              <w:t>20</w:t>
            </w:r>
          </w:p>
        </w:tc>
        <w:tc>
          <w:tcPr>
            <w:tcW w:w="2835" w:type="dxa"/>
            <w:vAlign w:val="center"/>
          </w:tcPr>
          <w:p w14:paraId="6B5FB706" w14:textId="77777777" w:rsidR="00D16E21" w:rsidRPr="005D4F27" w:rsidRDefault="00D16E21" w:rsidP="009030B5">
            <w:pPr>
              <w:jc w:val="center"/>
              <w:rPr>
                <w:rFonts w:eastAsia="Calibri"/>
              </w:rPr>
            </w:pPr>
            <w:r w:rsidRPr="005D4F27">
              <w:rPr>
                <w:rFonts w:eastAsia="Calibri"/>
              </w:rPr>
              <w:t>40</w:t>
            </w:r>
          </w:p>
        </w:tc>
        <w:tc>
          <w:tcPr>
            <w:tcW w:w="1984" w:type="dxa"/>
            <w:vAlign w:val="center"/>
          </w:tcPr>
          <w:p w14:paraId="51FD5D43" w14:textId="77777777" w:rsidR="00D16E21" w:rsidRPr="005D4F27" w:rsidRDefault="00D16E21" w:rsidP="009030B5">
            <w:pPr>
              <w:jc w:val="center"/>
              <w:rPr>
                <w:rFonts w:eastAsia="Calibri"/>
              </w:rPr>
            </w:pPr>
            <w:r w:rsidRPr="005D4F27">
              <w:rPr>
                <w:rFonts w:eastAsia="Calibri"/>
              </w:rPr>
              <w:t>60</w:t>
            </w:r>
          </w:p>
        </w:tc>
      </w:tr>
      <w:tr w:rsidR="00D16E21" w:rsidRPr="005D4F27" w14:paraId="51BE82BA" w14:textId="77777777" w:rsidTr="009030B5">
        <w:trPr>
          <w:cantSplit/>
        </w:trPr>
        <w:tc>
          <w:tcPr>
            <w:tcW w:w="1839" w:type="dxa"/>
            <w:tcBorders>
              <w:right w:val="single" w:sz="12" w:space="0" w:color="auto"/>
            </w:tcBorders>
          </w:tcPr>
          <w:p w14:paraId="27A89CD6" w14:textId="77777777" w:rsidR="00D16E21" w:rsidRPr="005D4F27" w:rsidRDefault="00D16E21" w:rsidP="009030B5">
            <w:pPr>
              <w:rPr>
                <w:rFonts w:eastAsia="Calibri"/>
              </w:rPr>
            </w:pPr>
            <w:r w:rsidRPr="005D4F27">
              <w:rPr>
                <w:rFonts w:eastAsia="Calibri"/>
              </w:rPr>
              <w:t xml:space="preserve">Nickel </w:t>
            </w:r>
            <w:r w:rsidRPr="005D4F27">
              <w:rPr>
                <w:rFonts w:eastAsia="Calibri"/>
                <w:vertAlign w:val="superscript"/>
              </w:rPr>
              <w:t>5)</w:t>
            </w:r>
          </w:p>
        </w:tc>
        <w:tc>
          <w:tcPr>
            <w:tcW w:w="2097" w:type="dxa"/>
            <w:tcBorders>
              <w:left w:val="single" w:sz="12" w:space="0" w:color="auto"/>
            </w:tcBorders>
            <w:vAlign w:val="center"/>
          </w:tcPr>
          <w:p w14:paraId="0A957784" w14:textId="77777777" w:rsidR="00D16E21" w:rsidRPr="005D4F27" w:rsidRDefault="00D16E21" w:rsidP="009030B5">
            <w:pPr>
              <w:jc w:val="center"/>
              <w:rPr>
                <w:rFonts w:eastAsia="Calibri"/>
              </w:rPr>
            </w:pPr>
            <w:r w:rsidRPr="005D4F27">
              <w:rPr>
                <w:rFonts w:eastAsia="Calibri"/>
              </w:rPr>
              <w:t>15</w:t>
            </w:r>
          </w:p>
        </w:tc>
        <w:tc>
          <w:tcPr>
            <w:tcW w:w="2835" w:type="dxa"/>
            <w:vAlign w:val="center"/>
          </w:tcPr>
          <w:p w14:paraId="2316B828" w14:textId="77777777" w:rsidR="00D16E21" w:rsidRPr="005D4F27" w:rsidRDefault="00D16E21" w:rsidP="009030B5">
            <w:pPr>
              <w:jc w:val="center"/>
              <w:rPr>
                <w:rFonts w:eastAsia="Calibri"/>
              </w:rPr>
            </w:pPr>
            <w:r w:rsidRPr="005D4F27">
              <w:rPr>
                <w:rFonts w:eastAsia="Calibri"/>
              </w:rPr>
              <w:t>50</w:t>
            </w:r>
          </w:p>
        </w:tc>
        <w:tc>
          <w:tcPr>
            <w:tcW w:w="1984" w:type="dxa"/>
            <w:vAlign w:val="center"/>
          </w:tcPr>
          <w:p w14:paraId="39A388A9" w14:textId="77777777" w:rsidR="00D16E21" w:rsidRPr="005D4F27" w:rsidRDefault="00D16E21" w:rsidP="009030B5">
            <w:pPr>
              <w:jc w:val="center"/>
              <w:rPr>
                <w:rFonts w:eastAsia="Calibri"/>
              </w:rPr>
            </w:pPr>
            <w:r w:rsidRPr="005D4F27">
              <w:rPr>
                <w:rFonts w:eastAsia="Calibri"/>
              </w:rPr>
              <w:t>70</w:t>
            </w:r>
          </w:p>
        </w:tc>
      </w:tr>
      <w:tr w:rsidR="00D16E21" w:rsidRPr="005D4F27" w14:paraId="50819FA9" w14:textId="77777777" w:rsidTr="009030B5">
        <w:trPr>
          <w:cantSplit/>
        </w:trPr>
        <w:tc>
          <w:tcPr>
            <w:tcW w:w="1839" w:type="dxa"/>
            <w:tcBorders>
              <w:right w:val="single" w:sz="12" w:space="0" w:color="auto"/>
            </w:tcBorders>
          </w:tcPr>
          <w:p w14:paraId="14A9F06A" w14:textId="77777777" w:rsidR="00D16E21" w:rsidRPr="005D4F27" w:rsidRDefault="00D16E21" w:rsidP="009030B5">
            <w:pPr>
              <w:rPr>
                <w:rFonts w:eastAsia="Calibri"/>
              </w:rPr>
            </w:pPr>
            <w:r w:rsidRPr="005D4F27">
              <w:rPr>
                <w:rFonts w:eastAsia="Calibri"/>
              </w:rPr>
              <w:t>Quecksilber</w:t>
            </w:r>
          </w:p>
        </w:tc>
        <w:tc>
          <w:tcPr>
            <w:tcW w:w="2097" w:type="dxa"/>
            <w:tcBorders>
              <w:left w:val="single" w:sz="12" w:space="0" w:color="auto"/>
            </w:tcBorders>
            <w:vAlign w:val="center"/>
          </w:tcPr>
          <w:p w14:paraId="5678D9FD" w14:textId="77777777" w:rsidR="00D16E21" w:rsidRPr="005D4F27" w:rsidRDefault="00D16E21" w:rsidP="009030B5">
            <w:pPr>
              <w:jc w:val="center"/>
              <w:rPr>
                <w:rFonts w:eastAsia="Calibri"/>
              </w:rPr>
            </w:pPr>
            <w:r w:rsidRPr="005D4F27">
              <w:rPr>
                <w:rFonts w:eastAsia="Calibri"/>
              </w:rPr>
              <w:t>0,2</w:t>
            </w:r>
          </w:p>
        </w:tc>
        <w:tc>
          <w:tcPr>
            <w:tcW w:w="2835" w:type="dxa"/>
            <w:vAlign w:val="center"/>
          </w:tcPr>
          <w:p w14:paraId="754FA3B0" w14:textId="77777777" w:rsidR="00D16E21" w:rsidRPr="005D4F27" w:rsidRDefault="00D16E21" w:rsidP="009030B5">
            <w:pPr>
              <w:jc w:val="center"/>
              <w:rPr>
                <w:rFonts w:eastAsia="Calibri"/>
              </w:rPr>
            </w:pPr>
            <w:r w:rsidRPr="005D4F27">
              <w:rPr>
                <w:rFonts w:eastAsia="Calibri"/>
              </w:rPr>
              <w:t>0,3</w:t>
            </w:r>
          </w:p>
        </w:tc>
        <w:tc>
          <w:tcPr>
            <w:tcW w:w="1984" w:type="dxa"/>
            <w:vAlign w:val="center"/>
          </w:tcPr>
          <w:p w14:paraId="0B477C8B" w14:textId="77777777" w:rsidR="00D16E21" w:rsidRPr="005D4F27" w:rsidRDefault="00D16E21" w:rsidP="009030B5">
            <w:pPr>
              <w:jc w:val="center"/>
              <w:rPr>
                <w:rFonts w:eastAsia="Calibri"/>
              </w:rPr>
            </w:pPr>
            <w:r w:rsidRPr="005D4F27">
              <w:rPr>
                <w:rFonts w:eastAsia="Calibri"/>
              </w:rPr>
              <w:t>0,3</w:t>
            </w:r>
          </w:p>
        </w:tc>
      </w:tr>
      <w:tr w:rsidR="00D16E21" w:rsidRPr="005D4F27" w14:paraId="788B93ED" w14:textId="77777777" w:rsidTr="009030B5">
        <w:tc>
          <w:tcPr>
            <w:tcW w:w="1839" w:type="dxa"/>
            <w:tcBorders>
              <w:right w:val="single" w:sz="12" w:space="0" w:color="auto"/>
            </w:tcBorders>
            <w:vAlign w:val="center"/>
          </w:tcPr>
          <w:p w14:paraId="17D6F4F5" w14:textId="77777777" w:rsidR="00D16E21" w:rsidRPr="005D4F27" w:rsidRDefault="00D16E21" w:rsidP="009030B5">
            <w:pPr>
              <w:rPr>
                <w:rFonts w:eastAsia="Calibri"/>
                <w:vertAlign w:val="superscript"/>
              </w:rPr>
            </w:pPr>
            <w:r w:rsidRPr="005D4F27">
              <w:rPr>
                <w:rFonts w:eastAsia="Calibri"/>
              </w:rPr>
              <w:t xml:space="preserve">Thallium </w:t>
            </w:r>
          </w:p>
        </w:tc>
        <w:tc>
          <w:tcPr>
            <w:tcW w:w="2097" w:type="dxa"/>
            <w:tcBorders>
              <w:left w:val="single" w:sz="12" w:space="0" w:color="auto"/>
            </w:tcBorders>
            <w:vAlign w:val="center"/>
          </w:tcPr>
          <w:p w14:paraId="2C801753" w14:textId="77777777" w:rsidR="00D16E21" w:rsidRPr="005D4F27" w:rsidRDefault="00D16E21" w:rsidP="009030B5">
            <w:pPr>
              <w:jc w:val="center"/>
              <w:rPr>
                <w:rFonts w:eastAsia="Calibri"/>
              </w:rPr>
            </w:pPr>
            <w:r w:rsidRPr="005D4F27">
              <w:rPr>
                <w:rFonts w:eastAsia="Calibri"/>
              </w:rPr>
              <w:t>0,5</w:t>
            </w:r>
          </w:p>
        </w:tc>
        <w:tc>
          <w:tcPr>
            <w:tcW w:w="2835" w:type="dxa"/>
            <w:vAlign w:val="center"/>
          </w:tcPr>
          <w:p w14:paraId="490B8718" w14:textId="77777777" w:rsidR="00D16E21" w:rsidRPr="005D4F27" w:rsidRDefault="00D16E21" w:rsidP="009030B5">
            <w:pPr>
              <w:jc w:val="center"/>
              <w:rPr>
                <w:rFonts w:eastAsia="Calibri"/>
              </w:rPr>
            </w:pPr>
            <w:r w:rsidRPr="005D4F27">
              <w:rPr>
                <w:rFonts w:eastAsia="Calibri"/>
              </w:rPr>
              <w:t>1</w:t>
            </w:r>
          </w:p>
        </w:tc>
        <w:tc>
          <w:tcPr>
            <w:tcW w:w="1984" w:type="dxa"/>
            <w:vAlign w:val="center"/>
          </w:tcPr>
          <w:p w14:paraId="5A4A898C" w14:textId="77777777" w:rsidR="00D16E21" w:rsidRPr="005D4F27" w:rsidRDefault="00D16E21" w:rsidP="009030B5">
            <w:pPr>
              <w:jc w:val="center"/>
              <w:rPr>
                <w:rFonts w:eastAsia="Calibri"/>
              </w:rPr>
            </w:pPr>
            <w:r w:rsidRPr="005D4F27">
              <w:rPr>
                <w:rFonts w:eastAsia="Calibri"/>
              </w:rPr>
              <w:t>1</w:t>
            </w:r>
          </w:p>
        </w:tc>
      </w:tr>
      <w:tr w:rsidR="00D16E21" w:rsidRPr="005D4F27" w14:paraId="22ACE421" w14:textId="77777777" w:rsidTr="009030B5">
        <w:tc>
          <w:tcPr>
            <w:tcW w:w="1839" w:type="dxa"/>
            <w:tcBorders>
              <w:bottom w:val="single" w:sz="12" w:space="0" w:color="auto"/>
              <w:right w:val="single" w:sz="12" w:space="0" w:color="auto"/>
            </w:tcBorders>
          </w:tcPr>
          <w:p w14:paraId="1DB6E3A9" w14:textId="77777777" w:rsidR="00D16E21" w:rsidRPr="005D4F27" w:rsidRDefault="00D16E21" w:rsidP="009030B5">
            <w:pPr>
              <w:rPr>
                <w:rFonts w:eastAsia="Calibri"/>
                <w:lang w:val="en-GB"/>
              </w:rPr>
            </w:pPr>
            <w:r w:rsidRPr="005D4F27">
              <w:rPr>
                <w:rFonts w:eastAsia="Calibri"/>
                <w:lang w:val="en-GB"/>
              </w:rPr>
              <w:t xml:space="preserve">Zink </w:t>
            </w:r>
            <w:r w:rsidRPr="005D4F27">
              <w:rPr>
                <w:rFonts w:eastAsia="Calibri"/>
                <w:vertAlign w:val="superscript"/>
                <w:lang w:val="en-GB"/>
              </w:rPr>
              <w:t>6)</w:t>
            </w:r>
          </w:p>
        </w:tc>
        <w:tc>
          <w:tcPr>
            <w:tcW w:w="2097" w:type="dxa"/>
            <w:tcBorders>
              <w:left w:val="single" w:sz="12" w:space="0" w:color="auto"/>
            </w:tcBorders>
            <w:vAlign w:val="center"/>
          </w:tcPr>
          <w:p w14:paraId="0C4887EA" w14:textId="77777777" w:rsidR="00D16E21" w:rsidRPr="005D4F27" w:rsidRDefault="00D16E21" w:rsidP="009030B5">
            <w:pPr>
              <w:jc w:val="center"/>
              <w:rPr>
                <w:rFonts w:eastAsia="Calibri"/>
                <w:lang w:val="en-GB"/>
              </w:rPr>
            </w:pPr>
            <w:r w:rsidRPr="005D4F27">
              <w:rPr>
                <w:rFonts w:eastAsia="Calibri"/>
                <w:lang w:val="en-GB"/>
              </w:rPr>
              <w:t>60</w:t>
            </w:r>
          </w:p>
        </w:tc>
        <w:tc>
          <w:tcPr>
            <w:tcW w:w="2835" w:type="dxa"/>
            <w:vAlign w:val="center"/>
          </w:tcPr>
          <w:p w14:paraId="5592D45A" w14:textId="77777777" w:rsidR="00D16E21" w:rsidRPr="005D4F27" w:rsidRDefault="00D16E21" w:rsidP="009030B5">
            <w:pPr>
              <w:jc w:val="center"/>
              <w:rPr>
                <w:rFonts w:eastAsia="Calibri"/>
                <w:lang w:val="en-GB"/>
              </w:rPr>
            </w:pPr>
            <w:r w:rsidRPr="005D4F27">
              <w:rPr>
                <w:rFonts w:eastAsia="Calibri"/>
                <w:lang w:val="en-GB"/>
              </w:rPr>
              <w:t>150</w:t>
            </w:r>
          </w:p>
        </w:tc>
        <w:tc>
          <w:tcPr>
            <w:tcW w:w="1984" w:type="dxa"/>
            <w:vAlign w:val="center"/>
          </w:tcPr>
          <w:p w14:paraId="7CE9714F" w14:textId="77777777" w:rsidR="00D16E21" w:rsidRPr="005D4F27" w:rsidRDefault="00D16E21" w:rsidP="009030B5">
            <w:pPr>
              <w:jc w:val="center"/>
              <w:rPr>
                <w:rFonts w:eastAsia="Calibri"/>
                <w:lang w:val="en-GB"/>
              </w:rPr>
            </w:pPr>
            <w:r w:rsidRPr="005D4F27">
              <w:rPr>
                <w:rFonts w:eastAsia="Calibri"/>
                <w:lang w:val="en-GB"/>
              </w:rPr>
              <w:t>200</w:t>
            </w:r>
          </w:p>
        </w:tc>
      </w:tr>
    </w:tbl>
    <w:p w14:paraId="5DB8865A" w14:textId="77777777" w:rsidR="00D16E21" w:rsidRPr="005D4F27" w:rsidRDefault="00D16E21" w:rsidP="00D16E21">
      <w:pPr>
        <w:ind w:left="227" w:hanging="227"/>
        <w:rPr>
          <w:rFonts w:eastAsia="Calibri"/>
          <w:vertAlign w:val="superscript"/>
        </w:rPr>
      </w:pPr>
    </w:p>
    <w:p w14:paraId="0B0705A9" w14:textId="77777777" w:rsidR="00D16E21" w:rsidRPr="005D4F27" w:rsidRDefault="00D16E21" w:rsidP="00D16E21">
      <w:pPr>
        <w:ind w:left="227" w:hanging="227"/>
        <w:rPr>
          <w:rFonts w:eastAsia="Calibri"/>
        </w:rPr>
      </w:pPr>
      <w:r w:rsidRPr="005D4F27">
        <w:rPr>
          <w:rFonts w:eastAsia="Calibri"/>
          <w:vertAlign w:val="superscript"/>
        </w:rPr>
        <w:t>1)</w:t>
      </w:r>
      <w:r w:rsidRPr="005D4F27">
        <w:rPr>
          <w:rFonts w:eastAsia="Calibri"/>
        </w:rPr>
        <w:t xml:space="preserve">Die Vorsorgewerte finden für Böden und Materialien mit einem nach Anlage 3 Tabelle 1 bestimmten Gehalt an organischem Kohlenstoff (TOC-Gehalt) von mehr als 9 Masseprozent keine Anwendung. Für diese Böden und Materialien müssen die maßgeblichen Werte im Einzelfall in Anlehnung </w:t>
      </w:r>
      <w:proofErr w:type="gramStart"/>
      <w:r w:rsidRPr="005D4F27">
        <w:rPr>
          <w:rFonts w:eastAsia="Calibri"/>
        </w:rPr>
        <w:t>an regional vergleichbarer Bodenverhältnisse</w:t>
      </w:r>
      <w:proofErr w:type="gramEnd"/>
      <w:r w:rsidRPr="005D4F27">
        <w:rPr>
          <w:rFonts w:eastAsia="Calibri"/>
        </w:rPr>
        <w:t xml:space="preserve"> abgeleitet werden.</w:t>
      </w:r>
    </w:p>
    <w:p w14:paraId="2770EB81" w14:textId="77777777" w:rsidR="00D16E21" w:rsidRPr="005D4F27" w:rsidRDefault="00D16E21" w:rsidP="00D16E21">
      <w:pPr>
        <w:ind w:left="227" w:hanging="227"/>
        <w:rPr>
          <w:rFonts w:eastAsia="Calibri"/>
        </w:rPr>
      </w:pPr>
      <w:r w:rsidRPr="005D4F27">
        <w:rPr>
          <w:rFonts w:eastAsia="Calibri"/>
          <w:vertAlign w:val="superscript"/>
        </w:rPr>
        <w:t>2)</w:t>
      </w:r>
      <w:r w:rsidRPr="009B61AB">
        <w:rPr>
          <w:rFonts w:ascii="Times" w:eastAsia="Times" w:hAnsi="Times" w:cs="Times"/>
          <w:sz w:val="26"/>
        </w:rPr>
        <w:t xml:space="preserve"> </w:t>
      </w:r>
      <w:r w:rsidRPr="009B61AB">
        <w:rPr>
          <w:rFonts w:eastAsia="Calibri"/>
        </w:rPr>
        <w:t xml:space="preserve">Bodenarten-Hauptgruppen gemäß Bodenkundlicher </w:t>
      </w:r>
      <w:proofErr w:type="spellStart"/>
      <w:r w:rsidRPr="009B61AB">
        <w:rPr>
          <w:rFonts w:eastAsia="Calibri"/>
        </w:rPr>
        <w:t>Kartieranleitung</w:t>
      </w:r>
      <w:proofErr w:type="spellEnd"/>
      <w:r w:rsidRPr="009B61AB">
        <w:rPr>
          <w:rFonts w:eastAsia="Calibri"/>
        </w:rPr>
        <w:t>, 5. Auflage, Hannover 2009 (KA 5); stark schluffige Sande, lehmig-schluffige Sande und stark lehmige Sande sind entsprechend der Bodenart Lehm/Schluff zu bewerten.</w:t>
      </w:r>
    </w:p>
    <w:p w14:paraId="320775CD" w14:textId="77777777" w:rsidR="00D16E21" w:rsidRPr="005D4F27" w:rsidRDefault="00D16E21" w:rsidP="00D16E21">
      <w:pPr>
        <w:ind w:left="227" w:hanging="227"/>
        <w:rPr>
          <w:rFonts w:eastAsia="Calibri"/>
        </w:rPr>
      </w:pPr>
      <w:r w:rsidRPr="005D4F27">
        <w:rPr>
          <w:rFonts w:eastAsia="Calibri"/>
          <w:vertAlign w:val="superscript"/>
        </w:rPr>
        <w:t>3)</w:t>
      </w:r>
      <w:r w:rsidRPr="005D4F27">
        <w:rPr>
          <w:rFonts w:eastAsia="Calibri"/>
        </w:rPr>
        <w:t>Bei Blei gelten bei einem pH-Wert &lt; 5,0 bei der Bodenart Ton die Vorsorgewerte der Bodenart Lehm/Schluff und bei der Bodenart Lehm/Schluff die Vorsorgewerte der Bodenart Sand.</w:t>
      </w:r>
    </w:p>
    <w:p w14:paraId="633F0D51" w14:textId="77777777" w:rsidR="00D16E21" w:rsidRPr="005D4F27" w:rsidRDefault="00D16E21" w:rsidP="00D16E21">
      <w:pPr>
        <w:ind w:left="227" w:hanging="227"/>
        <w:rPr>
          <w:rFonts w:eastAsia="Calibri"/>
        </w:rPr>
      </w:pPr>
      <w:r w:rsidRPr="005D4F27">
        <w:rPr>
          <w:rFonts w:eastAsia="Calibri"/>
          <w:vertAlign w:val="superscript"/>
        </w:rPr>
        <w:t>4)</w:t>
      </w:r>
      <w:r w:rsidRPr="005D4F27">
        <w:rPr>
          <w:rFonts w:eastAsia="Calibri"/>
        </w:rPr>
        <w:t>Bei Cadmium gelten bei einem pH-Wert &lt; 6,0 bei der Bodenart Ton die Vorsorgewerte der Bodenart Lehm/Schluff und bei der Bodenart Lehm/Schluff die Vorsorgewerte der Bodenart Sand.</w:t>
      </w:r>
    </w:p>
    <w:p w14:paraId="04EEC016" w14:textId="77777777" w:rsidR="00D16E21" w:rsidRPr="005D4F27" w:rsidRDefault="00D16E21" w:rsidP="00D16E21">
      <w:pPr>
        <w:ind w:left="227" w:hanging="227"/>
        <w:rPr>
          <w:rFonts w:eastAsia="Calibri"/>
        </w:rPr>
      </w:pPr>
      <w:r w:rsidRPr="005D4F27">
        <w:rPr>
          <w:rFonts w:eastAsia="Calibri"/>
          <w:vertAlign w:val="superscript"/>
        </w:rPr>
        <w:lastRenderedPageBreak/>
        <w:t>5)</w:t>
      </w:r>
      <w:r w:rsidRPr="005D4F27">
        <w:rPr>
          <w:rFonts w:eastAsia="Calibri"/>
        </w:rPr>
        <w:t>Bei Nickel gelten bei einem pH-Wert &lt; 6,0 bei der Bodenart Ton die Vorsorgewerte der Bodenart Lehm/Schluff und bei der Bodenart Lehm/Schluff die Vorsorgewerte der Bodenart Sand.</w:t>
      </w:r>
    </w:p>
    <w:p w14:paraId="564BAF6F" w14:textId="0B5EC774" w:rsidR="00D16E21" w:rsidRDefault="00D16E21" w:rsidP="00D16E21">
      <w:pPr>
        <w:ind w:left="227" w:hanging="227"/>
        <w:rPr>
          <w:rFonts w:eastAsia="Calibri"/>
        </w:rPr>
      </w:pPr>
      <w:r w:rsidRPr="005D4F27">
        <w:rPr>
          <w:rFonts w:eastAsia="Calibri"/>
          <w:vertAlign w:val="superscript"/>
        </w:rPr>
        <w:t>6)</w:t>
      </w:r>
      <w:r w:rsidRPr="005D4F27">
        <w:rPr>
          <w:rFonts w:eastAsia="Calibri"/>
        </w:rPr>
        <w:t>Bei Zink gelten bei einem pH-Wert &lt; 6,0 bei der Bodenart Ton die Vorsorgewerte der Bodenart Lehm/Schluff und bei der Bodenart Lehm/Schluff die Vorsorgewerte der Bodenart Sand.</w:t>
      </w:r>
    </w:p>
    <w:p w14:paraId="642B9800" w14:textId="6F9EE531" w:rsidR="00D16E21" w:rsidRPr="008D0377" w:rsidRDefault="00D16E21" w:rsidP="00D16E21">
      <w:pPr>
        <w:pStyle w:val="berschrift1"/>
      </w:pPr>
      <w:r>
        <w:rPr>
          <w:rFonts w:eastAsia="Calibri"/>
        </w:rPr>
        <w:br w:type="page"/>
      </w:r>
      <w:r w:rsidRPr="008D0377">
        <w:lastRenderedPageBreak/>
        <w:t>Tabelle 2: Vorsorgewerte für organische Stoffe</w:t>
      </w:r>
    </w:p>
    <w:tbl>
      <w:tblPr>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36"/>
        <w:gridCol w:w="2268"/>
        <w:gridCol w:w="2693"/>
      </w:tblGrid>
      <w:tr w:rsidR="00D16E21" w:rsidRPr="005D4F27" w14:paraId="3C613DC2" w14:textId="77777777" w:rsidTr="009030B5">
        <w:tc>
          <w:tcPr>
            <w:tcW w:w="3936" w:type="dxa"/>
            <w:tcBorders>
              <w:top w:val="single" w:sz="12" w:space="0" w:color="auto"/>
              <w:bottom w:val="single" w:sz="12" w:space="0" w:color="auto"/>
              <w:right w:val="single" w:sz="12" w:space="0" w:color="auto"/>
            </w:tcBorders>
            <w:shd w:val="pct10" w:color="auto" w:fill="auto"/>
            <w:vAlign w:val="center"/>
          </w:tcPr>
          <w:p w14:paraId="7D1175F2" w14:textId="77777777" w:rsidR="00D16E21" w:rsidRPr="005D4F27" w:rsidRDefault="00D16E21" w:rsidP="009030B5">
            <w:pPr>
              <w:jc w:val="center"/>
              <w:rPr>
                <w:rFonts w:ascii="Calibri" w:eastAsia="Calibri" w:hAnsi="Calibri"/>
              </w:rPr>
            </w:pPr>
            <w:r w:rsidRPr="005D4F27">
              <w:rPr>
                <w:rFonts w:ascii="Calibri" w:eastAsia="Calibri" w:hAnsi="Calibri"/>
                <w:b/>
              </w:rPr>
              <w:t>Stoff</w:t>
            </w:r>
          </w:p>
        </w:tc>
        <w:tc>
          <w:tcPr>
            <w:tcW w:w="2268" w:type="dxa"/>
            <w:tcBorders>
              <w:top w:val="single" w:sz="12" w:space="0" w:color="auto"/>
              <w:left w:val="single" w:sz="12" w:space="0" w:color="auto"/>
              <w:bottom w:val="single" w:sz="12" w:space="0" w:color="auto"/>
            </w:tcBorders>
            <w:shd w:val="pct10" w:color="auto" w:fill="auto"/>
            <w:vAlign w:val="center"/>
          </w:tcPr>
          <w:p w14:paraId="21E6B2FC" w14:textId="77777777" w:rsidR="00D16E21" w:rsidRPr="005D4F27" w:rsidRDefault="00D16E21" w:rsidP="009030B5">
            <w:pPr>
              <w:jc w:val="center"/>
              <w:rPr>
                <w:rFonts w:ascii="Calibri" w:eastAsia="Calibri" w:hAnsi="Calibri"/>
                <w:b/>
              </w:rPr>
            </w:pPr>
            <w:r w:rsidRPr="005D4F27">
              <w:rPr>
                <w:rFonts w:ascii="Calibri" w:eastAsia="Calibri" w:hAnsi="Calibri"/>
                <w:b/>
              </w:rPr>
              <w:t>Vorsorgewert bei TOC-Gehalt ≤ 4 %</w:t>
            </w:r>
          </w:p>
        </w:tc>
        <w:tc>
          <w:tcPr>
            <w:tcW w:w="2693" w:type="dxa"/>
            <w:tcBorders>
              <w:top w:val="single" w:sz="12" w:space="0" w:color="auto"/>
              <w:bottom w:val="single" w:sz="12" w:space="0" w:color="auto"/>
            </w:tcBorders>
            <w:shd w:val="pct10" w:color="auto" w:fill="auto"/>
            <w:vAlign w:val="center"/>
          </w:tcPr>
          <w:p w14:paraId="2A6D40F2" w14:textId="77777777" w:rsidR="00D16E21" w:rsidRPr="005D4F27" w:rsidRDefault="00D16E21" w:rsidP="009030B5">
            <w:pPr>
              <w:jc w:val="center"/>
              <w:rPr>
                <w:rFonts w:ascii="Calibri" w:eastAsia="Calibri" w:hAnsi="Calibri"/>
                <w:b/>
              </w:rPr>
            </w:pPr>
            <w:r w:rsidRPr="005D4F27">
              <w:rPr>
                <w:rFonts w:ascii="Calibri" w:eastAsia="Calibri" w:hAnsi="Calibri"/>
                <w:b/>
              </w:rPr>
              <w:t>Vorsorgewert bei TOC-Gehalt &gt; 4 % bis 9 %</w:t>
            </w:r>
            <w:r w:rsidRPr="005D4F27">
              <w:rPr>
                <w:rFonts w:ascii="Calibri" w:eastAsia="Calibri" w:hAnsi="Calibri"/>
                <w:b/>
                <w:vertAlign w:val="superscript"/>
              </w:rPr>
              <w:t>1)</w:t>
            </w:r>
          </w:p>
        </w:tc>
      </w:tr>
      <w:tr w:rsidR="00D16E21" w:rsidRPr="005D4F27" w14:paraId="671C11F0" w14:textId="77777777" w:rsidTr="009030B5">
        <w:tc>
          <w:tcPr>
            <w:tcW w:w="3936" w:type="dxa"/>
            <w:tcBorders>
              <w:top w:val="single" w:sz="12" w:space="0" w:color="auto"/>
              <w:bottom w:val="single" w:sz="12" w:space="0" w:color="auto"/>
              <w:right w:val="single" w:sz="12" w:space="0" w:color="auto"/>
            </w:tcBorders>
            <w:shd w:val="clear" w:color="auto" w:fill="auto"/>
            <w:vAlign w:val="center"/>
          </w:tcPr>
          <w:p w14:paraId="798B1E01" w14:textId="77777777" w:rsidR="00D16E21" w:rsidRPr="005D4F27" w:rsidRDefault="00D16E21" w:rsidP="009030B5">
            <w:pPr>
              <w:jc w:val="center"/>
              <w:rPr>
                <w:rFonts w:ascii="Calibri" w:eastAsia="Calibri" w:hAnsi="Calibri"/>
                <w:b/>
              </w:rPr>
            </w:pPr>
          </w:p>
        </w:tc>
        <w:tc>
          <w:tcPr>
            <w:tcW w:w="4961" w:type="dxa"/>
            <w:gridSpan w:val="2"/>
            <w:tcBorders>
              <w:top w:val="single" w:sz="12" w:space="0" w:color="auto"/>
              <w:left w:val="single" w:sz="12" w:space="0" w:color="auto"/>
              <w:bottom w:val="single" w:sz="12" w:space="0" w:color="auto"/>
            </w:tcBorders>
            <w:shd w:val="clear" w:color="auto" w:fill="auto"/>
            <w:vAlign w:val="center"/>
          </w:tcPr>
          <w:p w14:paraId="690B0718" w14:textId="77777777" w:rsidR="00D16E21" w:rsidRPr="005D4F27" w:rsidRDefault="00D16E21" w:rsidP="009030B5">
            <w:pPr>
              <w:jc w:val="center"/>
              <w:rPr>
                <w:rFonts w:ascii="Calibri" w:eastAsia="Calibri" w:hAnsi="Calibri"/>
              </w:rPr>
            </w:pPr>
            <w:r w:rsidRPr="008D26AB">
              <w:rPr>
                <w:rFonts w:ascii="Times" w:eastAsia="Times" w:hAnsi="Times" w:cs="Times"/>
                <w:sz w:val="26"/>
              </w:rPr>
              <w:t xml:space="preserve"> </w:t>
            </w:r>
            <w:r w:rsidRPr="008D26AB">
              <w:rPr>
                <w:rFonts w:ascii="Calibri" w:eastAsia="Calibri" w:hAnsi="Calibri"/>
              </w:rPr>
              <w:t>[mg/kg TM]</w:t>
            </w:r>
          </w:p>
        </w:tc>
      </w:tr>
      <w:tr w:rsidR="00D16E21" w:rsidRPr="005D4F27" w14:paraId="7D77ADCF" w14:textId="77777777" w:rsidTr="009030B5">
        <w:tc>
          <w:tcPr>
            <w:tcW w:w="3936" w:type="dxa"/>
            <w:tcBorders>
              <w:top w:val="single" w:sz="12" w:space="0" w:color="auto"/>
              <w:right w:val="single" w:sz="12" w:space="0" w:color="auto"/>
            </w:tcBorders>
            <w:shd w:val="clear" w:color="auto" w:fill="auto"/>
          </w:tcPr>
          <w:p w14:paraId="3AE90572" w14:textId="77777777" w:rsidR="00D16E21" w:rsidRPr="005D4F27" w:rsidRDefault="00D16E21" w:rsidP="009030B5">
            <w:pPr>
              <w:rPr>
                <w:rFonts w:ascii="Calibri" w:eastAsia="Calibri" w:hAnsi="Calibri"/>
                <w:vertAlign w:val="subscript"/>
              </w:rPr>
            </w:pPr>
            <w:r w:rsidRPr="005D4F27">
              <w:rPr>
                <w:rFonts w:ascii="Calibri" w:eastAsia="Calibri" w:hAnsi="Calibri"/>
              </w:rPr>
              <w:t>Summe aus PCB</w:t>
            </w:r>
            <w:r w:rsidRPr="005D4F27">
              <w:rPr>
                <w:rFonts w:ascii="Calibri" w:eastAsia="Calibri" w:hAnsi="Calibri"/>
                <w:vertAlign w:val="subscript"/>
              </w:rPr>
              <w:t xml:space="preserve">6 </w:t>
            </w:r>
            <w:r w:rsidRPr="005D4F27">
              <w:rPr>
                <w:rFonts w:ascii="Calibri" w:eastAsia="Calibri" w:hAnsi="Calibri"/>
              </w:rPr>
              <w:t>und PCB-118</w:t>
            </w:r>
            <w:r>
              <w:rPr>
                <w:rFonts w:ascii="Calibri" w:eastAsia="Calibri" w:hAnsi="Calibri"/>
                <w:vertAlign w:val="superscript"/>
              </w:rPr>
              <w:t>2</w:t>
            </w:r>
            <w:r w:rsidRPr="005D4F27">
              <w:rPr>
                <w:rFonts w:ascii="Calibri" w:eastAsia="Calibri" w:hAnsi="Calibri"/>
                <w:vertAlign w:val="superscript"/>
              </w:rPr>
              <w:t>)</w:t>
            </w:r>
          </w:p>
        </w:tc>
        <w:tc>
          <w:tcPr>
            <w:tcW w:w="2268" w:type="dxa"/>
            <w:tcBorders>
              <w:top w:val="single" w:sz="12" w:space="0" w:color="auto"/>
              <w:left w:val="single" w:sz="12" w:space="0" w:color="auto"/>
            </w:tcBorders>
            <w:shd w:val="clear" w:color="auto" w:fill="auto"/>
            <w:vAlign w:val="center"/>
          </w:tcPr>
          <w:p w14:paraId="1882B76A" w14:textId="77777777" w:rsidR="00D16E21" w:rsidRPr="005D4F27" w:rsidRDefault="00D16E21" w:rsidP="009030B5">
            <w:pPr>
              <w:jc w:val="center"/>
              <w:rPr>
                <w:rFonts w:ascii="Calibri" w:eastAsia="Calibri" w:hAnsi="Calibri"/>
              </w:rPr>
            </w:pPr>
            <w:r w:rsidRPr="005D4F27">
              <w:rPr>
                <w:rFonts w:ascii="Calibri" w:eastAsia="Calibri" w:hAnsi="Calibri"/>
              </w:rPr>
              <w:t>0,05</w:t>
            </w:r>
          </w:p>
        </w:tc>
        <w:tc>
          <w:tcPr>
            <w:tcW w:w="2693" w:type="dxa"/>
            <w:tcBorders>
              <w:top w:val="single" w:sz="12" w:space="0" w:color="auto"/>
            </w:tcBorders>
            <w:shd w:val="clear" w:color="auto" w:fill="auto"/>
            <w:vAlign w:val="center"/>
          </w:tcPr>
          <w:p w14:paraId="69C31E8B" w14:textId="77777777" w:rsidR="00D16E21" w:rsidRPr="005D4F27" w:rsidRDefault="00D16E21" w:rsidP="009030B5">
            <w:pPr>
              <w:jc w:val="center"/>
              <w:rPr>
                <w:rFonts w:ascii="Calibri" w:eastAsia="Calibri" w:hAnsi="Calibri"/>
              </w:rPr>
            </w:pPr>
            <w:r w:rsidRPr="005D4F27">
              <w:rPr>
                <w:rFonts w:ascii="Calibri" w:eastAsia="Calibri" w:hAnsi="Calibri"/>
              </w:rPr>
              <w:t>0,1</w:t>
            </w:r>
          </w:p>
        </w:tc>
      </w:tr>
      <w:tr w:rsidR="00D16E21" w:rsidRPr="005D4F27" w14:paraId="1B90C019" w14:textId="77777777" w:rsidTr="009030B5">
        <w:tc>
          <w:tcPr>
            <w:tcW w:w="3936" w:type="dxa"/>
            <w:tcBorders>
              <w:right w:val="single" w:sz="12" w:space="0" w:color="auto"/>
            </w:tcBorders>
            <w:shd w:val="clear" w:color="auto" w:fill="auto"/>
          </w:tcPr>
          <w:p w14:paraId="7353CCF1" w14:textId="77777777" w:rsidR="00D16E21" w:rsidRPr="005D4F27" w:rsidRDefault="00D16E21" w:rsidP="009030B5">
            <w:pPr>
              <w:rPr>
                <w:rFonts w:ascii="Calibri" w:eastAsia="Calibri" w:hAnsi="Calibri"/>
              </w:rPr>
            </w:pPr>
            <w:r w:rsidRPr="005D4F27">
              <w:rPr>
                <w:rFonts w:ascii="Calibri" w:eastAsia="Calibri" w:hAnsi="Calibri"/>
                <w:lang w:val="it-IT"/>
              </w:rPr>
              <w:t>Benzo(a)</w:t>
            </w:r>
            <w:proofErr w:type="spellStart"/>
            <w:r w:rsidRPr="005D4F27">
              <w:rPr>
                <w:rFonts w:ascii="Calibri" w:eastAsia="Calibri" w:hAnsi="Calibri"/>
                <w:lang w:val="it-IT"/>
              </w:rPr>
              <w:t>pyren</w:t>
            </w:r>
            <w:proofErr w:type="spellEnd"/>
          </w:p>
        </w:tc>
        <w:tc>
          <w:tcPr>
            <w:tcW w:w="2268" w:type="dxa"/>
            <w:tcBorders>
              <w:left w:val="single" w:sz="12" w:space="0" w:color="auto"/>
            </w:tcBorders>
            <w:shd w:val="clear" w:color="auto" w:fill="auto"/>
            <w:vAlign w:val="center"/>
          </w:tcPr>
          <w:p w14:paraId="70EA255F" w14:textId="77777777" w:rsidR="00D16E21" w:rsidRPr="005D4F27" w:rsidRDefault="00D16E21" w:rsidP="009030B5">
            <w:pPr>
              <w:jc w:val="center"/>
              <w:rPr>
                <w:rFonts w:ascii="Calibri" w:eastAsia="Calibri" w:hAnsi="Calibri"/>
              </w:rPr>
            </w:pPr>
            <w:r w:rsidRPr="005D4F27">
              <w:rPr>
                <w:rFonts w:ascii="Calibri" w:eastAsia="Calibri" w:hAnsi="Calibri"/>
              </w:rPr>
              <w:t>0,3</w:t>
            </w:r>
          </w:p>
        </w:tc>
        <w:tc>
          <w:tcPr>
            <w:tcW w:w="2693" w:type="dxa"/>
            <w:shd w:val="clear" w:color="auto" w:fill="auto"/>
            <w:vAlign w:val="center"/>
          </w:tcPr>
          <w:p w14:paraId="61A89609" w14:textId="77777777" w:rsidR="00D16E21" w:rsidRPr="005D4F27" w:rsidRDefault="00D16E21" w:rsidP="009030B5">
            <w:pPr>
              <w:jc w:val="center"/>
              <w:rPr>
                <w:rFonts w:ascii="Calibri" w:eastAsia="Calibri" w:hAnsi="Calibri"/>
              </w:rPr>
            </w:pPr>
            <w:r>
              <w:rPr>
                <w:rFonts w:ascii="Calibri" w:eastAsia="Calibri" w:hAnsi="Calibri"/>
              </w:rPr>
              <w:t>0,5</w:t>
            </w:r>
          </w:p>
        </w:tc>
      </w:tr>
      <w:tr w:rsidR="00D16E21" w:rsidRPr="005D4F27" w14:paraId="57DF6C5B" w14:textId="77777777" w:rsidTr="009030B5">
        <w:tc>
          <w:tcPr>
            <w:tcW w:w="3936" w:type="dxa"/>
            <w:tcBorders>
              <w:right w:val="single" w:sz="12" w:space="0" w:color="auto"/>
            </w:tcBorders>
            <w:shd w:val="clear" w:color="auto" w:fill="auto"/>
          </w:tcPr>
          <w:p w14:paraId="1B2636FB" w14:textId="77777777" w:rsidR="00D16E21" w:rsidRPr="005D4F27" w:rsidRDefault="00D16E21" w:rsidP="009030B5">
            <w:pPr>
              <w:rPr>
                <w:rFonts w:ascii="Calibri" w:eastAsia="Calibri" w:hAnsi="Calibri"/>
              </w:rPr>
            </w:pPr>
            <w:r w:rsidRPr="005D4F27">
              <w:rPr>
                <w:rFonts w:ascii="Calibri" w:eastAsia="Calibri" w:hAnsi="Calibri"/>
              </w:rPr>
              <w:t>PAK</w:t>
            </w:r>
            <w:r w:rsidRPr="005D4F27">
              <w:rPr>
                <w:rFonts w:ascii="Calibri" w:eastAsia="Calibri" w:hAnsi="Calibri"/>
                <w:vertAlign w:val="subscript"/>
              </w:rPr>
              <w:t>16</w:t>
            </w:r>
            <w:r w:rsidRPr="005D4F27">
              <w:rPr>
                <w:rFonts w:ascii="Calibri" w:eastAsia="Calibri" w:hAnsi="Calibri"/>
              </w:rPr>
              <w:t xml:space="preserve"> </w:t>
            </w:r>
            <w:r>
              <w:rPr>
                <w:rFonts w:ascii="Calibri" w:eastAsia="Calibri" w:hAnsi="Calibri"/>
                <w:vertAlign w:val="superscript"/>
              </w:rPr>
              <w:t>3</w:t>
            </w:r>
            <w:r w:rsidRPr="005D4F27">
              <w:rPr>
                <w:rFonts w:ascii="Calibri" w:eastAsia="Calibri" w:hAnsi="Calibri"/>
                <w:vertAlign w:val="superscript"/>
              </w:rPr>
              <w:t xml:space="preserve">) </w:t>
            </w:r>
          </w:p>
        </w:tc>
        <w:tc>
          <w:tcPr>
            <w:tcW w:w="2268" w:type="dxa"/>
            <w:tcBorders>
              <w:left w:val="single" w:sz="12" w:space="0" w:color="auto"/>
            </w:tcBorders>
            <w:shd w:val="clear" w:color="auto" w:fill="auto"/>
            <w:vAlign w:val="center"/>
          </w:tcPr>
          <w:p w14:paraId="241801FE" w14:textId="77777777" w:rsidR="00D16E21" w:rsidRPr="005D4F27" w:rsidRDefault="00D16E21" w:rsidP="009030B5">
            <w:pPr>
              <w:jc w:val="center"/>
              <w:rPr>
                <w:rFonts w:ascii="Calibri" w:eastAsia="Calibri" w:hAnsi="Calibri"/>
              </w:rPr>
            </w:pPr>
            <w:r w:rsidRPr="005D4F27">
              <w:rPr>
                <w:rFonts w:ascii="Calibri" w:eastAsia="Calibri" w:hAnsi="Calibri"/>
              </w:rPr>
              <w:t>3</w:t>
            </w:r>
          </w:p>
        </w:tc>
        <w:tc>
          <w:tcPr>
            <w:tcW w:w="2693" w:type="dxa"/>
            <w:shd w:val="clear" w:color="auto" w:fill="auto"/>
            <w:vAlign w:val="center"/>
          </w:tcPr>
          <w:p w14:paraId="481139B3" w14:textId="77777777" w:rsidR="00D16E21" w:rsidRPr="005D4F27" w:rsidRDefault="00D16E21" w:rsidP="009030B5">
            <w:pPr>
              <w:jc w:val="center"/>
              <w:rPr>
                <w:rFonts w:ascii="Calibri" w:eastAsia="Calibri" w:hAnsi="Calibri"/>
              </w:rPr>
            </w:pPr>
            <w:r>
              <w:rPr>
                <w:rFonts w:ascii="Calibri" w:eastAsia="Calibri" w:hAnsi="Calibri"/>
              </w:rPr>
              <w:t>5</w:t>
            </w:r>
          </w:p>
        </w:tc>
      </w:tr>
    </w:tbl>
    <w:p w14:paraId="6657A4C3" w14:textId="4B58B2D1" w:rsidR="00D16E21" w:rsidRPr="005D4F27" w:rsidRDefault="00D16E21" w:rsidP="00D16E21">
      <w:pPr>
        <w:rPr>
          <w:rFonts w:eastAsia="Calibri"/>
          <w:vertAlign w:val="superscript"/>
        </w:rPr>
      </w:pPr>
    </w:p>
    <w:p w14:paraId="689D32DF" w14:textId="77777777" w:rsidR="00D16E21" w:rsidRPr="005D4F27" w:rsidRDefault="00D16E21" w:rsidP="00D16E21">
      <w:pPr>
        <w:ind w:left="227" w:hanging="227"/>
        <w:rPr>
          <w:rFonts w:eastAsia="Calibri"/>
        </w:rPr>
      </w:pPr>
      <w:r w:rsidRPr="005D4F27">
        <w:rPr>
          <w:rFonts w:eastAsia="Calibri"/>
          <w:vertAlign w:val="superscript"/>
        </w:rPr>
        <w:t>1)</w:t>
      </w:r>
      <w:r w:rsidRPr="005D4F27">
        <w:rPr>
          <w:rFonts w:eastAsia="Calibri"/>
        </w:rPr>
        <w:t>Für Böden mit einem TOC-Gehalt von mehr als 9 Masseprozent müssen die maßgeblichen Werte im Einzelfall abgeleitet werden.</w:t>
      </w:r>
    </w:p>
    <w:p w14:paraId="71B57152" w14:textId="77777777" w:rsidR="00D16E21" w:rsidRPr="005D4F27" w:rsidRDefault="00D16E21" w:rsidP="00D16E21">
      <w:pPr>
        <w:ind w:left="227" w:hanging="227"/>
        <w:rPr>
          <w:rFonts w:eastAsia="Calibri"/>
        </w:rPr>
      </w:pPr>
      <w:r w:rsidRPr="005D4F27">
        <w:rPr>
          <w:rFonts w:eastAsia="Calibri"/>
          <w:vertAlign w:val="superscript"/>
        </w:rPr>
        <w:t>2)</w:t>
      </w:r>
      <w:r w:rsidRPr="005D4F27">
        <w:rPr>
          <w:rFonts w:eastAsia="Calibri"/>
        </w:rPr>
        <w:t>Summe aus PCB</w:t>
      </w:r>
      <w:r w:rsidRPr="005D4F27">
        <w:rPr>
          <w:rFonts w:eastAsia="Calibri"/>
          <w:vertAlign w:val="subscript"/>
        </w:rPr>
        <w:t xml:space="preserve">6 </w:t>
      </w:r>
      <w:r w:rsidRPr="005D4F27">
        <w:rPr>
          <w:rFonts w:eastAsia="Calibri"/>
        </w:rPr>
        <w:t>und PCB-118: Stellvertretend für die Gruppe der polychlorierten Biphenyle (PCB) werden für PCB-Gemische sechs Leit-</w:t>
      </w:r>
      <w:proofErr w:type="spellStart"/>
      <w:r w:rsidRPr="005D4F27">
        <w:rPr>
          <w:rFonts w:eastAsia="Calibri"/>
        </w:rPr>
        <w:t>Kongenere</w:t>
      </w:r>
      <w:proofErr w:type="spellEnd"/>
      <w:r w:rsidRPr="005D4F27">
        <w:rPr>
          <w:rFonts w:eastAsia="Calibri"/>
        </w:rPr>
        <w:t xml:space="preserve"> nach </w:t>
      </w:r>
      <w:proofErr w:type="spellStart"/>
      <w:r w:rsidRPr="005D4F27">
        <w:rPr>
          <w:rFonts w:eastAsia="Calibri"/>
        </w:rPr>
        <w:t>Ballschmiter</w:t>
      </w:r>
      <w:proofErr w:type="spellEnd"/>
      <w:r w:rsidRPr="005D4F27">
        <w:rPr>
          <w:rFonts w:eastAsia="Calibri"/>
        </w:rPr>
        <w:t xml:space="preserve"> (PCB-Nr. 28, 52, 101, 138, 153,</w:t>
      </w:r>
      <w:r>
        <w:rPr>
          <w:rFonts w:eastAsia="Calibri"/>
        </w:rPr>
        <w:t xml:space="preserve"> 180) sowie PCB-118 untersucht.</w:t>
      </w:r>
    </w:p>
    <w:p w14:paraId="7BDEE3C6" w14:textId="5931E4A9" w:rsidR="00D16E21" w:rsidRPr="005D4F27" w:rsidRDefault="00D16E21" w:rsidP="00D16E21">
      <w:pPr>
        <w:ind w:left="227" w:hanging="227"/>
        <w:rPr>
          <w:rFonts w:eastAsia="Calibri"/>
        </w:rPr>
      </w:pPr>
      <w:r w:rsidRPr="005D4F27">
        <w:rPr>
          <w:rFonts w:eastAsia="Calibri"/>
          <w:vertAlign w:val="superscript"/>
        </w:rPr>
        <w:t>3)</w:t>
      </w:r>
      <w:r w:rsidRPr="005D4F27">
        <w:rPr>
          <w:rFonts w:eastAsia="Calibri"/>
        </w:rPr>
        <w:t>PAK</w:t>
      </w:r>
      <w:r w:rsidRPr="005D4F27">
        <w:rPr>
          <w:rFonts w:eastAsia="Calibri"/>
          <w:vertAlign w:val="subscript"/>
        </w:rPr>
        <w:t>16</w:t>
      </w:r>
      <w:r w:rsidRPr="005D4F27">
        <w:rPr>
          <w:rFonts w:eastAsia="Calibri"/>
        </w:rPr>
        <w:t>: Stellvertretend für die Gruppe der polyzyklischen aromatischen Kohlen</w:t>
      </w:r>
      <w:r w:rsidRPr="005D4F27">
        <w:rPr>
          <w:rFonts w:eastAsia="Calibri"/>
        </w:rPr>
        <w:softHyphen/>
        <w:t xml:space="preserve">wasserstoffe (PAK) werden nach der Liste der Environmental </w:t>
      </w:r>
      <w:proofErr w:type="spellStart"/>
      <w:r w:rsidRPr="005D4F27">
        <w:rPr>
          <w:rFonts w:eastAsia="Calibri"/>
        </w:rPr>
        <w:t>Protection</w:t>
      </w:r>
      <w:proofErr w:type="spellEnd"/>
      <w:r w:rsidRPr="005D4F27">
        <w:rPr>
          <w:rFonts w:eastAsia="Calibri"/>
        </w:rPr>
        <w:t xml:space="preserve"> Agency (EPA) 16 ausgewählte PAK untersucht: </w:t>
      </w:r>
      <w:proofErr w:type="spellStart"/>
      <w:r w:rsidRPr="005D4F27">
        <w:rPr>
          <w:rFonts w:eastAsia="Calibri"/>
        </w:rPr>
        <w:t>Acenaphthen</w:t>
      </w:r>
      <w:proofErr w:type="spellEnd"/>
      <w:r w:rsidRPr="005D4F27">
        <w:rPr>
          <w:rFonts w:eastAsia="Calibri"/>
        </w:rPr>
        <w:t xml:space="preserve">, </w:t>
      </w:r>
      <w:proofErr w:type="spellStart"/>
      <w:r w:rsidRPr="005D4F27">
        <w:rPr>
          <w:rFonts w:eastAsia="Calibri"/>
        </w:rPr>
        <w:t>Acenaphthylen</w:t>
      </w:r>
      <w:proofErr w:type="spellEnd"/>
      <w:r w:rsidRPr="005D4F27">
        <w:rPr>
          <w:rFonts w:eastAsia="Calibri"/>
        </w:rPr>
        <w:t>, Anthracen, Benzo[a]</w:t>
      </w:r>
      <w:proofErr w:type="spellStart"/>
      <w:r w:rsidRPr="005D4F27">
        <w:rPr>
          <w:rFonts w:eastAsia="Calibri"/>
        </w:rPr>
        <w:t>anthracen</w:t>
      </w:r>
      <w:proofErr w:type="spellEnd"/>
      <w:r w:rsidRPr="005D4F27">
        <w:rPr>
          <w:rFonts w:eastAsia="Calibri"/>
        </w:rPr>
        <w:t>, Benzo[a]</w:t>
      </w:r>
      <w:proofErr w:type="spellStart"/>
      <w:r w:rsidRPr="005D4F27">
        <w:rPr>
          <w:rFonts w:eastAsia="Calibri"/>
        </w:rPr>
        <w:t>pyren</w:t>
      </w:r>
      <w:proofErr w:type="spellEnd"/>
      <w:r w:rsidRPr="005D4F27">
        <w:rPr>
          <w:rFonts w:eastAsia="Calibri"/>
        </w:rPr>
        <w:t>, Benzo[b]</w:t>
      </w:r>
      <w:proofErr w:type="spellStart"/>
      <w:r w:rsidRPr="005D4F27">
        <w:rPr>
          <w:rFonts w:eastAsia="Calibri"/>
        </w:rPr>
        <w:t>fluoranthen</w:t>
      </w:r>
      <w:proofErr w:type="spellEnd"/>
      <w:r w:rsidRPr="005D4F27">
        <w:rPr>
          <w:rFonts w:eastAsia="Calibri"/>
        </w:rPr>
        <w:t>, Benzo[</w:t>
      </w:r>
      <w:proofErr w:type="spellStart"/>
      <w:proofErr w:type="gramStart"/>
      <w:r w:rsidRPr="005D4F27">
        <w:rPr>
          <w:rFonts w:eastAsia="Calibri"/>
        </w:rPr>
        <w:t>g,h</w:t>
      </w:r>
      <w:proofErr w:type="gramEnd"/>
      <w:r w:rsidRPr="005D4F27">
        <w:rPr>
          <w:rFonts w:eastAsia="Calibri"/>
        </w:rPr>
        <w:t>,i</w:t>
      </w:r>
      <w:proofErr w:type="spellEnd"/>
      <w:r w:rsidRPr="005D4F27">
        <w:rPr>
          <w:rFonts w:eastAsia="Calibri"/>
        </w:rPr>
        <w:t>]</w:t>
      </w:r>
      <w:proofErr w:type="spellStart"/>
      <w:r w:rsidRPr="005D4F27">
        <w:rPr>
          <w:rFonts w:eastAsia="Calibri"/>
        </w:rPr>
        <w:t>perylen</w:t>
      </w:r>
      <w:proofErr w:type="spellEnd"/>
      <w:r w:rsidRPr="005D4F27">
        <w:rPr>
          <w:rFonts w:eastAsia="Calibri"/>
        </w:rPr>
        <w:t>, Benzo[k]</w:t>
      </w:r>
      <w:proofErr w:type="spellStart"/>
      <w:r w:rsidRPr="005D4F27">
        <w:rPr>
          <w:rFonts w:eastAsia="Calibri"/>
        </w:rPr>
        <w:t>fluoranthen</w:t>
      </w:r>
      <w:proofErr w:type="spellEnd"/>
      <w:r w:rsidRPr="005D4F27">
        <w:rPr>
          <w:rFonts w:eastAsia="Calibri"/>
        </w:rPr>
        <w:t xml:space="preserve">, </w:t>
      </w:r>
      <w:proofErr w:type="spellStart"/>
      <w:r w:rsidRPr="005D4F27">
        <w:rPr>
          <w:rFonts w:eastAsia="Calibri"/>
        </w:rPr>
        <w:t>Chrysen</w:t>
      </w:r>
      <w:proofErr w:type="spellEnd"/>
      <w:r w:rsidRPr="005D4F27">
        <w:rPr>
          <w:rFonts w:eastAsia="Calibri"/>
        </w:rPr>
        <w:t xml:space="preserve">, </w:t>
      </w:r>
      <w:proofErr w:type="spellStart"/>
      <w:r w:rsidRPr="005D4F27">
        <w:rPr>
          <w:rFonts w:eastAsia="Calibri"/>
        </w:rPr>
        <w:t>Dibenzo</w:t>
      </w:r>
      <w:proofErr w:type="spellEnd"/>
      <w:r w:rsidRPr="005D4F27">
        <w:rPr>
          <w:rFonts w:eastAsia="Calibri"/>
        </w:rPr>
        <w:t>[</w:t>
      </w:r>
      <w:proofErr w:type="spellStart"/>
      <w:r w:rsidRPr="005D4F27">
        <w:rPr>
          <w:rFonts w:eastAsia="Calibri"/>
        </w:rPr>
        <w:t>a,h</w:t>
      </w:r>
      <w:proofErr w:type="spellEnd"/>
      <w:r w:rsidRPr="005D4F27">
        <w:rPr>
          <w:rFonts w:eastAsia="Calibri"/>
        </w:rPr>
        <w:t>]</w:t>
      </w:r>
      <w:proofErr w:type="spellStart"/>
      <w:r w:rsidRPr="005D4F27">
        <w:rPr>
          <w:rFonts w:eastAsia="Calibri"/>
        </w:rPr>
        <w:t>anthracen</w:t>
      </w:r>
      <w:proofErr w:type="spellEnd"/>
      <w:r w:rsidRPr="005D4F27">
        <w:rPr>
          <w:rFonts w:eastAsia="Calibri"/>
        </w:rPr>
        <w:t xml:space="preserve">, </w:t>
      </w:r>
      <w:proofErr w:type="spellStart"/>
      <w:r w:rsidRPr="005D4F27">
        <w:rPr>
          <w:rFonts w:eastAsia="Calibri"/>
        </w:rPr>
        <w:t>Fluoranthen</w:t>
      </w:r>
      <w:proofErr w:type="spellEnd"/>
      <w:r w:rsidRPr="005D4F27">
        <w:rPr>
          <w:rFonts w:eastAsia="Calibri"/>
        </w:rPr>
        <w:t xml:space="preserve">, Fluoren, </w:t>
      </w:r>
      <w:proofErr w:type="spellStart"/>
      <w:r w:rsidRPr="005D4F27">
        <w:rPr>
          <w:rFonts w:eastAsia="Calibri"/>
        </w:rPr>
        <w:t>Indeno</w:t>
      </w:r>
      <w:proofErr w:type="spellEnd"/>
      <w:r w:rsidRPr="005D4F27">
        <w:rPr>
          <w:rFonts w:eastAsia="Calibri"/>
        </w:rPr>
        <w:t>[1,2,3-cd]</w:t>
      </w:r>
      <w:proofErr w:type="spellStart"/>
      <w:r w:rsidRPr="005D4F27">
        <w:rPr>
          <w:rFonts w:eastAsia="Calibri"/>
        </w:rPr>
        <w:t>pyren</w:t>
      </w:r>
      <w:proofErr w:type="spellEnd"/>
      <w:r w:rsidRPr="005D4F27">
        <w:rPr>
          <w:rFonts w:eastAsia="Calibri"/>
        </w:rPr>
        <w:t xml:space="preserve">, Naphthalin, </w:t>
      </w:r>
      <w:proofErr w:type="spellStart"/>
      <w:r w:rsidRPr="005D4F27">
        <w:rPr>
          <w:rFonts w:eastAsia="Calibri"/>
        </w:rPr>
        <w:t>Phenanthren</w:t>
      </w:r>
      <w:proofErr w:type="spellEnd"/>
      <w:r w:rsidRPr="005D4F27">
        <w:rPr>
          <w:rFonts w:eastAsia="Calibri"/>
        </w:rPr>
        <w:t xml:space="preserve"> und </w:t>
      </w:r>
      <w:proofErr w:type="spellStart"/>
      <w:r w:rsidRPr="005D4F27">
        <w:rPr>
          <w:rFonts w:eastAsia="Calibri"/>
        </w:rPr>
        <w:t>Pyren</w:t>
      </w:r>
      <w:proofErr w:type="spellEnd"/>
      <w:r w:rsidRPr="005D4F27">
        <w:rPr>
          <w:rFonts w:eastAsia="Calibri"/>
        </w:rPr>
        <w:t>.</w:t>
      </w:r>
    </w:p>
    <w:p w14:paraId="53E150C1" w14:textId="7DEC340F" w:rsidR="00D16E21" w:rsidRPr="00D16E21" w:rsidRDefault="00D16E21" w:rsidP="00D16E21">
      <w:pPr>
        <w:pStyle w:val="berschrift1"/>
      </w:pPr>
      <w:r w:rsidRPr="008D0377">
        <w:t>Tabelle 3: Zulässige zusätzliche jährliche Frachten an Schadstoffen über alle Eintragspfade</w:t>
      </w:r>
    </w:p>
    <w:p w14:paraId="579251B9" w14:textId="77777777" w:rsidR="00D16E21" w:rsidRPr="005D4F27" w:rsidRDefault="00D16E21" w:rsidP="009030B5">
      <w:pPr>
        <w:rPr>
          <w:rFonts w:eastAsia="Calibri"/>
          <w:b/>
        </w:rPr>
      </w:pPr>
    </w:p>
    <w:tbl>
      <w:tblPr>
        <w:tblW w:w="0" w:type="auto"/>
        <w:tblInd w:w="1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9" w:type="dxa"/>
          <w:right w:w="119" w:type="dxa"/>
        </w:tblCellMar>
        <w:tblLook w:val="0000" w:firstRow="0" w:lastRow="0" w:firstColumn="0" w:lastColumn="0" w:noHBand="0" w:noVBand="0"/>
      </w:tblPr>
      <w:tblGrid>
        <w:gridCol w:w="1843"/>
        <w:gridCol w:w="2126"/>
      </w:tblGrid>
      <w:tr w:rsidR="00D16E21" w:rsidRPr="005D4F27" w14:paraId="61565B0A" w14:textId="77777777" w:rsidTr="009030B5">
        <w:trPr>
          <w:trHeight w:val="317"/>
        </w:trPr>
        <w:tc>
          <w:tcPr>
            <w:tcW w:w="1843" w:type="dxa"/>
            <w:tcBorders>
              <w:top w:val="single" w:sz="12" w:space="0" w:color="auto"/>
              <w:bottom w:val="single" w:sz="12" w:space="0" w:color="auto"/>
              <w:right w:val="single" w:sz="12" w:space="0" w:color="auto"/>
            </w:tcBorders>
            <w:shd w:val="clear" w:color="auto" w:fill="EEECE1"/>
            <w:vAlign w:val="center"/>
          </w:tcPr>
          <w:p w14:paraId="2355FA0E" w14:textId="77777777" w:rsidR="00D16E21" w:rsidRPr="005D4F27" w:rsidRDefault="00D16E21" w:rsidP="009030B5">
            <w:pPr>
              <w:rPr>
                <w:rFonts w:eastAsia="Calibri"/>
                <w:b/>
              </w:rPr>
            </w:pPr>
            <w:r w:rsidRPr="005D4F27">
              <w:rPr>
                <w:rFonts w:eastAsia="Calibri"/>
                <w:b/>
              </w:rPr>
              <w:t>Stoff</w:t>
            </w:r>
          </w:p>
        </w:tc>
        <w:tc>
          <w:tcPr>
            <w:tcW w:w="2126" w:type="dxa"/>
            <w:tcBorders>
              <w:top w:val="single" w:sz="12" w:space="0" w:color="auto"/>
              <w:left w:val="single" w:sz="12" w:space="0" w:color="auto"/>
              <w:bottom w:val="single" w:sz="12" w:space="0" w:color="auto"/>
            </w:tcBorders>
            <w:shd w:val="clear" w:color="auto" w:fill="EEECE1"/>
            <w:vAlign w:val="center"/>
          </w:tcPr>
          <w:p w14:paraId="3466A861" w14:textId="77777777" w:rsidR="00D16E21" w:rsidRPr="005D4F27" w:rsidRDefault="00D16E21" w:rsidP="009030B5">
            <w:pPr>
              <w:tabs>
                <w:tab w:val="left" w:pos="0"/>
              </w:tabs>
              <w:jc w:val="center"/>
              <w:rPr>
                <w:rFonts w:eastAsia="Calibri"/>
                <w:b/>
              </w:rPr>
            </w:pPr>
            <w:r w:rsidRPr="005D4F27">
              <w:rPr>
                <w:rFonts w:eastAsia="Calibri"/>
                <w:b/>
              </w:rPr>
              <w:t xml:space="preserve">Fracht </w:t>
            </w:r>
          </w:p>
        </w:tc>
      </w:tr>
      <w:tr w:rsidR="00D16E21" w:rsidRPr="005D4F27" w14:paraId="3035E79A" w14:textId="77777777" w:rsidTr="009030B5">
        <w:trPr>
          <w:trHeight w:val="317"/>
        </w:trPr>
        <w:tc>
          <w:tcPr>
            <w:tcW w:w="1843" w:type="dxa"/>
            <w:tcBorders>
              <w:top w:val="single" w:sz="12" w:space="0" w:color="auto"/>
              <w:bottom w:val="single" w:sz="12" w:space="0" w:color="auto"/>
              <w:right w:val="single" w:sz="12" w:space="0" w:color="auto"/>
            </w:tcBorders>
            <w:shd w:val="clear" w:color="auto" w:fill="FFFFFF"/>
            <w:vAlign w:val="center"/>
          </w:tcPr>
          <w:p w14:paraId="48EF8B9D" w14:textId="77777777" w:rsidR="00D16E21" w:rsidRPr="005D4F27" w:rsidRDefault="00D16E21" w:rsidP="009030B5">
            <w:pPr>
              <w:rPr>
                <w:rFonts w:eastAsia="Calibri"/>
              </w:rPr>
            </w:pPr>
          </w:p>
        </w:tc>
        <w:tc>
          <w:tcPr>
            <w:tcW w:w="2126" w:type="dxa"/>
            <w:tcBorders>
              <w:top w:val="single" w:sz="12" w:space="0" w:color="auto"/>
              <w:left w:val="single" w:sz="12" w:space="0" w:color="auto"/>
              <w:bottom w:val="single" w:sz="12" w:space="0" w:color="auto"/>
            </w:tcBorders>
            <w:shd w:val="clear" w:color="auto" w:fill="FFFFFF"/>
            <w:vAlign w:val="center"/>
          </w:tcPr>
          <w:p w14:paraId="28CBDEFA" w14:textId="77777777" w:rsidR="00D16E21" w:rsidRPr="005D4F27" w:rsidRDefault="00D16E21" w:rsidP="009030B5">
            <w:pPr>
              <w:tabs>
                <w:tab w:val="left" w:pos="0"/>
              </w:tabs>
              <w:jc w:val="center"/>
              <w:rPr>
                <w:rFonts w:eastAsia="Calibri"/>
              </w:rPr>
            </w:pPr>
            <w:r w:rsidRPr="005D4F27">
              <w:rPr>
                <w:rFonts w:eastAsia="Calibri"/>
              </w:rPr>
              <w:t>[g/</w:t>
            </w:r>
            <w:proofErr w:type="spellStart"/>
            <w:r w:rsidRPr="005D4F27">
              <w:rPr>
                <w:rFonts w:eastAsia="Calibri"/>
              </w:rPr>
              <w:t>ha·a</w:t>
            </w:r>
            <w:proofErr w:type="spellEnd"/>
            <w:r w:rsidRPr="005D4F27">
              <w:rPr>
                <w:rFonts w:eastAsia="Calibri"/>
              </w:rPr>
              <w:t>]</w:t>
            </w:r>
          </w:p>
        </w:tc>
      </w:tr>
      <w:tr w:rsidR="00D16E21" w:rsidRPr="005D4F27" w14:paraId="124F1C26" w14:textId="77777777" w:rsidTr="009030B5">
        <w:trPr>
          <w:trHeight w:val="380"/>
        </w:trPr>
        <w:tc>
          <w:tcPr>
            <w:tcW w:w="1843" w:type="dxa"/>
            <w:tcBorders>
              <w:top w:val="single" w:sz="12" w:space="0" w:color="auto"/>
              <w:right w:val="single" w:sz="12" w:space="0" w:color="auto"/>
            </w:tcBorders>
            <w:vAlign w:val="center"/>
          </w:tcPr>
          <w:p w14:paraId="1F02BD10" w14:textId="77777777" w:rsidR="00D16E21" w:rsidRPr="005D4F27" w:rsidRDefault="00D16E21" w:rsidP="009030B5">
            <w:pPr>
              <w:rPr>
                <w:rFonts w:eastAsia="Calibri"/>
              </w:rPr>
            </w:pPr>
            <w:r w:rsidRPr="005D4F27">
              <w:rPr>
                <w:rFonts w:eastAsia="Calibri"/>
              </w:rPr>
              <w:t>Arsen</w:t>
            </w:r>
          </w:p>
        </w:tc>
        <w:tc>
          <w:tcPr>
            <w:tcW w:w="2126" w:type="dxa"/>
            <w:tcBorders>
              <w:top w:val="single" w:sz="12" w:space="0" w:color="auto"/>
              <w:left w:val="single" w:sz="12" w:space="0" w:color="auto"/>
            </w:tcBorders>
            <w:vAlign w:val="center"/>
          </w:tcPr>
          <w:p w14:paraId="471BD88B" w14:textId="77777777" w:rsidR="00D16E21" w:rsidRPr="005D4F27" w:rsidRDefault="00D16E21" w:rsidP="009030B5">
            <w:pPr>
              <w:tabs>
                <w:tab w:val="left" w:pos="0"/>
                <w:tab w:val="left" w:pos="708"/>
              </w:tabs>
              <w:jc w:val="center"/>
              <w:rPr>
                <w:rFonts w:eastAsia="Calibri"/>
              </w:rPr>
            </w:pPr>
            <w:r w:rsidRPr="005D4F27">
              <w:rPr>
                <w:rFonts w:eastAsia="Calibri"/>
              </w:rPr>
              <w:t>35</w:t>
            </w:r>
          </w:p>
        </w:tc>
      </w:tr>
      <w:tr w:rsidR="00D16E21" w:rsidRPr="005D4F27" w14:paraId="68038FC7" w14:textId="77777777" w:rsidTr="009030B5">
        <w:trPr>
          <w:trHeight w:val="362"/>
        </w:trPr>
        <w:tc>
          <w:tcPr>
            <w:tcW w:w="1843" w:type="dxa"/>
            <w:tcBorders>
              <w:right w:val="single" w:sz="12" w:space="0" w:color="auto"/>
            </w:tcBorders>
            <w:vAlign w:val="center"/>
          </w:tcPr>
          <w:p w14:paraId="7FF79480" w14:textId="77777777" w:rsidR="00D16E21" w:rsidRPr="005D4F27" w:rsidRDefault="00D16E21" w:rsidP="009030B5">
            <w:pPr>
              <w:rPr>
                <w:rFonts w:eastAsia="Calibri"/>
              </w:rPr>
            </w:pPr>
            <w:r w:rsidRPr="005D4F27">
              <w:rPr>
                <w:rFonts w:eastAsia="Calibri"/>
              </w:rPr>
              <w:t>Blei</w:t>
            </w:r>
          </w:p>
        </w:tc>
        <w:tc>
          <w:tcPr>
            <w:tcW w:w="2126" w:type="dxa"/>
            <w:tcBorders>
              <w:left w:val="single" w:sz="12" w:space="0" w:color="auto"/>
            </w:tcBorders>
            <w:vAlign w:val="center"/>
          </w:tcPr>
          <w:p w14:paraId="5808E344" w14:textId="77777777" w:rsidR="00D16E21" w:rsidRPr="005D4F27" w:rsidRDefault="00D16E21" w:rsidP="009030B5">
            <w:pPr>
              <w:tabs>
                <w:tab w:val="left" w:pos="0"/>
                <w:tab w:val="left" w:pos="708"/>
              </w:tabs>
              <w:jc w:val="center"/>
              <w:rPr>
                <w:rFonts w:eastAsia="Calibri"/>
              </w:rPr>
            </w:pPr>
            <w:r w:rsidRPr="005D4F27">
              <w:rPr>
                <w:rFonts w:eastAsia="Calibri"/>
              </w:rPr>
              <w:t>200</w:t>
            </w:r>
          </w:p>
        </w:tc>
      </w:tr>
      <w:tr w:rsidR="00D16E21" w:rsidRPr="005D4F27" w14:paraId="57A7E1EA" w14:textId="77777777" w:rsidTr="009030B5">
        <w:trPr>
          <w:trHeight w:val="345"/>
        </w:trPr>
        <w:tc>
          <w:tcPr>
            <w:tcW w:w="1843" w:type="dxa"/>
            <w:tcBorders>
              <w:right w:val="single" w:sz="12" w:space="0" w:color="auto"/>
            </w:tcBorders>
            <w:vAlign w:val="center"/>
          </w:tcPr>
          <w:p w14:paraId="6BAFAA98" w14:textId="77777777" w:rsidR="00D16E21" w:rsidRPr="005D4F27" w:rsidRDefault="00D16E21" w:rsidP="009030B5">
            <w:pPr>
              <w:rPr>
                <w:rFonts w:eastAsia="Calibri"/>
              </w:rPr>
            </w:pPr>
            <w:r w:rsidRPr="005D4F27">
              <w:rPr>
                <w:rFonts w:eastAsia="Calibri"/>
              </w:rPr>
              <w:t>Cadmium</w:t>
            </w:r>
          </w:p>
        </w:tc>
        <w:tc>
          <w:tcPr>
            <w:tcW w:w="2126" w:type="dxa"/>
            <w:tcBorders>
              <w:left w:val="single" w:sz="12" w:space="0" w:color="auto"/>
            </w:tcBorders>
            <w:vAlign w:val="center"/>
          </w:tcPr>
          <w:p w14:paraId="4D30793C" w14:textId="77777777" w:rsidR="00D16E21" w:rsidRPr="005D4F27" w:rsidRDefault="00D16E21" w:rsidP="009030B5">
            <w:pPr>
              <w:tabs>
                <w:tab w:val="left" w:pos="0"/>
                <w:tab w:val="left" w:pos="708"/>
              </w:tabs>
              <w:jc w:val="center"/>
              <w:rPr>
                <w:rFonts w:eastAsia="Calibri"/>
              </w:rPr>
            </w:pPr>
            <w:r w:rsidRPr="005D4F27">
              <w:rPr>
                <w:rFonts w:eastAsia="Calibri"/>
              </w:rPr>
              <w:t>5</w:t>
            </w:r>
          </w:p>
        </w:tc>
      </w:tr>
      <w:tr w:rsidR="00D16E21" w:rsidRPr="005D4F27" w14:paraId="1B558C5F" w14:textId="77777777" w:rsidTr="009030B5">
        <w:trPr>
          <w:trHeight w:val="342"/>
        </w:trPr>
        <w:tc>
          <w:tcPr>
            <w:tcW w:w="1843" w:type="dxa"/>
            <w:tcBorders>
              <w:right w:val="single" w:sz="12" w:space="0" w:color="auto"/>
            </w:tcBorders>
            <w:vAlign w:val="center"/>
          </w:tcPr>
          <w:p w14:paraId="5E92B628" w14:textId="77777777" w:rsidR="00D16E21" w:rsidRPr="005D4F27" w:rsidRDefault="00D16E21" w:rsidP="009030B5">
            <w:pPr>
              <w:rPr>
                <w:rFonts w:eastAsia="Calibri"/>
              </w:rPr>
            </w:pPr>
            <w:r w:rsidRPr="005D4F27">
              <w:rPr>
                <w:rFonts w:eastAsia="Calibri"/>
              </w:rPr>
              <w:t xml:space="preserve">Chrom </w:t>
            </w:r>
            <w:r w:rsidRPr="005D4F27">
              <w:rPr>
                <w:rFonts w:eastAsia="Calibri"/>
                <w:vertAlign w:val="subscript"/>
              </w:rPr>
              <w:t>gesamt</w:t>
            </w:r>
          </w:p>
        </w:tc>
        <w:tc>
          <w:tcPr>
            <w:tcW w:w="2126" w:type="dxa"/>
            <w:tcBorders>
              <w:left w:val="single" w:sz="12" w:space="0" w:color="auto"/>
            </w:tcBorders>
            <w:vAlign w:val="center"/>
          </w:tcPr>
          <w:p w14:paraId="3D6308CE" w14:textId="77777777" w:rsidR="00D16E21" w:rsidRPr="005D4F27" w:rsidRDefault="00D16E21" w:rsidP="009030B5">
            <w:pPr>
              <w:tabs>
                <w:tab w:val="left" w:pos="0"/>
                <w:tab w:val="left" w:pos="708"/>
              </w:tabs>
              <w:jc w:val="center"/>
              <w:rPr>
                <w:rFonts w:eastAsia="Calibri"/>
              </w:rPr>
            </w:pPr>
            <w:r w:rsidRPr="005D4F27">
              <w:rPr>
                <w:rFonts w:eastAsia="Calibri"/>
              </w:rPr>
              <w:t>150</w:t>
            </w:r>
          </w:p>
        </w:tc>
      </w:tr>
      <w:tr w:rsidR="00D16E21" w:rsidRPr="005D4F27" w14:paraId="512EA007" w14:textId="77777777" w:rsidTr="009030B5">
        <w:trPr>
          <w:trHeight w:val="352"/>
        </w:trPr>
        <w:tc>
          <w:tcPr>
            <w:tcW w:w="1843" w:type="dxa"/>
            <w:tcBorders>
              <w:right w:val="single" w:sz="12" w:space="0" w:color="auto"/>
            </w:tcBorders>
            <w:vAlign w:val="center"/>
          </w:tcPr>
          <w:p w14:paraId="3BF6E191" w14:textId="77777777" w:rsidR="00D16E21" w:rsidRPr="005D4F27" w:rsidRDefault="00D16E21" w:rsidP="009030B5">
            <w:pPr>
              <w:rPr>
                <w:rFonts w:eastAsia="Calibri"/>
              </w:rPr>
            </w:pPr>
            <w:r w:rsidRPr="005D4F27">
              <w:rPr>
                <w:rFonts w:eastAsia="Calibri"/>
              </w:rPr>
              <w:t>Kupfer</w:t>
            </w:r>
          </w:p>
        </w:tc>
        <w:tc>
          <w:tcPr>
            <w:tcW w:w="2126" w:type="dxa"/>
            <w:tcBorders>
              <w:left w:val="single" w:sz="12" w:space="0" w:color="auto"/>
            </w:tcBorders>
            <w:vAlign w:val="center"/>
          </w:tcPr>
          <w:p w14:paraId="09385557" w14:textId="77777777" w:rsidR="00D16E21" w:rsidRPr="005D4F27" w:rsidRDefault="00D16E21" w:rsidP="009030B5">
            <w:pPr>
              <w:tabs>
                <w:tab w:val="left" w:pos="0"/>
                <w:tab w:val="left" w:pos="708"/>
              </w:tabs>
              <w:jc w:val="center"/>
              <w:rPr>
                <w:rFonts w:eastAsia="Calibri"/>
              </w:rPr>
            </w:pPr>
            <w:r w:rsidRPr="005D4F27">
              <w:rPr>
                <w:rFonts w:eastAsia="Calibri"/>
              </w:rPr>
              <w:t>300</w:t>
            </w:r>
          </w:p>
        </w:tc>
      </w:tr>
      <w:tr w:rsidR="00D16E21" w:rsidRPr="005D4F27" w14:paraId="74A5DF48" w14:textId="77777777" w:rsidTr="009030B5">
        <w:tc>
          <w:tcPr>
            <w:tcW w:w="1843" w:type="dxa"/>
            <w:tcBorders>
              <w:right w:val="single" w:sz="12" w:space="0" w:color="auto"/>
            </w:tcBorders>
            <w:vAlign w:val="center"/>
          </w:tcPr>
          <w:p w14:paraId="04BE19F1" w14:textId="77777777" w:rsidR="00D16E21" w:rsidRPr="005D4F27" w:rsidRDefault="00D16E21" w:rsidP="009030B5">
            <w:pPr>
              <w:rPr>
                <w:rFonts w:eastAsia="Calibri"/>
              </w:rPr>
            </w:pPr>
            <w:r w:rsidRPr="005D4F27">
              <w:rPr>
                <w:rFonts w:eastAsia="Calibri"/>
              </w:rPr>
              <w:t>Nickel</w:t>
            </w:r>
          </w:p>
        </w:tc>
        <w:tc>
          <w:tcPr>
            <w:tcW w:w="2126" w:type="dxa"/>
            <w:tcBorders>
              <w:left w:val="single" w:sz="12" w:space="0" w:color="auto"/>
            </w:tcBorders>
            <w:vAlign w:val="center"/>
          </w:tcPr>
          <w:p w14:paraId="0BF5ED86" w14:textId="77777777" w:rsidR="00D16E21" w:rsidRPr="005D4F27" w:rsidRDefault="00D16E21" w:rsidP="009030B5">
            <w:pPr>
              <w:tabs>
                <w:tab w:val="left" w:pos="0"/>
                <w:tab w:val="left" w:pos="708"/>
              </w:tabs>
              <w:jc w:val="center"/>
              <w:rPr>
                <w:rFonts w:eastAsia="Calibri"/>
              </w:rPr>
            </w:pPr>
            <w:r w:rsidRPr="005D4F27">
              <w:rPr>
                <w:rFonts w:eastAsia="Calibri"/>
              </w:rPr>
              <w:t>75</w:t>
            </w:r>
          </w:p>
        </w:tc>
      </w:tr>
      <w:tr w:rsidR="00D16E21" w:rsidRPr="005D4F27" w14:paraId="56D8EC2F" w14:textId="77777777" w:rsidTr="009030B5">
        <w:trPr>
          <w:trHeight w:val="387"/>
        </w:trPr>
        <w:tc>
          <w:tcPr>
            <w:tcW w:w="1843" w:type="dxa"/>
            <w:tcBorders>
              <w:right w:val="single" w:sz="12" w:space="0" w:color="auto"/>
            </w:tcBorders>
            <w:vAlign w:val="center"/>
          </w:tcPr>
          <w:p w14:paraId="1A73B070" w14:textId="77777777" w:rsidR="00D16E21" w:rsidRPr="005D4F27" w:rsidRDefault="00D16E21" w:rsidP="009030B5">
            <w:pPr>
              <w:rPr>
                <w:rFonts w:eastAsia="Calibri"/>
              </w:rPr>
            </w:pPr>
            <w:r w:rsidRPr="005D4F27">
              <w:rPr>
                <w:rFonts w:eastAsia="Calibri"/>
              </w:rPr>
              <w:t>Quecksilber</w:t>
            </w:r>
          </w:p>
        </w:tc>
        <w:tc>
          <w:tcPr>
            <w:tcW w:w="2126" w:type="dxa"/>
            <w:tcBorders>
              <w:left w:val="single" w:sz="12" w:space="0" w:color="auto"/>
            </w:tcBorders>
            <w:vAlign w:val="center"/>
          </w:tcPr>
          <w:p w14:paraId="63448616" w14:textId="77777777" w:rsidR="00D16E21" w:rsidRPr="005D4F27" w:rsidRDefault="00D16E21" w:rsidP="009030B5">
            <w:pPr>
              <w:tabs>
                <w:tab w:val="left" w:pos="0"/>
                <w:tab w:val="left" w:pos="708"/>
              </w:tabs>
              <w:jc w:val="center"/>
              <w:rPr>
                <w:rFonts w:eastAsia="Calibri"/>
              </w:rPr>
            </w:pPr>
            <w:r w:rsidRPr="005D4F27">
              <w:rPr>
                <w:rFonts w:eastAsia="Calibri"/>
              </w:rPr>
              <w:t>1</w:t>
            </w:r>
          </w:p>
        </w:tc>
      </w:tr>
      <w:tr w:rsidR="00D16E21" w:rsidRPr="005D4F27" w14:paraId="325898A9" w14:textId="77777777" w:rsidTr="009030B5">
        <w:trPr>
          <w:trHeight w:val="342"/>
        </w:trPr>
        <w:tc>
          <w:tcPr>
            <w:tcW w:w="1843" w:type="dxa"/>
            <w:tcBorders>
              <w:right w:val="single" w:sz="12" w:space="0" w:color="auto"/>
            </w:tcBorders>
            <w:vAlign w:val="center"/>
          </w:tcPr>
          <w:p w14:paraId="5AE99A05" w14:textId="77777777" w:rsidR="00D16E21" w:rsidRPr="005D4F27" w:rsidRDefault="00D16E21" w:rsidP="009030B5">
            <w:pPr>
              <w:rPr>
                <w:rFonts w:eastAsia="Calibri"/>
              </w:rPr>
            </w:pPr>
            <w:r w:rsidRPr="005D4F27">
              <w:rPr>
                <w:rFonts w:eastAsia="Calibri"/>
              </w:rPr>
              <w:t>Thallium</w:t>
            </w:r>
          </w:p>
        </w:tc>
        <w:tc>
          <w:tcPr>
            <w:tcW w:w="2126" w:type="dxa"/>
            <w:tcBorders>
              <w:left w:val="single" w:sz="12" w:space="0" w:color="auto"/>
            </w:tcBorders>
            <w:vAlign w:val="center"/>
          </w:tcPr>
          <w:p w14:paraId="4EC68E94" w14:textId="77777777" w:rsidR="00D16E21" w:rsidRPr="005D4F27" w:rsidRDefault="00D16E21" w:rsidP="009030B5">
            <w:pPr>
              <w:tabs>
                <w:tab w:val="left" w:pos="0"/>
                <w:tab w:val="left" w:pos="708"/>
              </w:tabs>
              <w:jc w:val="center"/>
              <w:rPr>
                <w:rFonts w:eastAsia="Calibri"/>
              </w:rPr>
            </w:pPr>
            <w:r w:rsidRPr="005D4F27">
              <w:rPr>
                <w:rFonts w:eastAsia="Calibri"/>
              </w:rPr>
              <w:t>1,5</w:t>
            </w:r>
          </w:p>
        </w:tc>
      </w:tr>
      <w:tr w:rsidR="00D16E21" w:rsidRPr="005D4F27" w14:paraId="5E1DBA3E" w14:textId="77777777" w:rsidTr="009030B5">
        <w:trPr>
          <w:trHeight w:val="353"/>
        </w:trPr>
        <w:tc>
          <w:tcPr>
            <w:tcW w:w="1843" w:type="dxa"/>
            <w:tcBorders>
              <w:right w:val="single" w:sz="12" w:space="0" w:color="auto"/>
            </w:tcBorders>
            <w:vAlign w:val="center"/>
          </w:tcPr>
          <w:p w14:paraId="0BE55D85" w14:textId="77777777" w:rsidR="00D16E21" w:rsidRPr="005D4F27" w:rsidRDefault="00D16E21" w:rsidP="009030B5">
            <w:pPr>
              <w:rPr>
                <w:rFonts w:eastAsia="Calibri"/>
              </w:rPr>
            </w:pPr>
            <w:r w:rsidRPr="005D4F27">
              <w:rPr>
                <w:rFonts w:eastAsia="Calibri"/>
              </w:rPr>
              <w:t>Zink</w:t>
            </w:r>
          </w:p>
        </w:tc>
        <w:tc>
          <w:tcPr>
            <w:tcW w:w="2126" w:type="dxa"/>
            <w:tcBorders>
              <w:left w:val="single" w:sz="12" w:space="0" w:color="auto"/>
            </w:tcBorders>
            <w:vAlign w:val="center"/>
          </w:tcPr>
          <w:p w14:paraId="79416DC9" w14:textId="77777777" w:rsidR="00D16E21" w:rsidRPr="005D4F27" w:rsidRDefault="00D16E21" w:rsidP="009030B5">
            <w:pPr>
              <w:tabs>
                <w:tab w:val="left" w:pos="0"/>
                <w:tab w:val="left" w:pos="708"/>
              </w:tabs>
              <w:jc w:val="center"/>
              <w:rPr>
                <w:rFonts w:eastAsia="Calibri"/>
              </w:rPr>
            </w:pPr>
            <w:r w:rsidRPr="005D4F27">
              <w:rPr>
                <w:rFonts w:eastAsia="Calibri"/>
              </w:rPr>
              <w:t>1 200</w:t>
            </w:r>
          </w:p>
        </w:tc>
      </w:tr>
      <w:tr w:rsidR="00D16E21" w:rsidRPr="005D4F27" w14:paraId="1D42A5F9" w14:textId="77777777" w:rsidTr="009030B5">
        <w:trPr>
          <w:trHeight w:val="349"/>
        </w:trPr>
        <w:tc>
          <w:tcPr>
            <w:tcW w:w="1843" w:type="dxa"/>
            <w:tcBorders>
              <w:bottom w:val="single" w:sz="12" w:space="0" w:color="auto"/>
              <w:right w:val="single" w:sz="12" w:space="0" w:color="auto"/>
            </w:tcBorders>
            <w:vAlign w:val="center"/>
          </w:tcPr>
          <w:p w14:paraId="357ED10A" w14:textId="77777777" w:rsidR="00D16E21" w:rsidRPr="005D4F27" w:rsidRDefault="00D16E21" w:rsidP="009030B5">
            <w:pPr>
              <w:rPr>
                <w:rFonts w:eastAsia="Calibri"/>
              </w:rPr>
            </w:pPr>
            <w:r w:rsidRPr="005D4F27">
              <w:rPr>
                <w:rFonts w:eastAsia="Calibri"/>
              </w:rPr>
              <w:lastRenderedPageBreak/>
              <w:t>Benzo(a)</w:t>
            </w:r>
            <w:proofErr w:type="spellStart"/>
            <w:r w:rsidRPr="005D4F27">
              <w:rPr>
                <w:rFonts w:eastAsia="Calibri"/>
              </w:rPr>
              <w:t>pyren</w:t>
            </w:r>
            <w:proofErr w:type="spellEnd"/>
          </w:p>
        </w:tc>
        <w:tc>
          <w:tcPr>
            <w:tcW w:w="2126" w:type="dxa"/>
            <w:tcBorders>
              <w:left w:val="single" w:sz="12" w:space="0" w:color="auto"/>
            </w:tcBorders>
            <w:vAlign w:val="center"/>
          </w:tcPr>
          <w:p w14:paraId="5D26316A" w14:textId="77777777" w:rsidR="00D16E21" w:rsidRPr="005D4F27" w:rsidRDefault="00D16E21" w:rsidP="009030B5">
            <w:pPr>
              <w:tabs>
                <w:tab w:val="left" w:pos="0"/>
                <w:tab w:val="left" w:pos="708"/>
              </w:tabs>
              <w:jc w:val="center"/>
              <w:rPr>
                <w:rFonts w:eastAsia="Calibri"/>
              </w:rPr>
            </w:pPr>
            <w:r w:rsidRPr="005D4F27">
              <w:rPr>
                <w:rFonts w:eastAsia="Calibri"/>
              </w:rPr>
              <w:t>1</w:t>
            </w:r>
          </w:p>
        </w:tc>
      </w:tr>
    </w:tbl>
    <w:p w14:paraId="3DD92E81" w14:textId="0FEED77C" w:rsidR="00D16E21" w:rsidRDefault="00D16E21" w:rsidP="00D16E21">
      <w:pPr>
        <w:rPr>
          <w:rFonts w:eastAsia="Calibri"/>
        </w:rPr>
      </w:pPr>
    </w:p>
    <w:p w14:paraId="1146D547" w14:textId="3DCB82DC" w:rsidR="00D16E21" w:rsidRPr="008D0377" w:rsidRDefault="00D16E21" w:rsidP="00D16E21">
      <w:pPr>
        <w:pStyle w:val="berschrift1"/>
      </w:pPr>
      <w:r>
        <w:rPr>
          <w:rFonts w:eastAsia="Calibri"/>
        </w:rPr>
        <w:br w:type="page"/>
      </w:r>
      <w:r w:rsidRPr="008D0377">
        <w:lastRenderedPageBreak/>
        <w:t>Tabelle 4: Werte zur Beurteilung von Materialien für das Auf- oder Einbringen unterhalb oder außerhalb einer durchwurzelbaren Bodenschicht</w:t>
      </w:r>
    </w:p>
    <w:p w14:paraId="25565C60" w14:textId="37799B79" w:rsidR="00D16E21" w:rsidRPr="00D16E21" w:rsidRDefault="00D16E21" w:rsidP="00D16E21">
      <w:pPr>
        <w:pStyle w:val="Text"/>
      </w:pPr>
      <w:r w:rsidRPr="00D16E21">
        <w:t xml:space="preserve">Hinweis: Die </w:t>
      </w:r>
      <w:proofErr w:type="spellStart"/>
      <w:r w:rsidRPr="00D16E21">
        <w:t>Eluatwerte</w:t>
      </w:r>
      <w:proofErr w:type="spellEnd"/>
      <w:r w:rsidRPr="00D16E21">
        <w:t xml:space="preserve"> sind mit Ausnahme des </w:t>
      </w:r>
      <w:proofErr w:type="spellStart"/>
      <w:r w:rsidRPr="00D16E21">
        <w:t>Eluatwertes</w:t>
      </w:r>
      <w:proofErr w:type="spellEnd"/>
      <w:r w:rsidRPr="00D16E21">
        <w:t xml:space="preserve"> für Sulfat nur maßgeblich, wenn für den betreffenden Stoff der jeweilige Vorsorgewert nach Tabelle 1 oder 2 überschritten wird.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410"/>
        <w:gridCol w:w="2126"/>
        <w:gridCol w:w="2126"/>
      </w:tblGrid>
      <w:tr w:rsidR="00D16E21" w:rsidRPr="005D4F27" w14:paraId="093DF497" w14:textId="77777777" w:rsidTr="009030B5">
        <w:trPr>
          <w:trHeight w:val="340"/>
        </w:trPr>
        <w:tc>
          <w:tcPr>
            <w:tcW w:w="2410" w:type="dxa"/>
            <w:tcBorders>
              <w:top w:val="single" w:sz="12" w:space="0" w:color="auto"/>
              <w:left w:val="single" w:sz="12" w:space="0" w:color="auto"/>
              <w:bottom w:val="single" w:sz="12" w:space="0" w:color="auto"/>
              <w:right w:val="single" w:sz="12" w:space="0" w:color="auto"/>
            </w:tcBorders>
            <w:shd w:val="pct10" w:color="auto" w:fill="auto"/>
          </w:tcPr>
          <w:p w14:paraId="47D12740" w14:textId="77777777" w:rsidR="00D16E21" w:rsidRPr="005D4F27" w:rsidRDefault="00D16E21" w:rsidP="009030B5">
            <w:pPr>
              <w:jc w:val="center"/>
              <w:rPr>
                <w:rFonts w:eastAsia="Calibri"/>
                <w:b/>
              </w:rPr>
            </w:pPr>
            <w:r w:rsidRPr="005D4F27">
              <w:rPr>
                <w:rFonts w:eastAsia="Calibri"/>
                <w:b/>
              </w:rPr>
              <w:t>Stoff</w:t>
            </w:r>
          </w:p>
        </w:tc>
        <w:tc>
          <w:tcPr>
            <w:tcW w:w="2410" w:type="dxa"/>
            <w:tcBorders>
              <w:top w:val="single" w:sz="12" w:space="0" w:color="auto"/>
              <w:left w:val="single" w:sz="12" w:space="0" w:color="auto"/>
              <w:bottom w:val="single" w:sz="12" w:space="0" w:color="auto"/>
              <w:right w:val="single" w:sz="12" w:space="0" w:color="auto"/>
            </w:tcBorders>
            <w:shd w:val="pct10" w:color="auto" w:fill="auto"/>
          </w:tcPr>
          <w:p w14:paraId="3DDB9E05" w14:textId="77777777" w:rsidR="00D16E21" w:rsidRPr="005D4F27" w:rsidRDefault="00D16E21" w:rsidP="009030B5">
            <w:pPr>
              <w:ind w:left="-57" w:right="-57"/>
              <w:jc w:val="center"/>
              <w:rPr>
                <w:rFonts w:eastAsia="Calibri"/>
                <w:b/>
              </w:rPr>
            </w:pPr>
            <w:r w:rsidRPr="005D4F27">
              <w:rPr>
                <w:rFonts w:eastAsia="Calibri"/>
                <w:b/>
              </w:rPr>
              <w:t xml:space="preserve">Feststoffwert </w:t>
            </w:r>
          </w:p>
        </w:tc>
        <w:tc>
          <w:tcPr>
            <w:tcW w:w="4252" w:type="dxa"/>
            <w:gridSpan w:val="2"/>
            <w:tcBorders>
              <w:top w:val="single" w:sz="12" w:space="0" w:color="auto"/>
              <w:left w:val="single" w:sz="12" w:space="0" w:color="auto"/>
              <w:bottom w:val="single" w:sz="12" w:space="0" w:color="auto"/>
              <w:right w:val="single" w:sz="12" w:space="0" w:color="auto"/>
            </w:tcBorders>
            <w:shd w:val="pct10" w:color="auto" w:fill="auto"/>
          </w:tcPr>
          <w:p w14:paraId="2D49F4B8" w14:textId="77777777" w:rsidR="00D16E21" w:rsidRPr="005D4F27" w:rsidRDefault="00D16E21" w:rsidP="009030B5">
            <w:pPr>
              <w:ind w:left="-57" w:right="-57"/>
              <w:jc w:val="center"/>
              <w:rPr>
                <w:rFonts w:eastAsia="Calibri"/>
                <w:b/>
              </w:rPr>
            </w:pPr>
            <w:proofErr w:type="spellStart"/>
            <w:r w:rsidRPr="005D4F27">
              <w:rPr>
                <w:rFonts w:eastAsia="Calibri"/>
                <w:b/>
              </w:rPr>
              <w:t>Eluatwert</w:t>
            </w:r>
            <w:proofErr w:type="spellEnd"/>
          </w:p>
        </w:tc>
      </w:tr>
      <w:tr w:rsidR="00D16E21" w:rsidRPr="005D4F27" w14:paraId="2DB73E99" w14:textId="77777777" w:rsidTr="009030B5">
        <w:trPr>
          <w:trHeight w:val="624"/>
        </w:trPr>
        <w:tc>
          <w:tcPr>
            <w:tcW w:w="2410" w:type="dxa"/>
            <w:tcBorders>
              <w:top w:val="single" w:sz="12" w:space="0" w:color="auto"/>
              <w:left w:val="single" w:sz="12" w:space="0" w:color="auto"/>
              <w:bottom w:val="single" w:sz="12" w:space="0" w:color="auto"/>
              <w:right w:val="single" w:sz="12" w:space="0" w:color="auto"/>
            </w:tcBorders>
            <w:shd w:val="pct10" w:color="auto" w:fill="auto"/>
          </w:tcPr>
          <w:p w14:paraId="28DCEBBF" w14:textId="77777777" w:rsidR="00D16E21" w:rsidRPr="005D4F27" w:rsidRDefault="00D16E21" w:rsidP="009030B5">
            <w:pPr>
              <w:jc w:val="center"/>
              <w:rPr>
                <w:rFonts w:eastAsia="Calibri"/>
                <w:b/>
              </w:rPr>
            </w:pPr>
          </w:p>
        </w:tc>
        <w:tc>
          <w:tcPr>
            <w:tcW w:w="2410" w:type="dxa"/>
            <w:tcBorders>
              <w:top w:val="single" w:sz="12" w:space="0" w:color="auto"/>
              <w:left w:val="single" w:sz="12" w:space="0" w:color="auto"/>
              <w:bottom w:val="single" w:sz="12" w:space="0" w:color="auto"/>
              <w:right w:val="single" w:sz="12" w:space="0" w:color="auto"/>
            </w:tcBorders>
            <w:shd w:val="pct10" w:color="auto" w:fill="auto"/>
          </w:tcPr>
          <w:p w14:paraId="3E4CBC47" w14:textId="77777777" w:rsidR="00D16E21" w:rsidRPr="005D4F27" w:rsidRDefault="00D16E21" w:rsidP="009030B5">
            <w:pPr>
              <w:ind w:left="-57" w:right="-57"/>
              <w:jc w:val="center"/>
              <w:rPr>
                <w:rFonts w:eastAsia="Calibri"/>
                <w:b/>
              </w:rPr>
            </w:pPr>
          </w:p>
        </w:tc>
        <w:tc>
          <w:tcPr>
            <w:tcW w:w="2126" w:type="dxa"/>
            <w:tcBorders>
              <w:top w:val="single" w:sz="12" w:space="0" w:color="auto"/>
              <w:left w:val="single" w:sz="12" w:space="0" w:color="auto"/>
              <w:bottom w:val="single" w:sz="12" w:space="0" w:color="auto"/>
              <w:right w:val="single" w:sz="4" w:space="0" w:color="auto"/>
            </w:tcBorders>
            <w:shd w:val="pct10" w:color="auto" w:fill="auto"/>
          </w:tcPr>
          <w:p w14:paraId="20DFCAFC" w14:textId="77777777" w:rsidR="00D16E21" w:rsidRPr="005D4F27" w:rsidRDefault="00D16E21" w:rsidP="009030B5">
            <w:pPr>
              <w:ind w:left="-57" w:right="-57"/>
              <w:jc w:val="center"/>
              <w:rPr>
                <w:rFonts w:eastAsia="Calibri"/>
                <w:b/>
              </w:rPr>
            </w:pPr>
            <w:r w:rsidRPr="005D4F27">
              <w:rPr>
                <w:rFonts w:eastAsia="Calibri"/>
                <w:b/>
              </w:rPr>
              <w:t xml:space="preserve">bei TOC-Gehalt </w:t>
            </w:r>
          </w:p>
          <w:p w14:paraId="447ADB32" w14:textId="77777777" w:rsidR="00D16E21" w:rsidRPr="005D4F27" w:rsidRDefault="00D16E21" w:rsidP="009030B5">
            <w:pPr>
              <w:ind w:left="-57" w:right="-57"/>
              <w:jc w:val="center"/>
              <w:rPr>
                <w:rFonts w:eastAsia="Calibri"/>
                <w:b/>
              </w:rPr>
            </w:pPr>
            <w:r w:rsidRPr="005D4F27">
              <w:rPr>
                <w:rFonts w:eastAsia="Calibri"/>
                <w:b/>
              </w:rPr>
              <w:t>&lt; 0,5 %</w:t>
            </w:r>
          </w:p>
        </w:tc>
        <w:tc>
          <w:tcPr>
            <w:tcW w:w="2126" w:type="dxa"/>
            <w:tcBorders>
              <w:top w:val="single" w:sz="12" w:space="0" w:color="auto"/>
              <w:left w:val="single" w:sz="4" w:space="0" w:color="auto"/>
              <w:bottom w:val="single" w:sz="12" w:space="0" w:color="auto"/>
              <w:right w:val="single" w:sz="12" w:space="0" w:color="auto"/>
            </w:tcBorders>
            <w:shd w:val="pct10" w:color="auto" w:fill="auto"/>
          </w:tcPr>
          <w:p w14:paraId="3837E91A" w14:textId="77777777" w:rsidR="00D16E21" w:rsidRPr="005D4F27" w:rsidRDefault="00D16E21" w:rsidP="009030B5">
            <w:pPr>
              <w:ind w:left="-57" w:right="-57"/>
              <w:jc w:val="center"/>
              <w:rPr>
                <w:rFonts w:eastAsia="Calibri"/>
                <w:b/>
              </w:rPr>
            </w:pPr>
            <w:r w:rsidRPr="005D4F27">
              <w:rPr>
                <w:rFonts w:eastAsia="Calibri"/>
                <w:b/>
              </w:rPr>
              <w:t xml:space="preserve">bei TOC-Gehalt </w:t>
            </w:r>
          </w:p>
          <w:p w14:paraId="53F65F6A" w14:textId="77777777" w:rsidR="00D16E21" w:rsidRPr="005D4F27" w:rsidRDefault="00D16E21" w:rsidP="009030B5">
            <w:pPr>
              <w:ind w:left="-57" w:right="-57"/>
              <w:jc w:val="center"/>
              <w:rPr>
                <w:rFonts w:eastAsia="Calibri"/>
                <w:b/>
              </w:rPr>
            </w:pPr>
            <w:r w:rsidRPr="005D4F27">
              <w:rPr>
                <w:rFonts w:eastAsia="Calibri"/>
                <w:b/>
              </w:rPr>
              <w:t>≥ 0,5 %</w:t>
            </w:r>
          </w:p>
        </w:tc>
      </w:tr>
      <w:tr w:rsidR="00D16E21" w:rsidRPr="005D4F27" w14:paraId="5AC36BAB" w14:textId="77777777" w:rsidTr="009030B5">
        <w:tc>
          <w:tcPr>
            <w:tcW w:w="2410" w:type="dxa"/>
            <w:tcBorders>
              <w:top w:val="single" w:sz="12" w:space="0" w:color="auto"/>
              <w:left w:val="single" w:sz="12" w:space="0" w:color="auto"/>
              <w:bottom w:val="single" w:sz="12" w:space="0" w:color="auto"/>
              <w:right w:val="single" w:sz="12" w:space="0" w:color="auto"/>
            </w:tcBorders>
            <w:shd w:val="clear" w:color="auto" w:fill="FFFFFF"/>
            <w:vAlign w:val="center"/>
          </w:tcPr>
          <w:p w14:paraId="69E94C4B" w14:textId="77777777" w:rsidR="00D16E21" w:rsidRPr="005D4F27" w:rsidRDefault="00D16E21" w:rsidP="009030B5">
            <w:pPr>
              <w:rPr>
                <w:rFonts w:eastAsia="Calibri"/>
              </w:rPr>
            </w:pPr>
          </w:p>
        </w:tc>
        <w:tc>
          <w:tcPr>
            <w:tcW w:w="2410" w:type="dxa"/>
            <w:tcBorders>
              <w:top w:val="single" w:sz="12" w:space="0" w:color="auto"/>
              <w:left w:val="single" w:sz="12" w:space="0" w:color="auto"/>
              <w:bottom w:val="single" w:sz="12" w:space="0" w:color="auto"/>
              <w:right w:val="single" w:sz="12" w:space="0" w:color="auto"/>
            </w:tcBorders>
            <w:shd w:val="clear" w:color="auto" w:fill="FFFFFF"/>
            <w:vAlign w:val="center"/>
          </w:tcPr>
          <w:p w14:paraId="3620DBD9" w14:textId="77777777" w:rsidR="00D16E21" w:rsidRPr="005D4F27" w:rsidRDefault="00D16E21" w:rsidP="009030B5">
            <w:pPr>
              <w:jc w:val="center"/>
              <w:rPr>
                <w:rFonts w:eastAsia="Calibri"/>
              </w:rPr>
            </w:pPr>
            <w:r w:rsidRPr="005D4F27">
              <w:rPr>
                <w:rFonts w:eastAsia="Calibri"/>
              </w:rPr>
              <w:t>[mg/kg]</w:t>
            </w:r>
          </w:p>
        </w:tc>
        <w:tc>
          <w:tcPr>
            <w:tcW w:w="4252"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259EDE50" w14:textId="77777777" w:rsidR="00D16E21" w:rsidRPr="005D4F27" w:rsidRDefault="00D16E21" w:rsidP="009030B5">
            <w:pPr>
              <w:jc w:val="center"/>
              <w:rPr>
                <w:rFonts w:eastAsia="Calibri"/>
              </w:rPr>
            </w:pPr>
            <w:r w:rsidRPr="005D4F27">
              <w:rPr>
                <w:rFonts w:eastAsia="Calibri"/>
              </w:rPr>
              <w:t>[µg/l]</w:t>
            </w:r>
          </w:p>
        </w:tc>
      </w:tr>
      <w:tr w:rsidR="00D16E21" w:rsidRPr="005D4F27" w14:paraId="74321E60" w14:textId="77777777" w:rsidTr="009030B5">
        <w:tc>
          <w:tcPr>
            <w:tcW w:w="2410" w:type="dxa"/>
            <w:tcBorders>
              <w:top w:val="single" w:sz="12" w:space="0" w:color="auto"/>
              <w:left w:val="single" w:sz="12" w:space="0" w:color="auto"/>
              <w:right w:val="single" w:sz="12" w:space="0" w:color="auto"/>
            </w:tcBorders>
            <w:shd w:val="pct10" w:color="auto" w:fill="auto"/>
            <w:vAlign w:val="center"/>
          </w:tcPr>
          <w:p w14:paraId="16065956" w14:textId="77777777" w:rsidR="00D16E21" w:rsidRPr="005D4F27" w:rsidRDefault="00D16E21" w:rsidP="009030B5">
            <w:pPr>
              <w:rPr>
                <w:rFonts w:eastAsia="Calibri"/>
              </w:rPr>
            </w:pPr>
            <w:r w:rsidRPr="005D4F27">
              <w:rPr>
                <w:rFonts w:eastAsia="Calibri"/>
              </w:rPr>
              <w:t>Anorganische Stoffe</w:t>
            </w:r>
          </w:p>
        </w:tc>
        <w:tc>
          <w:tcPr>
            <w:tcW w:w="2410" w:type="dxa"/>
            <w:tcBorders>
              <w:top w:val="single" w:sz="12" w:space="0" w:color="auto"/>
              <w:left w:val="single" w:sz="12" w:space="0" w:color="auto"/>
              <w:right w:val="single" w:sz="12" w:space="0" w:color="auto"/>
            </w:tcBorders>
            <w:shd w:val="clear" w:color="auto" w:fill="FFFFFF"/>
            <w:vAlign w:val="center"/>
          </w:tcPr>
          <w:p w14:paraId="0C9E0665" w14:textId="77777777" w:rsidR="00D16E21" w:rsidRPr="005D4F27" w:rsidRDefault="00D16E21" w:rsidP="009030B5">
            <w:pPr>
              <w:jc w:val="center"/>
              <w:rPr>
                <w:rFonts w:eastAsia="Calibri"/>
              </w:rPr>
            </w:pPr>
          </w:p>
        </w:tc>
        <w:tc>
          <w:tcPr>
            <w:tcW w:w="2126" w:type="dxa"/>
            <w:tcBorders>
              <w:top w:val="single" w:sz="12" w:space="0" w:color="auto"/>
              <w:left w:val="single" w:sz="12" w:space="0" w:color="auto"/>
            </w:tcBorders>
            <w:shd w:val="clear" w:color="auto" w:fill="FFFFFF"/>
            <w:vAlign w:val="center"/>
          </w:tcPr>
          <w:p w14:paraId="2568157A" w14:textId="77777777" w:rsidR="00D16E21" w:rsidRPr="005D4F27" w:rsidRDefault="00D16E21" w:rsidP="009030B5">
            <w:pPr>
              <w:jc w:val="center"/>
              <w:rPr>
                <w:rFonts w:eastAsia="Calibri"/>
              </w:rPr>
            </w:pPr>
          </w:p>
        </w:tc>
        <w:tc>
          <w:tcPr>
            <w:tcW w:w="2126" w:type="dxa"/>
            <w:tcBorders>
              <w:top w:val="single" w:sz="12" w:space="0" w:color="auto"/>
              <w:right w:val="single" w:sz="12" w:space="0" w:color="auto"/>
            </w:tcBorders>
            <w:shd w:val="clear" w:color="auto" w:fill="FFFFFF"/>
            <w:vAlign w:val="center"/>
          </w:tcPr>
          <w:p w14:paraId="250CB96C" w14:textId="77777777" w:rsidR="00D16E21" w:rsidRPr="005D4F27" w:rsidRDefault="00D16E21" w:rsidP="009030B5">
            <w:pPr>
              <w:jc w:val="center"/>
              <w:rPr>
                <w:rFonts w:eastAsia="Calibri"/>
              </w:rPr>
            </w:pPr>
          </w:p>
        </w:tc>
      </w:tr>
      <w:tr w:rsidR="00D16E21" w:rsidRPr="005D4F27" w14:paraId="3BB32373" w14:textId="77777777" w:rsidTr="009030B5">
        <w:tc>
          <w:tcPr>
            <w:tcW w:w="2410" w:type="dxa"/>
            <w:tcBorders>
              <w:left w:val="single" w:sz="12" w:space="0" w:color="auto"/>
              <w:right w:val="single" w:sz="12" w:space="0" w:color="auto"/>
            </w:tcBorders>
            <w:vAlign w:val="center"/>
          </w:tcPr>
          <w:p w14:paraId="41C44747" w14:textId="77777777" w:rsidR="00D16E21" w:rsidRPr="005D4F27" w:rsidRDefault="00D16E21" w:rsidP="009030B5">
            <w:pPr>
              <w:rPr>
                <w:rFonts w:eastAsia="Calibri"/>
              </w:rPr>
            </w:pPr>
            <w:r w:rsidRPr="005D4F27">
              <w:rPr>
                <w:rFonts w:eastAsia="Calibri"/>
              </w:rPr>
              <w:t>Arsen</w:t>
            </w:r>
          </w:p>
        </w:tc>
        <w:tc>
          <w:tcPr>
            <w:tcW w:w="2410" w:type="dxa"/>
            <w:tcBorders>
              <w:left w:val="single" w:sz="12" w:space="0" w:color="auto"/>
              <w:right w:val="single" w:sz="12" w:space="0" w:color="auto"/>
            </w:tcBorders>
            <w:vAlign w:val="center"/>
          </w:tcPr>
          <w:p w14:paraId="21EF591E" w14:textId="77777777" w:rsidR="00D16E21" w:rsidRPr="005D4F27" w:rsidRDefault="00D16E21" w:rsidP="009030B5">
            <w:pPr>
              <w:jc w:val="center"/>
              <w:rPr>
                <w:rFonts w:eastAsia="Calibri"/>
              </w:rPr>
            </w:pPr>
            <w:r w:rsidRPr="005D4F27">
              <w:rPr>
                <w:rFonts w:eastAsia="Calibri"/>
              </w:rPr>
              <w:t>20</w:t>
            </w:r>
          </w:p>
        </w:tc>
        <w:tc>
          <w:tcPr>
            <w:tcW w:w="2126" w:type="dxa"/>
            <w:tcBorders>
              <w:left w:val="single" w:sz="12" w:space="0" w:color="auto"/>
            </w:tcBorders>
            <w:vAlign w:val="center"/>
          </w:tcPr>
          <w:p w14:paraId="763AA412" w14:textId="77777777" w:rsidR="00D16E21" w:rsidRPr="005D4F27" w:rsidRDefault="00D16E21" w:rsidP="009030B5">
            <w:pPr>
              <w:jc w:val="center"/>
              <w:rPr>
                <w:rFonts w:eastAsia="Calibri"/>
              </w:rPr>
            </w:pPr>
            <w:r w:rsidRPr="005D4F27">
              <w:rPr>
                <w:rFonts w:eastAsia="Calibri"/>
              </w:rPr>
              <w:t>8</w:t>
            </w:r>
          </w:p>
        </w:tc>
        <w:tc>
          <w:tcPr>
            <w:tcW w:w="2126" w:type="dxa"/>
            <w:tcBorders>
              <w:right w:val="single" w:sz="12" w:space="0" w:color="auto"/>
            </w:tcBorders>
            <w:vAlign w:val="center"/>
          </w:tcPr>
          <w:p w14:paraId="42B52E04" w14:textId="77777777" w:rsidR="00D16E21" w:rsidRPr="005D4F27" w:rsidRDefault="00D16E21" w:rsidP="009030B5">
            <w:pPr>
              <w:jc w:val="center"/>
              <w:rPr>
                <w:rFonts w:eastAsia="Calibri"/>
              </w:rPr>
            </w:pPr>
            <w:r w:rsidRPr="005D4F27">
              <w:rPr>
                <w:rFonts w:eastAsia="Calibri"/>
              </w:rPr>
              <w:t>13</w:t>
            </w:r>
          </w:p>
        </w:tc>
      </w:tr>
      <w:tr w:rsidR="00D16E21" w:rsidRPr="005D4F27" w14:paraId="415DE0BC" w14:textId="77777777" w:rsidTr="009030B5">
        <w:tc>
          <w:tcPr>
            <w:tcW w:w="2410" w:type="dxa"/>
            <w:tcBorders>
              <w:left w:val="single" w:sz="12" w:space="0" w:color="auto"/>
              <w:right w:val="single" w:sz="12" w:space="0" w:color="auto"/>
            </w:tcBorders>
            <w:vAlign w:val="center"/>
          </w:tcPr>
          <w:p w14:paraId="6263BE01" w14:textId="77777777" w:rsidR="00D16E21" w:rsidRPr="005D4F27" w:rsidRDefault="00D16E21" w:rsidP="009030B5">
            <w:pPr>
              <w:rPr>
                <w:rFonts w:eastAsia="Calibri"/>
              </w:rPr>
            </w:pPr>
            <w:r w:rsidRPr="005D4F27">
              <w:rPr>
                <w:rFonts w:eastAsia="Calibri"/>
              </w:rPr>
              <w:t>Blei</w:t>
            </w:r>
          </w:p>
        </w:tc>
        <w:tc>
          <w:tcPr>
            <w:tcW w:w="2410" w:type="dxa"/>
            <w:tcBorders>
              <w:left w:val="single" w:sz="12" w:space="0" w:color="auto"/>
              <w:right w:val="single" w:sz="12" w:space="0" w:color="auto"/>
            </w:tcBorders>
            <w:vAlign w:val="center"/>
          </w:tcPr>
          <w:p w14:paraId="277D144A" w14:textId="77777777" w:rsidR="00D16E21" w:rsidRPr="005D4F27" w:rsidRDefault="00D16E21" w:rsidP="009030B5">
            <w:pPr>
              <w:jc w:val="center"/>
              <w:rPr>
                <w:rFonts w:eastAsia="Calibri"/>
              </w:rPr>
            </w:pPr>
            <w:r w:rsidRPr="005D4F27">
              <w:rPr>
                <w:rFonts w:eastAsia="Calibri"/>
              </w:rPr>
              <w:t>140</w:t>
            </w:r>
          </w:p>
        </w:tc>
        <w:tc>
          <w:tcPr>
            <w:tcW w:w="2126" w:type="dxa"/>
            <w:tcBorders>
              <w:left w:val="single" w:sz="12" w:space="0" w:color="auto"/>
            </w:tcBorders>
            <w:vAlign w:val="center"/>
          </w:tcPr>
          <w:p w14:paraId="04803241" w14:textId="77777777" w:rsidR="00D16E21" w:rsidRPr="005D4F27" w:rsidRDefault="00D16E21" w:rsidP="009030B5">
            <w:pPr>
              <w:jc w:val="center"/>
              <w:rPr>
                <w:rFonts w:eastAsia="Calibri"/>
              </w:rPr>
            </w:pPr>
            <w:r w:rsidRPr="005D4F27">
              <w:rPr>
                <w:rFonts w:eastAsia="Calibri"/>
              </w:rPr>
              <w:t>23</w:t>
            </w:r>
          </w:p>
        </w:tc>
        <w:tc>
          <w:tcPr>
            <w:tcW w:w="2126" w:type="dxa"/>
            <w:tcBorders>
              <w:right w:val="single" w:sz="12" w:space="0" w:color="auto"/>
            </w:tcBorders>
            <w:vAlign w:val="center"/>
          </w:tcPr>
          <w:p w14:paraId="45149326" w14:textId="77777777" w:rsidR="00D16E21" w:rsidRPr="005D4F27" w:rsidRDefault="00D16E21" w:rsidP="009030B5">
            <w:pPr>
              <w:jc w:val="center"/>
              <w:rPr>
                <w:rFonts w:eastAsia="Calibri"/>
              </w:rPr>
            </w:pPr>
            <w:r w:rsidRPr="005D4F27">
              <w:rPr>
                <w:rFonts w:eastAsia="Calibri"/>
              </w:rPr>
              <w:t>43</w:t>
            </w:r>
          </w:p>
        </w:tc>
      </w:tr>
      <w:tr w:rsidR="00D16E21" w:rsidRPr="005D4F27" w14:paraId="19344D1F" w14:textId="77777777" w:rsidTr="009030B5">
        <w:tc>
          <w:tcPr>
            <w:tcW w:w="2410" w:type="dxa"/>
            <w:tcBorders>
              <w:left w:val="single" w:sz="12" w:space="0" w:color="auto"/>
              <w:right w:val="single" w:sz="12" w:space="0" w:color="auto"/>
            </w:tcBorders>
            <w:vAlign w:val="center"/>
          </w:tcPr>
          <w:p w14:paraId="49837486" w14:textId="77777777" w:rsidR="00D16E21" w:rsidRPr="005D4F27" w:rsidRDefault="00D16E21" w:rsidP="009030B5">
            <w:pPr>
              <w:rPr>
                <w:rFonts w:eastAsia="Calibri"/>
              </w:rPr>
            </w:pPr>
            <w:r w:rsidRPr="005D4F27">
              <w:rPr>
                <w:rFonts w:eastAsia="Calibri"/>
              </w:rPr>
              <w:t>Cadmium</w:t>
            </w:r>
          </w:p>
        </w:tc>
        <w:tc>
          <w:tcPr>
            <w:tcW w:w="2410" w:type="dxa"/>
            <w:tcBorders>
              <w:left w:val="single" w:sz="12" w:space="0" w:color="auto"/>
              <w:right w:val="single" w:sz="12" w:space="0" w:color="auto"/>
            </w:tcBorders>
            <w:vAlign w:val="center"/>
          </w:tcPr>
          <w:p w14:paraId="531A058E" w14:textId="77777777" w:rsidR="00D16E21" w:rsidRPr="005D4F27" w:rsidRDefault="00D16E21" w:rsidP="009030B5">
            <w:pPr>
              <w:jc w:val="center"/>
              <w:rPr>
                <w:rFonts w:eastAsia="Calibri"/>
              </w:rPr>
            </w:pPr>
            <w:r w:rsidRPr="005D4F27">
              <w:rPr>
                <w:rFonts w:eastAsia="Calibri"/>
              </w:rPr>
              <w:t>1</w:t>
            </w:r>
          </w:p>
        </w:tc>
        <w:tc>
          <w:tcPr>
            <w:tcW w:w="2126" w:type="dxa"/>
            <w:tcBorders>
              <w:left w:val="single" w:sz="12" w:space="0" w:color="auto"/>
            </w:tcBorders>
            <w:vAlign w:val="center"/>
          </w:tcPr>
          <w:p w14:paraId="2854005D" w14:textId="77777777" w:rsidR="00D16E21" w:rsidRPr="005D4F27" w:rsidRDefault="00D16E21" w:rsidP="009030B5">
            <w:pPr>
              <w:jc w:val="center"/>
              <w:rPr>
                <w:rFonts w:eastAsia="Calibri"/>
              </w:rPr>
            </w:pPr>
            <w:r w:rsidRPr="005D4F27">
              <w:rPr>
                <w:rFonts w:eastAsia="Calibri"/>
              </w:rPr>
              <w:t>2</w:t>
            </w:r>
          </w:p>
        </w:tc>
        <w:tc>
          <w:tcPr>
            <w:tcW w:w="2126" w:type="dxa"/>
            <w:tcBorders>
              <w:right w:val="single" w:sz="12" w:space="0" w:color="auto"/>
            </w:tcBorders>
            <w:shd w:val="clear" w:color="auto" w:fill="FFFFFF"/>
            <w:vAlign w:val="center"/>
          </w:tcPr>
          <w:p w14:paraId="399EB937" w14:textId="77777777" w:rsidR="00D16E21" w:rsidRPr="005D4F27" w:rsidRDefault="00D16E21" w:rsidP="009030B5">
            <w:pPr>
              <w:jc w:val="center"/>
              <w:rPr>
                <w:rFonts w:eastAsia="Calibri"/>
                <w:highlight w:val="yellow"/>
              </w:rPr>
            </w:pPr>
            <w:r w:rsidRPr="005D4F27">
              <w:rPr>
                <w:rFonts w:eastAsia="Calibri"/>
              </w:rPr>
              <w:t>4</w:t>
            </w:r>
          </w:p>
        </w:tc>
      </w:tr>
      <w:tr w:rsidR="00D16E21" w:rsidRPr="005D4F27" w14:paraId="4586570B" w14:textId="77777777" w:rsidTr="009030B5">
        <w:tc>
          <w:tcPr>
            <w:tcW w:w="2410" w:type="dxa"/>
            <w:tcBorders>
              <w:left w:val="single" w:sz="12" w:space="0" w:color="auto"/>
              <w:right w:val="single" w:sz="12" w:space="0" w:color="auto"/>
            </w:tcBorders>
            <w:vAlign w:val="center"/>
          </w:tcPr>
          <w:p w14:paraId="067F6573" w14:textId="77777777" w:rsidR="00D16E21" w:rsidRPr="005D4F27" w:rsidRDefault="00D16E21" w:rsidP="009030B5">
            <w:pPr>
              <w:rPr>
                <w:rFonts w:eastAsia="Calibri"/>
              </w:rPr>
            </w:pPr>
            <w:r w:rsidRPr="005D4F27">
              <w:rPr>
                <w:rFonts w:eastAsia="Calibri"/>
              </w:rPr>
              <w:t xml:space="preserve">Chrom </w:t>
            </w:r>
            <w:r w:rsidRPr="005D4F27">
              <w:rPr>
                <w:rFonts w:eastAsia="Calibri"/>
                <w:vertAlign w:val="subscript"/>
              </w:rPr>
              <w:t>gesamt</w:t>
            </w:r>
          </w:p>
        </w:tc>
        <w:tc>
          <w:tcPr>
            <w:tcW w:w="2410" w:type="dxa"/>
            <w:tcBorders>
              <w:left w:val="single" w:sz="12" w:space="0" w:color="auto"/>
              <w:right w:val="single" w:sz="12" w:space="0" w:color="auto"/>
            </w:tcBorders>
            <w:vAlign w:val="center"/>
          </w:tcPr>
          <w:p w14:paraId="60638F51" w14:textId="77777777" w:rsidR="00D16E21" w:rsidRPr="005D4F27" w:rsidRDefault="00D16E21" w:rsidP="009030B5">
            <w:pPr>
              <w:jc w:val="center"/>
              <w:rPr>
                <w:rFonts w:eastAsia="Calibri"/>
              </w:rPr>
            </w:pPr>
            <w:r w:rsidRPr="005D4F27">
              <w:rPr>
                <w:rFonts w:eastAsia="Calibri"/>
              </w:rPr>
              <w:t>120</w:t>
            </w:r>
          </w:p>
        </w:tc>
        <w:tc>
          <w:tcPr>
            <w:tcW w:w="2126" w:type="dxa"/>
            <w:tcBorders>
              <w:left w:val="single" w:sz="12" w:space="0" w:color="auto"/>
            </w:tcBorders>
            <w:vAlign w:val="center"/>
          </w:tcPr>
          <w:p w14:paraId="667E0C83" w14:textId="77777777" w:rsidR="00D16E21" w:rsidRPr="005D4F27" w:rsidRDefault="00D16E21" w:rsidP="009030B5">
            <w:pPr>
              <w:jc w:val="center"/>
              <w:rPr>
                <w:rFonts w:eastAsia="Calibri"/>
              </w:rPr>
            </w:pPr>
            <w:r w:rsidRPr="005D4F27">
              <w:rPr>
                <w:rFonts w:eastAsia="Calibri"/>
              </w:rPr>
              <w:t>10</w:t>
            </w:r>
          </w:p>
        </w:tc>
        <w:tc>
          <w:tcPr>
            <w:tcW w:w="2126" w:type="dxa"/>
            <w:tcBorders>
              <w:right w:val="single" w:sz="12" w:space="0" w:color="auto"/>
            </w:tcBorders>
            <w:vAlign w:val="center"/>
          </w:tcPr>
          <w:p w14:paraId="0CB2E19F" w14:textId="77777777" w:rsidR="00D16E21" w:rsidRPr="005D4F27" w:rsidRDefault="00D16E21" w:rsidP="009030B5">
            <w:pPr>
              <w:jc w:val="center"/>
              <w:rPr>
                <w:rFonts w:eastAsia="Calibri"/>
              </w:rPr>
            </w:pPr>
            <w:r w:rsidRPr="005D4F27">
              <w:rPr>
                <w:rFonts w:eastAsia="Calibri"/>
              </w:rPr>
              <w:t>19</w:t>
            </w:r>
          </w:p>
        </w:tc>
      </w:tr>
      <w:tr w:rsidR="00D16E21" w:rsidRPr="005D4F27" w14:paraId="2F7F8725" w14:textId="77777777" w:rsidTr="009030B5">
        <w:tc>
          <w:tcPr>
            <w:tcW w:w="2410" w:type="dxa"/>
            <w:tcBorders>
              <w:left w:val="single" w:sz="12" w:space="0" w:color="auto"/>
              <w:right w:val="single" w:sz="12" w:space="0" w:color="auto"/>
            </w:tcBorders>
            <w:vAlign w:val="center"/>
          </w:tcPr>
          <w:p w14:paraId="4DC6295F" w14:textId="77777777" w:rsidR="00D16E21" w:rsidRPr="005D4F27" w:rsidRDefault="00D16E21" w:rsidP="009030B5">
            <w:pPr>
              <w:rPr>
                <w:rFonts w:eastAsia="Calibri"/>
              </w:rPr>
            </w:pPr>
            <w:r w:rsidRPr="005D4F27">
              <w:rPr>
                <w:rFonts w:eastAsia="Calibri"/>
              </w:rPr>
              <w:t>Kupfer</w:t>
            </w:r>
          </w:p>
        </w:tc>
        <w:tc>
          <w:tcPr>
            <w:tcW w:w="2410" w:type="dxa"/>
            <w:tcBorders>
              <w:left w:val="single" w:sz="12" w:space="0" w:color="auto"/>
              <w:right w:val="single" w:sz="12" w:space="0" w:color="auto"/>
            </w:tcBorders>
            <w:vAlign w:val="center"/>
          </w:tcPr>
          <w:p w14:paraId="462DFC53" w14:textId="77777777" w:rsidR="00D16E21" w:rsidRPr="005D4F27" w:rsidRDefault="00D16E21" w:rsidP="009030B5">
            <w:pPr>
              <w:jc w:val="center"/>
              <w:rPr>
                <w:rFonts w:eastAsia="Calibri"/>
              </w:rPr>
            </w:pPr>
            <w:r w:rsidRPr="005D4F27">
              <w:rPr>
                <w:rFonts w:eastAsia="Calibri"/>
              </w:rPr>
              <w:t>80</w:t>
            </w:r>
          </w:p>
        </w:tc>
        <w:tc>
          <w:tcPr>
            <w:tcW w:w="2126" w:type="dxa"/>
            <w:tcBorders>
              <w:left w:val="single" w:sz="12" w:space="0" w:color="auto"/>
            </w:tcBorders>
            <w:vAlign w:val="center"/>
          </w:tcPr>
          <w:p w14:paraId="6D35DBAF" w14:textId="77777777" w:rsidR="00D16E21" w:rsidRPr="005D4F27" w:rsidRDefault="00D16E21" w:rsidP="009030B5">
            <w:pPr>
              <w:jc w:val="center"/>
              <w:rPr>
                <w:rFonts w:eastAsia="Calibri"/>
              </w:rPr>
            </w:pPr>
            <w:r w:rsidRPr="005D4F27">
              <w:rPr>
                <w:rFonts w:eastAsia="Calibri"/>
              </w:rPr>
              <w:t>20</w:t>
            </w:r>
          </w:p>
        </w:tc>
        <w:tc>
          <w:tcPr>
            <w:tcW w:w="2126" w:type="dxa"/>
            <w:tcBorders>
              <w:right w:val="single" w:sz="12" w:space="0" w:color="auto"/>
            </w:tcBorders>
            <w:vAlign w:val="center"/>
          </w:tcPr>
          <w:p w14:paraId="4639B91E" w14:textId="77777777" w:rsidR="00D16E21" w:rsidRPr="005D4F27" w:rsidRDefault="00D16E21" w:rsidP="009030B5">
            <w:pPr>
              <w:jc w:val="center"/>
              <w:rPr>
                <w:rFonts w:eastAsia="Calibri"/>
              </w:rPr>
            </w:pPr>
            <w:r w:rsidRPr="005D4F27">
              <w:rPr>
                <w:rFonts w:eastAsia="Calibri"/>
              </w:rPr>
              <w:t>41</w:t>
            </w:r>
          </w:p>
        </w:tc>
      </w:tr>
      <w:tr w:rsidR="00D16E21" w:rsidRPr="005D4F27" w14:paraId="72D7F948" w14:textId="77777777" w:rsidTr="009030B5">
        <w:tc>
          <w:tcPr>
            <w:tcW w:w="2410" w:type="dxa"/>
            <w:tcBorders>
              <w:left w:val="single" w:sz="12" w:space="0" w:color="auto"/>
              <w:right w:val="single" w:sz="12" w:space="0" w:color="auto"/>
            </w:tcBorders>
            <w:vAlign w:val="center"/>
          </w:tcPr>
          <w:p w14:paraId="4A7068B6" w14:textId="77777777" w:rsidR="00D16E21" w:rsidRPr="005D4F27" w:rsidRDefault="00D16E21" w:rsidP="009030B5">
            <w:pPr>
              <w:rPr>
                <w:rFonts w:eastAsia="Calibri"/>
              </w:rPr>
            </w:pPr>
            <w:r w:rsidRPr="005D4F27">
              <w:rPr>
                <w:rFonts w:eastAsia="Calibri"/>
              </w:rPr>
              <w:t>Nickel</w:t>
            </w:r>
          </w:p>
        </w:tc>
        <w:tc>
          <w:tcPr>
            <w:tcW w:w="2410" w:type="dxa"/>
            <w:tcBorders>
              <w:left w:val="single" w:sz="12" w:space="0" w:color="auto"/>
              <w:right w:val="single" w:sz="12" w:space="0" w:color="auto"/>
            </w:tcBorders>
            <w:vAlign w:val="center"/>
          </w:tcPr>
          <w:p w14:paraId="556DF8E4" w14:textId="77777777" w:rsidR="00D16E21" w:rsidRPr="005D4F27" w:rsidRDefault="00D16E21" w:rsidP="009030B5">
            <w:pPr>
              <w:jc w:val="center"/>
              <w:rPr>
                <w:rFonts w:eastAsia="Calibri"/>
              </w:rPr>
            </w:pPr>
            <w:r w:rsidRPr="005D4F27">
              <w:rPr>
                <w:rFonts w:eastAsia="Calibri"/>
              </w:rPr>
              <w:t>100</w:t>
            </w:r>
          </w:p>
        </w:tc>
        <w:tc>
          <w:tcPr>
            <w:tcW w:w="2126" w:type="dxa"/>
            <w:tcBorders>
              <w:left w:val="single" w:sz="12" w:space="0" w:color="auto"/>
            </w:tcBorders>
            <w:vAlign w:val="center"/>
          </w:tcPr>
          <w:p w14:paraId="76F21672" w14:textId="77777777" w:rsidR="00D16E21" w:rsidRPr="005D4F27" w:rsidRDefault="00D16E21" w:rsidP="009030B5">
            <w:pPr>
              <w:jc w:val="center"/>
              <w:rPr>
                <w:rFonts w:eastAsia="Calibri"/>
              </w:rPr>
            </w:pPr>
            <w:r w:rsidRPr="005D4F27">
              <w:rPr>
                <w:rFonts w:eastAsia="Calibri"/>
              </w:rPr>
              <w:t>20</w:t>
            </w:r>
          </w:p>
        </w:tc>
        <w:tc>
          <w:tcPr>
            <w:tcW w:w="2126" w:type="dxa"/>
            <w:tcBorders>
              <w:right w:val="single" w:sz="12" w:space="0" w:color="auto"/>
            </w:tcBorders>
            <w:vAlign w:val="center"/>
          </w:tcPr>
          <w:p w14:paraId="40540887" w14:textId="77777777" w:rsidR="00D16E21" w:rsidRPr="005D4F27" w:rsidRDefault="00D16E21" w:rsidP="009030B5">
            <w:pPr>
              <w:jc w:val="center"/>
              <w:rPr>
                <w:rFonts w:eastAsia="Calibri"/>
              </w:rPr>
            </w:pPr>
            <w:r w:rsidRPr="005D4F27">
              <w:rPr>
                <w:rFonts w:eastAsia="Calibri"/>
              </w:rPr>
              <w:t>31</w:t>
            </w:r>
          </w:p>
        </w:tc>
      </w:tr>
      <w:tr w:rsidR="00D16E21" w:rsidRPr="005D4F27" w14:paraId="040F1F22" w14:textId="77777777" w:rsidTr="009030B5">
        <w:tc>
          <w:tcPr>
            <w:tcW w:w="2410" w:type="dxa"/>
            <w:tcBorders>
              <w:left w:val="single" w:sz="12" w:space="0" w:color="auto"/>
              <w:right w:val="single" w:sz="12" w:space="0" w:color="auto"/>
            </w:tcBorders>
            <w:vAlign w:val="center"/>
          </w:tcPr>
          <w:p w14:paraId="628341FB" w14:textId="77777777" w:rsidR="00D16E21" w:rsidRPr="005D4F27" w:rsidRDefault="00D16E21" w:rsidP="009030B5">
            <w:pPr>
              <w:rPr>
                <w:rFonts w:eastAsia="Calibri"/>
              </w:rPr>
            </w:pPr>
            <w:r w:rsidRPr="005D4F27">
              <w:rPr>
                <w:rFonts w:eastAsia="Calibri"/>
              </w:rPr>
              <w:t>Quecksilber</w:t>
            </w:r>
          </w:p>
        </w:tc>
        <w:tc>
          <w:tcPr>
            <w:tcW w:w="2410" w:type="dxa"/>
            <w:tcBorders>
              <w:left w:val="single" w:sz="12" w:space="0" w:color="auto"/>
              <w:right w:val="single" w:sz="12" w:space="0" w:color="auto"/>
            </w:tcBorders>
            <w:vAlign w:val="center"/>
          </w:tcPr>
          <w:p w14:paraId="608719B7" w14:textId="77777777" w:rsidR="00D16E21" w:rsidRPr="005D4F27" w:rsidRDefault="00D16E21" w:rsidP="009030B5">
            <w:pPr>
              <w:jc w:val="center"/>
              <w:rPr>
                <w:rFonts w:eastAsia="Calibri"/>
              </w:rPr>
            </w:pPr>
            <w:r w:rsidRPr="005D4F27">
              <w:rPr>
                <w:rFonts w:eastAsia="Calibri"/>
              </w:rPr>
              <w:t>0,6</w:t>
            </w:r>
          </w:p>
        </w:tc>
        <w:tc>
          <w:tcPr>
            <w:tcW w:w="2126" w:type="dxa"/>
            <w:tcBorders>
              <w:left w:val="single" w:sz="12" w:space="0" w:color="auto"/>
            </w:tcBorders>
            <w:vAlign w:val="center"/>
          </w:tcPr>
          <w:p w14:paraId="39F27206" w14:textId="77777777" w:rsidR="00D16E21" w:rsidRPr="005D4F27" w:rsidRDefault="00D16E21" w:rsidP="009030B5">
            <w:pPr>
              <w:jc w:val="center"/>
              <w:rPr>
                <w:rFonts w:eastAsia="Calibri"/>
              </w:rPr>
            </w:pPr>
            <w:r w:rsidRPr="005D4F27">
              <w:rPr>
                <w:rFonts w:eastAsia="Calibri"/>
              </w:rPr>
              <w:t>0,1</w:t>
            </w:r>
          </w:p>
        </w:tc>
        <w:tc>
          <w:tcPr>
            <w:tcW w:w="2126" w:type="dxa"/>
            <w:tcBorders>
              <w:right w:val="single" w:sz="12" w:space="0" w:color="auto"/>
            </w:tcBorders>
            <w:vAlign w:val="center"/>
          </w:tcPr>
          <w:p w14:paraId="250D2347" w14:textId="77777777" w:rsidR="00D16E21" w:rsidRPr="005D4F27" w:rsidRDefault="00D16E21" w:rsidP="009030B5">
            <w:pPr>
              <w:jc w:val="center"/>
              <w:rPr>
                <w:rFonts w:eastAsia="Calibri"/>
              </w:rPr>
            </w:pPr>
            <w:r w:rsidRPr="005D4F27">
              <w:rPr>
                <w:rFonts w:eastAsia="Calibri"/>
              </w:rPr>
              <w:t>0,1</w:t>
            </w:r>
          </w:p>
        </w:tc>
      </w:tr>
      <w:tr w:rsidR="00D16E21" w:rsidRPr="005D4F27" w14:paraId="078DA4D6" w14:textId="77777777" w:rsidTr="009030B5">
        <w:tc>
          <w:tcPr>
            <w:tcW w:w="2410" w:type="dxa"/>
            <w:tcBorders>
              <w:left w:val="single" w:sz="12" w:space="0" w:color="auto"/>
              <w:right w:val="single" w:sz="12" w:space="0" w:color="auto"/>
            </w:tcBorders>
            <w:vAlign w:val="center"/>
          </w:tcPr>
          <w:p w14:paraId="532A01A4" w14:textId="77777777" w:rsidR="00D16E21" w:rsidRPr="005D4F27" w:rsidRDefault="00D16E21" w:rsidP="009030B5">
            <w:pPr>
              <w:rPr>
                <w:rFonts w:eastAsia="Calibri"/>
              </w:rPr>
            </w:pPr>
            <w:r w:rsidRPr="005D4F27">
              <w:rPr>
                <w:rFonts w:eastAsia="Calibri"/>
              </w:rPr>
              <w:t>Thallium</w:t>
            </w:r>
          </w:p>
        </w:tc>
        <w:tc>
          <w:tcPr>
            <w:tcW w:w="2410" w:type="dxa"/>
            <w:tcBorders>
              <w:left w:val="single" w:sz="12" w:space="0" w:color="auto"/>
              <w:right w:val="single" w:sz="12" w:space="0" w:color="auto"/>
            </w:tcBorders>
            <w:vAlign w:val="center"/>
          </w:tcPr>
          <w:p w14:paraId="0D8DC374" w14:textId="77777777" w:rsidR="00D16E21" w:rsidRPr="005D4F27" w:rsidRDefault="00D16E21" w:rsidP="009030B5">
            <w:pPr>
              <w:jc w:val="center"/>
              <w:rPr>
                <w:rFonts w:eastAsia="Calibri"/>
              </w:rPr>
            </w:pPr>
            <w:r w:rsidRPr="005D4F27">
              <w:rPr>
                <w:rFonts w:eastAsia="Calibri"/>
              </w:rPr>
              <w:t>1</w:t>
            </w:r>
          </w:p>
        </w:tc>
        <w:tc>
          <w:tcPr>
            <w:tcW w:w="2126" w:type="dxa"/>
            <w:tcBorders>
              <w:left w:val="single" w:sz="12" w:space="0" w:color="auto"/>
            </w:tcBorders>
            <w:vAlign w:val="center"/>
          </w:tcPr>
          <w:p w14:paraId="128FE893" w14:textId="77777777" w:rsidR="00D16E21" w:rsidRPr="005D4F27" w:rsidRDefault="00D16E21" w:rsidP="009030B5">
            <w:pPr>
              <w:jc w:val="center"/>
              <w:rPr>
                <w:rFonts w:eastAsia="Calibri"/>
              </w:rPr>
            </w:pPr>
            <w:r w:rsidRPr="005D4F27">
              <w:rPr>
                <w:rFonts w:eastAsia="Calibri"/>
              </w:rPr>
              <w:t>0,2</w:t>
            </w:r>
          </w:p>
        </w:tc>
        <w:tc>
          <w:tcPr>
            <w:tcW w:w="2126" w:type="dxa"/>
            <w:tcBorders>
              <w:right w:val="single" w:sz="12" w:space="0" w:color="auto"/>
            </w:tcBorders>
            <w:vAlign w:val="center"/>
          </w:tcPr>
          <w:p w14:paraId="35DA020E" w14:textId="77777777" w:rsidR="00D16E21" w:rsidRPr="005D4F27" w:rsidRDefault="00D16E21" w:rsidP="009030B5">
            <w:pPr>
              <w:jc w:val="center"/>
              <w:rPr>
                <w:rFonts w:eastAsia="Calibri"/>
              </w:rPr>
            </w:pPr>
            <w:r w:rsidRPr="005D4F27">
              <w:rPr>
                <w:rFonts w:eastAsia="Calibri"/>
              </w:rPr>
              <w:t>0,3</w:t>
            </w:r>
          </w:p>
        </w:tc>
      </w:tr>
      <w:tr w:rsidR="00D16E21" w:rsidRPr="005D4F27" w14:paraId="1174DE86" w14:textId="77777777" w:rsidTr="009030B5">
        <w:tc>
          <w:tcPr>
            <w:tcW w:w="2410" w:type="dxa"/>
            <w:tcBorders>
              <w:left w:val="single" w:sz="12" w:space="0" w:color="auto"/>
              <w:right w:val="single" w:sz="12" w:space="0" w:color="auto"/>
            </w:tcBorders>
            <w:vAlign w:val="center"/>
          </w:tcPr>
          <w:p w14:paraId="5FF95FBC" w14:textId="77777777" w:rsidR="00D16E21" w:rsidRPr="005D4F27" w:rsidRDefault="00D16E21" w:rsidP="009030B5">
            <w:pPr>
              <w:rPr>
                <w:rFonts w:eastAsia="Calibri"/>
              </w:rPr>
            </w:pPr>
            <w:r w:rsidRPr="005D4F27">
              <w:rPr>
                <w:rFonts w:eastAsia="Calibri"/>
              </w:rPr>
              <w:t>Zink</w:t>
            </w:r>
          </w:p>
        </w:tc>
        <w:tc>
          <w:tcPr>
            <w:tcW w:w="2410" w:type="dxa"/>
            <w:tcBorders>
              <w:left w:val="single" w:sz="12" w:space="0" w:color="auto"/>
              <w:right w:val="single" w:sz="12" w:space="0" w:color="auto"/>
            </w:tcBorders>
            <w:vAlign w:val="center"/>
          </w:tcPr>
          <w:p w14:paraId="7CDA9FC3" w14:textId="77777777" w:rsidR="00D16E21" w:rsidRPr="005D4F27" w:rsidRDefault="00D16E21" w:rsidP="009030B5">
            <w:pPr>
              <w:jc w:val="center"/>
              <w:rPr>
                <w:rFonts w:eastAsia="Calibri"/>
              </w:rPr>
            </w:pPr>
            <w:r w:rsidRPr="005D4F27">
              <w:rPr>
                <w:rFonts w:eastAsia="Calibri"/>
              </w:rPr>
              <w:t>300</w:t>
            </w:r>
          </w:p>
        </w:tc>
        <w:tc>
          <w:tcPr>
            <w:tcW w:w="2126" w:type="dxa"/>
            <w:tcBorders>
              <w:left w:val="single" w:sz="12" w:space="0" w:color="auto"/>
            </w:tcBorders>
            <w:vAlign w:val="center"/>
          </w:tcPr>
          <w:p w14:paraId="6A2FEE54" w14:textId="77777777" w:rsidR="00D16E21" w:rsidRPr="005D4F27" w:rsidRDefault="00D16E21" w:rsidP="009030B5">
            <w:pPr>
              <w:jc w:val="center"/>
              <w:rPr>
                <w:rFonts w:eastAsia="Calibri"/>
              </w:rPr>
            </w:pPr>
            <w:r w:rsidRPr="005D4F27">
              <w:rPr>
                <w:rFonts w:eastAsia="Calibri"/>
              </w:rPr>
              <w:t>100</w:t>
            </w:r>
          </w:p>
        </w:tc>
        <w:tc>
          <w:tcPr>
            <w:tcW w:w="2126" w:type="dxa"/>
            <w:tcBorders>
              <w:right w:val="single" w:sz="12" w:space="0" w:color="auto"/>
            </w:tcBorders>
            <w:vAlign w:val="center"/>
          </w:tcPr>
          <w:p w14:paraId="4BD6FB56" w14:textId="77777777" w:rsidR="00D16E21" w:rsidRPr="005D4F27" w:rsidRDefault="00D16E21" w:rsidP="009030B5">
            <w:pPr>
              <w:jc w:val="center"/>
              <w:rPr>
                <w:rFonts w:eastAsia="Calibri"/>
              </w:rPr>
            </w:pPr>
            <w:r w:rsidRPr="005D4F27">
              <w:rPr>
                <w:rFonts w:eastAsia="Calibri"/>
              </w:rPr>
              <w:t>210</w:t>
            </w:r>
          </w:p>
        </w:tc>
      </w:tr>
      <w:tr w:rsidR="00D16E21" w:rsidRPr="005D4F27" w14:paraId="7EF5823F" w14:textId="77777777" w:rsidTr="009030B5">
        <w:tc>
          <w:tcPr>
            <w:tcW w:w="2410" w:type="dxa"/>
            <w:tcBorders>
              <w:left w:val="single" w:sz="12" w:space="0" w:color="auto"/>
              <w:right w:val="single" w:sz="12" w:space="0" w:color="auto"/>
            </w:tcBorders>
            <w:vAlign w:val="center"/>
          </w:tcPr>
          <w:p w14:paraId="4B896AB5" w14:textId="77777777" w:rsidR="00D16E21" w:rsidRPr="005D4F27" w:rsidRDefault="00D16E21" w:rsidP="009030B5">
            <w:pPr>
              <w:rPr>
                <w:rFonts w:eastAsia="Calibri"/>
              </w:rPr>
            </w:pPr>
            <w:r w:rsidRPr="005D4F27">
              <w:rPr>
                <w:rFonts w:eastAsia="Calibri"/>
              </w:rPr>
              <w:t xml:space="preserve">Sulfat </w:t>
            </w:r>
            <w:r w:rsidRPr="005D4F27">
              <w:rPr>
                <w:rFonts w:eastAsia="Calibri"/>
                <w:vertAlign w:val="superscript"/>
              </w:rPr>
              <w:t>1)</w:t>
            </w:r>
          </w:p>
        </w:tc>
        <w:tc>
          <w:tcPr>
            <w:tcW w:w="2410" w:type="dxa"/>
            <w:tcBorders>
              <w:left w:val="single" w:sz="12" w:space="0" w:color="auto"/>
              <w:right w:val="single" w:sz="12" w:space="0" w:color="auto"/>
            </w:tcBorders>
            <w:vAlign w:val="center"/>
          </w:tcPr>
          <w:p w14:paraId="71CF8C26" w14:textId="77777777" w:rsidR="00D16E21" w:rsidRPr="005D4F27" w:rsidRDefault="00D16E21" w:rsidP="009030B5">
            <w:pPr>
              <w:jc w:val="center"/>
              <w:rPr>
                <w:rFonts w:eastAsia="Calibri"/>
              </w:rPr>
            </w:pPr>
          </w:p>
        </w:tc>
        <w:tc>
          <w:tcPr>
            <w:tcW w:w="2126" w:type="dxa"/>
            <w:tcBorders>
              <w:left w:val="single" w:sz="12" w:space="0" w:color="auto"/>
            </w:tcBorders>
            <w:vAlign w:val="center"/>
          </w:tcPr>
          <w:p w14:paraId="42408B4F" w14:textId="77777777" w:rsidR="00D16E21" w:rsidRPr="005D4F27" w:rsidRDefault="00D16E21" w:rsidP="009030B5">
            <w:pPr>
              <w:jc w:val="center"/>
              <w:rPr>
                <w:rFonts w:eastAsia="Calibri"/>
              </w:rPr>
            </w:pPr>
            <w:r w:rsidRPr="005D4F27">
              <w:rPr>
                <w:rFonts w:eastAsia="Calibri"/>
              </w:rPr>
              <w:t>250 000</w:t>
            </w:r>
          </w:p>
        </w:tc>
        <w:tc>
          <w:tcPr>
            <w:tcW w:w="2126" w:type="dxa"/>
            <w:tcBorders>
              <w:right w:val="single" w:sz="12" w:space="0" w:color="auto"/>
            </w:tcBorders>
            <w:vAlign w:val="center"/>
          </w:tcPr>
          <w:p w14:paraId="412D3921" w14:textId="77777777" w:rsidR="00D16E21" w:rsidRPr="005D4F27" w:rsidRDefault="00D16E21" w:rsidP="009030B5">
            <w:pPr>
              <w:jc w:val="center"/>
              <w:rPr>
                <w:rFonts w:eastAsia="Calibri"/>
              </w:rPr>
            </w:pPr>
            <w:r w:rsidRPr="005D4F27">
              <w:rPr>
                <w:rFonts w:eastAsia="Calibri"/>
              </w:rPr>
              <w:t>250 000</w:t>
            </w:r>
          </w:p>
        </w:tc>
      </w:tr>
      <w:tr w:rsidR="00D16E21" w:rsidRPr="005D4F27" w14:paraId="783B30C4" w14:textId="77777777" w:rsidTr="009030B5">
        <w:tc>
          <w:tcPr>
            <w:tcW w:w="2410" w:type="dxa"/>
            <w:tcBorders>
              <w:top w:val="single" w:sz="12" w:space="0" w:color="auto"/>
              <w:left w:val="single" w:sz="12" w:space="0" w:color="auto"/>
              <w:right w:val="single" w:sz="12" w:space="0" w:color="auto"/>
            </w:tcBorders>
            <w:shd w:val="pct10" w:color="auto" w:fill="auto"/>
            <w:vAlign w:val="center"/>
          </w:tcPr>
          <w:p w14:paraId="2B92B43B" w14:textId="77777777" w:rsidR="00D16E21" w:rsidRPr="005D4F27" w:rsidRDefault="00D16E21" w:rsidP="009030B5">
            <w:pPr>
              <w:rPr>
                <w:rFonts w:eastAsia="Calibri"/>
              </w:rPr>
            </w:pPr>
            <w:r w:rsidRPr="005D4F27">
              <w:rPr>
                <w:rFonts w:eastAsia="Calibri"/>
              </w:rPr>
              <w:t>Organische Stoffe</w:t>
            </w:r>
          </w:p>
        </w:tc>
        <w:tc>
          <w:tcPr>
            <w:tcW w:w="2410" w:type="dxa"/>
            <w:tcBorders>
              <w:top w:val="single" w:sz="12" w:space="0" w:color="auto"/>
              <w:left w:val="single" w:sz="12" w:space="0" w:color="auto"/>
              <w:right w:val="single" w:sz="12" w:space="0" w:color="auto"/>
            </w:tcBorders>
            <w:vAlign w:val="center"/>
          </w:tcPr>
          <w:p w14:paraId="36191353" w14:textId="77777777" w:rsidR="00D16E21" w:rsidRPr="005D4F27" w:rsidRDefault="00D16E21" w:rsidP="009030B5">
            <w:pPr>
              <w:jc w:val="center"/>
              <w:rPr>
                <w:rFonts w:eastAsia="Calibri"/>
              </w:rPr>
            </w:pPr>
          </w:p>
        </w:tc>
        <w:tc>
          <w:tcPr>
            <w:tcW w:w="2126" w:type="dxa"/>
            <w:tcBorders>
              <w:top w:val="single" w:sz="12" w:space="0" w:color="auto"/>
              <w:left w:val="single" w:sz="12" w:space="0" w:color="auto"/>
            </w:tcBorders>
            <w:vAlign w:val="center"/>
          </w:tcPr>
          <w:p w14:paraId="7B073376" w14:textId="77777777" w:rsidR="00D16E21" w:rsidRPr="005D4F27" w:rsidRDefault="00D16E21" w:rsidP="009030B5">
            <w:pPr>
              <w:jc w:val="center"/>
              <w:rPr>
                <w:rFonts w:eastAsia="Calibri"/>
              </w:rPr>
            </w:pPr>
          </w:p>
        </w:tc>
        <w:tc>
          <w:tcPr>
            <w:tcW w:w="2126" w:type="dxa"/>
            <w:tcBorders>
              <w:top w:val="single" w:sz="12" w:space="0" w:color="auto"/>
              <w:right w:val="single" w:sz="12" w:space="0" w:color="auto"/>
            </w:tcBorders>
            <w:vAlign w:val="center"/>
          </w:tcPr>
          <w:p w14:paraId="5E4E2DAD" w14:textId="77777777" w:rsidR="00D16E21" w:rsidRPr="005D4F27" w:rsidRDefault="00D16E21" w:rsidP="009030B5">
            <w:pPr>
              <w:jc w:val="center"/>
              <w:rPr>
                <w:rFonts w:eastAsia="Calibri"/>
              </w:rPr>
            </w:pPr>
          </w:p>
        </w:tc>
      </w:tr>
      <w:tr w:rsidR="00D16E21" w:rsidRPr="005D4F27" w14:paraId="52A9C204" w14:textId="77777777" w:rsidTr="009030B5">
        <w:tc>
          <w:tcPr>
            <w:tcW w:w="2410" w:type="dxa"/>
            <w:tcBorders>
              <w:left w:val="single" w:sz="12" w:space="0" w:color="auto"/>
              <w:right w:val="single" w:sz="12" w:space="0" w:color="auto"/>
            </w:tcBorders>
            <w:vAlign w:val="center"/>
          </w:tcPr>
          <w:p w14:paraId="11CAD720" w14:textId="77777777" w:rsidR="00D16E21" w:rsidRPr="005D4F27" w:rsidRDefault="00D16E21" w:rsidP="009030B5">
            <w:pPr>
              <w:rPr>
                <w:rFonts w:eastAsia="Calibri"/>
              </w:rPr>
            </w:pPr>
            <w:r w:rsidRPr="005D4F27">
              <w:rPr>
                <w:rFonts w:eastAsia="Calibri"/>
              </w:rPr>
              <w:t>Summe aus PCB</w:t>
            </w:r>
            <w:r w:rsidRPr="005D4F27">
              <w:rPr>
                <w:rFonts w:eastAsia="Calibri"/>
                <w:vertAlign w:val="subscript"/>
              </w:rPr>
              <w:t>6</w:t>
            </w:r>
            <w:r w:rsidRPr="005D4F27">
              <w:rPr>
                <w:rFonts w:eastAsia="Calibri"/>
              </w:rPr>
              <w:t xml:space="preserve"> und PCB-118</w:t>
            </w:r>
          </w:p>
        </w:tc>
        <w:tc>
          <w:tcPr>
            <w:tcW w:w="2410" w:type="dxa"/>
            <w:tcBorders>
              <w:left w:val="single" w:sz="12" w:space="0" w:color="auto"/>
              <w:right w:val="single" w:sz="12" w:space="0" w:color="auto"/>
            </w:tcBorders>
            <w:vAlign w:val="center"/>
          </w:tcPr>
          <w:p w14:paraId="2DABAD49" w14:textId="77777777" w:rsidR="00D16E21" w:rsidRPr="005D4F27" w:rsidRDefault="00D16E21" w:rsidP="009030B5">
            <w:pPr>
              <w:jc w:val="center"/>
              <w:rPr>
                <w:rFonts w:eastAsia="Calibri"/>
              </w:rPr>
            </w:pPr>
            <w:r w:rsidRPr="005D4F27">
              <w:rPr>
                <w:rFonts w:eastAsia="Calibri"/>
              </w:rPr>
              <w:t>0,1</w:t>
            </w:r>
          </w:p>
        </w:tc>
        <w:tc>
          <w:tcPr>
            <w:tcW w:w="2126" w:type="dxa"/>
            <w:tcBorders>
              <w:left w:val="single" w:sz="12" w:space="0" w:color="auto"/>
            </w:tcBorders>
            <w:vAlign w:val="center"/>
          </w:tcPr>
          <w:p w14:paraId="2E238803" w14:textId="77777777" w:rsidR="00D16E21" w:rsidRPr="005D4F27" w:rsidRDefault="00D16E21" w:rsidP="009030B5">
            <w:pPr>
              <w:jc w:val="center"/>
              <w:rPr>
                <w:rFonts w:eastAsia="Calibri"/>
              </w:rPr>
            </w:pPr>
            <w:r w:rsidRPr="005D4F27">
              <w:rPr>
                <w:rFonts w:eastAsia="Calibri"/>
              </w:rPr>
              <w:t>0,01</w:t>
            </w:r>
          </w:p>
        </w:tc>
        <w:tc>
          <w:tcPr>
            <w:tcW w:w="2126" w:type="dxa"/>
            <w:tcBorders>
              <w:right w:val="single" w:sz="12" w:space="0" w:color="auto"/>
            </w:tcBorders>
            <w:vAlign w:val="center"/>
          </w:tcPr>
          <w:p w14:paraId="2425A14D" w14:textId="77777777" w:rsidR="00D16E21" w:rsidRPr="005D4F27" w:rsidRDefault="00D16E21" w:rsidP="009030B5">
            <w:pPr>
              <w:jc w:val="center"/>
              <w:rPr>
                <w:rFonts w:eastAsia="Calibri"/>
              </w:rPr>
            </w:pPr>
            <w:r w:rsidRPr="005D4F27">
              <w:rPr>
                <w:rFonts w:eastAsia="Calibri"/>
              </w:rPr>
              <w:t>0,01</w:t>
            </w:r>
          </w:p>
        </w:tc>
      </w:tr>
      <w:tr w:rsidR="00D16E21" w:rsidRPr="005D4F27" w14:paraId="06EC6B06" w14:textId="77777777" w:rsidTr="009030B5">
        <w:tc>
          <w:tcPr>
            <w:tcW w:w="2410" w:type="dxa"/>
            <w:tcBorders>
              <w:top w:val="single" w:sz="4" w:space="0" w:color="auto"/>
              <w:left w:val="single" w:sz="12" w:space="0" w:color="auto"/>
              <w:bottom w:val="single" w:sz="4" w:space="0" w:color="auto"/>
              <w:right w:val="single" w:sz="12" w:space="0" w:color="auto"/>
            </w:tcBorders>
            <w:vAlign w:val="center"/>
          </w:tcPr>
          <w:p w14:paraId="5584F263" w14:textId="77777777" w:rsidR="00D16E21" w:rsidRPr="005D4F27" w:rsidRDefault="00D16E21" w:rsidP="009030B5">
            <w:pPr>
              <w:rPr>
                <w:rFonts w:eastAsia="Calibri"/>
              </w:rPr>
            </w:pPr>
            <w:r w:rsidRPr="005D4F27">
              <w:rPr>
                <w:rFonts w:eastAsia="Calibri"/>
              </w:rPr>
              <w:t>PAK</w:t>
            </w:r>
            <w:r w:rsidRPr="005D4F27">
              <w:rPr>
                <w:rFonts w:eastAsia="Calibri"/>
                <w:vertAlign w:val="subscript"/>
              </w:rPr>
              <w:t>16</w:t>
            </w:r>
          </w:p>
        </w:tc>
        <w:tc>
          <w:tcPr>
            <w:tcW w:w="2410" w:type="dxa"/>
            <w:tcBorders>
              <w:top w:val="single" w:sz="4" w:space="0" w:color="auto"/>
              <w:left w:val="single" w:sz="12" w:space="0" w:color="auto"/>
              <w:bottom w:val="single" w:sz="4" w:space="0" w:color="auto"/>
              <w:right w:val="single" w:sz="12" w:space="0" w:color="auto"/>
            </w:tcBorders>
            <w:vAlign w:val="center"/>
          </w:tcPr>
          <w:p w14:paraId="68539F1F" w14:textId="77777777" w:rsidR="00D16E21" w:rsidRPr="005D4F27" w:rsidRDefault="00D16E21" w:rsidP="009030B5">
            <w:pPr>
              <w:jc w:val="center"/>
              <w:rPr>
                <w:rFonts w:eastAsia="Calibri"/>
              </w:rPr>
            </w:pPr>
            <w:r w:rsidRPr="005D4F27">
              <w:rPr>
                <w:rFonts w:eastAsia="Calibri"/>
              </w:rPr>
              <w:t>6</w:t>
            </w:r>
          </w:p>
        </w:tc>
        <w:tc>
          <w:tcPr>
            <w:tcW w:w="2126" w:type="dxa"/>
            <w:tcBorders>
              <w:top w:val="single" w:sz="4" w:space="0" w:color="auto"/>
              <w:left w:val="single" w:sz="12" w:space="0" w:color="auto"/>
              <w:bottom w:val="single" w:sz="4" w:space="0" w:color="auto"/>
              <w:right w:val="single" w:sz="4" w:space="0" w:color="auto"/>
            </w:tcBorders>
            <w:vAlign w:val="center"/>
          </w:tcPr>
          <w:p w14:paraId="6B0C5C53" w14:textId="77777777" w:rsidR="00D16E21" w:rsidRPr="005D4F27" w:rsidRDefault="00D16E21" w:rsidP="009030B5">
            <w:pPr>
              <w:jc w:val="center"/>
              <w:rPr>
                <w:rFonts w:eastAsia="Calibri"/>
              </w:rPr>
            </w:pPr>
          </w:p>
        </w:tc>
        <w:tc>
          <w:tcPr>
            <w:tcW w:w="2126" w:type="dxa"/>
            <w:tcBorders>
              <w:top w:val="single" w:sz="4" w:space="0" w:color="auto"/>
              <w:left w:val="single" w:sz="4" w:space="0" w:color="auto"/>
              <w:bottom w:val="single" w:sz="4" w:space="0" w:color="auto"/>
              <w:right w:val="single" w:sz="12" w:space="0" w:color="auto"/>
            </w:tcBorders>
            <w:vAlign w:val="center"/>
          </w:tcPr>
          <w:p w14:paraId="543EC3DA" w14:textId="77777777" w:rsidR="00D16E21" w:rsidRPr="005D4F27" w:rsidRDefault="00D16E21" w:rsidP="009030B5">
            <w:pPr>
              <w:jc w:val="center"/>
              <w:rPr>
                <w:rFonts w:eastAsia="Calibri"/>
              </w:rPr>
            </w:pPr>
          </w:p>
        </w:tc>
      </w:tr>
      <w:tr w:rsidR="00D16E21" w:rsidRPr="005D4F27" w14:paraId="40C60AB3" w14:textId="77777777" w:rsidTr="009030B5">
        <w:tc>
          <w:tcPr>
            <w:tcW w:w="2410" w:type="dxa"/>
            <w:tcBorders>
              <w:top w:val="single" w:sz="4" w:space="0" w:color="auto"/>
              <w:left w:val="single" w:sz="12" w:space="0" w:color="auto"/>
              <w:bottom w:val="single" w:sz="4" w:space="0" w:color="auto"/>
              <w:right w:val="single" w:sz="12" w:space="0" w:color="auto"/>
            </w:tcBorders>
            <w:vAlign w:val="center"/>
          </w:tcPr>
          <w:p w14:paraId="36D27D14" w14:textId="77777777" w:rsidR="00D16E21" w:rsidRPr="005D4F27" w:rsidRDefault="00D16E21" w:rsidP="009030B5">
            <w:pPr>
              <w:rPr>
                <w:rFonts w:eastAsia="Calibri"/>
              </w:rPr>
            </w:pPr>
            <w:r w:rsidRPr="005D4F27">
              <w:rPr>
                <w:rFonts w:eastAsia="Calibri"/>
              </w:rPr>
              <w:t>PAK</w:t>
            </w:r>
            <w:r w:rsidRPr="005D4F27">
              <w:rPr>
                <w:rFonts w:eastAsia="Calibri"/>
                <w:vertAlign w:val="subscript"/>
              </w:rPr>
              <w:t xml:space="preserve">15 </w:t>
            </w:r>
            <w:r w:rsidRPr="005D4F27">
              <w:rPr>
                <w:rFonts w:eastAsia="Calibri"/>
                <w:vertAlign w:val="superscript"/>
              </w:rPr>
              <w:t>2)</w:t>
            </w:r>
          </w:p>
        </w:tc>
        <w:tc>
          <w:tcPr>
            <w:tcW w:w="2410" w:type="dxa"/>
            <w:tcBorders>
              <w:top w:val="single" w:sz="4" w:space="0" w:color="auto"/>
              <w:left w:val="single" w:sz="12" w:space="0" w:color="auto"/>
              <w:bottom w:val="single" w:sz="4" w:space="0" w:color="auto"/>
              <w:right w:val="single" w:sz="12" w:space="0" w:color="auto"/>
            </w:tcBorders>
            <w:vAlign w:val="center"/>
          </w:tcPr>
          <w:p w14:paraId="44152F13" w14:textId="77777777" w:rsidR="00D16E21" w:rsidRPr="005D4F27" w:rsidRDefault="00D16E21" w:rsidP="009030B5">
            <w:pPr>
              <w:jc w:val="center"/>
              <w:rPr>
                <w:rFonts w:eastAsia="Calibri"/>
              </w:rPr>
            </w:pPr>
          </w:p>
        </w:tc>
        <w:tc>
          <w:tcPr>
            <w:tcW w:w="2126" w:type="dxa"/>
            <w:tcBorders>
              <w:top w:val="single" w:sz="4" w:space="0" w:color="auto"/>
              <w:left w:val="single" w:sz="12" w:space="0" w:color="auto"/>
              <w:bottom w:val="single" w:sz="4" w:space="0" w:color="auto"/>
              <w:right w:val="single" w:sz="4" w:space="0" w:color="auto"/>
            </w:tcBorders>
            <w:vAlign w:val="center"/>
          </w:tcPr>
          <w:p w14:paraId="7BBBB853" w14:textId="77777777" w:rsidR="00D16E21" w:rsidRPr="005D4F27" w:rsidRDefault="00D16E21" w:rsidP="009030B5">
            <w:pPr>
              <w:jc w:val="center"/>
              <w:rPr>
                <w:rFonts w:eastAsia="Calibri"/>
              </w:rPr>
            </w:pPr>
            <w:r w:rsidRPr="005D4F27">
              <w:rPr>
                <w:rFonts w:eastAsia="Calibri"/>
              </w:rPr>
              <w:t xml:space="preserve">0,2 </w:t>
            </w:r>
            <w:r w:rsidRPr="005D4F27">
              <w:rPr>
                <w:rFonts w:eastAsia="Calibri"/>
                <w:vertAlign w:val="superscript"/>
              </w:rPr>
              <w:t>3)</w:t>
            </w:r>
          </w:p>
        </w:tc>
        <w:tc>
          <w:tcPr>
            <w:tcW w:w="2126" w:type="dxa"/>
            <w:tcBorders>
              <w:top w:val="single" w:sz="4" w:space="0" w:color="auto"/>
              <w:left w:val="single" w:sz="4" w:space="0" w:color="auto"/>
              <w:bottom w:val="single" w:sz="4" w:space="0" w:color="auto"/>
              <w:right w:val="single" w:sz="12" w:space="0" w:color="auto"/>
            </w:tcBorders>
            <w:vAlign w:val="center"/>
          </w:tcPr>
          <w:p w14:paraId="6B9B52D8" w14:textId="77777777" w:rsidR="00D16E21" w:rsidRPr="005D4F27" w:rsidRDefault="00D16E21" w:rsidP="009030B5">
            <w:pPr>
              <w:jc w:val="center"/>
              <w:rPr>
                <w:rFonts w:eastAsia="Calibri"/>
              </w:rPr>
            </w:pPr>
            <w:r w:rsidRPr="005D4F27">
              <w:rPr>
                <w:rFonts w:eastAsia="Calibri"/>
              </w:rPr>
              <w:t xml:space="preserve">0,2 </w:t>
            </w:r>
            <w:r w:rsidRPr="005D4F27">
              <w:rPr>
                <w:rFonts w:eastAsia="Calibri"/>
                <w:vertAlign w:val="superscript"/>
              </w:rPr>
              <w:t>3)</w:t>
            </w:r>
          </w:p>
        </w:tc>
      </w:tr>
      <w:tr w:rsidR="00D16E21" w:rsidRPr="005D4F27" w14:paraId="126E3909" w14:textId="77777777" w:rsidTr="009030B5">
        <w:tc>
          <w:tcPr>
            <w:tcW w:w="2410" w:type="dxa"/>
            <w:tcBorders>
              <w:top w:val="single" w:sz="4" w:space="0" w:color="auto"/>
              <w:left w:val="single" w:sz="12" w:space="0" w:color="auto"/>
              <w:bottom w:val="single" w:sz="4" w:space="0" w:color="auto"/>
              <w:right w:val="single" w:sz="12" w:space="0" w:color="auto"/>
            </w:tcBorders>
            <w:vAlign w:val="center"/>
          </w:tcPr>
          <w:p w14:paraId="089553F7" w14:textId="77777777" w:rsidR="00D16E21" w:rsidRPr="005D4F27" w:rsidRDefault="00D16E21" w:rsidP="009030B5">
            <w:pPr>
              <w:rPr>
                <w:rFonts w:eastAsia="Calibri"/>
              </w:rPr>
            </w:pPr>
            <w:r w:rsidRPr="005D4F27">
              <w:rPr>
                <w:rFonts w:eastAsia="Calibri"/>
              </w:rPr>
              <w:t xml:space="preserve">Naphthalin und </w:t>
            </w:r>
            <w:proofErr w:type="spellStart"/>
            <w:r w:rsidRPr="005D4F27">
              <w:rPr>
                <w:rFonts w:eastAsia="Calibri"/>
              </w:rPr>
              <w:t>Methylnaphthaline</w:t>
            </w:r>
            <w:proofErr w:type="spellEnd"/>
            <w:r w:rsidRPr="005D4F27">
              <w:rPr>
                <w:rFonts w:eastAsia="Calibri"/>
              </w:rPr>
              <w:t xml:space="preserve"> </w:t>
            </w:r>
          </w:p>
        </w:tc>
        <w:tc>
          <w:tcPr>
            <w:tcW w:w="2410" w:type="dxa"/>
            <w:tcBorders>
              <w:top w:val="single" w:sz="4" w:space="0" w:color="auto"/>
              <w:left w:val="single" w:sz="12" w:space="0" w:color="auto"/>
              <w:bottom w:val="single" w:sz="4" w:space="0" w:color="auto"/>
              <w:right w:val="single" w:sz="12" w:space="0" w:color="auto"/>
            </w:tcBorders>
            <w:vAlign w:val="center"/>
          </w:tcPr>
          <w:p w14:paraId="63C2E386" w14:textId="77777777" w:rsidR="00D16E21" w:rsidRPr="005D4F27" w:rsidRDefault="00D16E21" w:rsidP="009030B5">
            <w:pPr>
              <w:jc w:val="center"/>
              <w:rPr>
                <w:rFonts w:eastAsia="Calibri"/>
              </w:rPr>
            </w:pPr>
          </w:p>
        </w:tc>
        <w:tc>
          <w:tcPr>
            <w:tcW w:w="2126" w:type="dxa"/>
            <w:tcBorders>
              <w:top w:val="single" w:sz="4" w:space="0" w:color="auto"/>
              <w:left w:val="single" w:sz="12" w:space="0" w:color="auto"/>
              <w:bottom w:val="single" w:sz="4" w:space="0" w:color="auto"/>
              <w:right w:val="single" w:sz="4" w:space="0" w:color="auto"/>
            </w:tcBorders>
            <w:vAlign w:val="center"/>
          </w:tcPr>
          <w:p w14:paraId="469F7FBE" w14:textId="77777777" w:rsidR="00D16E21" w:rsidRPr="005D4F27" w:rsidRDefault="00D16E21" w:rsidP="009030B5">
            <w:pPr>
              <w:jc w:val="center"/>
              <w:rPr>
                <w:rFonts w:eastAsia="Calibri"/>
              </w:rPr>
            </w:pPr>
            <w:r w:rsidRPr="005D4F27">
              <w:rPr>
                <w:rFonts w:eastAsia="Calibri"/>
              </w:rPr>
              <w:t xml:space="preserve">2 </w:t>
            </w:r>
            <w:r w:rsidRPr="005D4F27">
              <w:rPr>
                <w:rFonts w:eastAsia="Calibri"/>
                <w:vertAlign w:val="superscript"/>
              </w:rPr>
              <w:t>3)</w:t>
            </w:r>
          </w:p>
        </w:tc>
        <w:tc>
          <w:tcPr>
            <w:tcW w:w="2126" w:type="dxa"/>
            <w:tcBorders>
              <w:top w:val="single" w:sz="4" w:space="0" w:color="auto"/>
              <w:left w:val="single" w:sz="4" w:space="0" w:color="auto"/>
              <w:bottom w:val="single" w:sz="4" w:space="0" w:color="auto"/>
              <w:right w:val="single" w:sz="12" w:space="0" w:color="auto"/>
            </w:tcBorders>
            <w:vAlign w:val="center"/>
          </w:tcPr>
          <w:p w14:paraId="6FF483B9" w14:textId="77777777" w:rsidR="00D16E21" w:rsidRPr="005D4F27" w:rsidRDefault="00D16E21" w:rsidP="009030B5">
            <w:pPr>
              <w:jc w:val="center"/>
              <w:rPr>
                <w:rFonts w:eastAsia="Calibri"/>
              </w:rPr>
            </w:pPr>
            <w:r w:rsidRPr="005D4F27">
              <w:rPr>
                <w:rFonts w:eastAsia="Calibri"/>
              </w:rPr>
              <w:t xml:space="preserve">2 </w:t>
            </w:r>
            <w:r w:rsidRPr="005D4F27">
              <w:rPr>
                <w:rFonts w:eastAsia="Calibri"/>
                <w:vertAlign w:val="superscript"/>
              </w:rPr>
              <w:t>3)</w:t>
            </w:r>
          </w:p>
        </w:tc>
      </w:tr>
      <w:tr w:rsidR="00D16E21" w:rsidRPr="005D4F27" w14:paraId="0AE6CEC6" w14:textId="77777777" w:rsidTr="009030B5">
        <w:tc>
          <w:tcPr>
            <w:tcW w:w="2410" w:type="dxa"/>
            <w:tcBorders>
              <w:left w:val="single" w:sz="12" w:space="0" w:color="auto"/>
              <w:bottom w:val="single" w:sz="12" w:space="0" w:color="auto"/>
              <w:right w:val="single" w:sz="12" w:space="0" w:color="auto"/>
            </w:tcBorders>
            <w:vAlign w:val="center"/>
          </w:tcPr>
          <w:p w14:paraId="298EC63E" w14:textId="77777777" w:rsidR="00D16E21" w:rsidRPr="005D4F27" w:rsidRDefault="00D16E21" w:rsidP="009030B5">
            <w:pPr>
              <w:rPr>
                <w:rFonts w:eastAsia="Calibri"/>
              </w:rPr>
            </w:pPr>
            <w:r w:rsidRPr="005D4F27">
              <w:rPr>
                <w:rFonts w:eastAsia="Calibri"/>
              </w:rPr>
              <w:t>Extrahierbare organisch gebundene Halogene (EOX)</w:t>
            </w:r>
            <w:r w:rsidRPr="005D4F27">
              <w:rPr>
                <w:rFonts w:eastAsia="Calibri"/>
                <w:vertAlign w:val="superscript"/>
              </w:rPr>
              <w:t xml:space="preserve"> 4)</w:t>
            </w:r>
          </w:p>
        </w:tc>
        <w:tc>
          <w:tcPr>
            <w:tcW w:w="2410" w:type="dxa"/>
            <w:tcBorders>
              <w:left w:val="single" w:sz="12" w:space="0" w:color="auto"/>
              <w:bottom w:val="single" w:sz="12" w:space="0" w:color="auto"/>
              <w:right w:val="single" w:sz="12" w:space="0" w:color="auto"/>
            </w:tcBorders>
            <w:vAlign w:val="center"/>
          </w:tcPr>
          <w:p w14:paraId="6558064C" w14:textId="77777777" w:rsidR="00D16E21" w:rsidRPr="005D4F27" w:rsidRDefault="00D16E21" w:rsidP="009030B5">
            <w:pPr>
              <w:jc w:val="center"/>
              <w:rPr>
                <w:rFonts w:eastAsia="Calibri"/>
              </w:rPr>
            </w:pPr>
            <w:r w:rsidRPr="005D4F27">
              <w:rPr>
                <w:rFonts w:eastAsia="Calibri"/>
              </w:rPr>
              <w:t>1</w:t>
            </w:r>
          </w:p>
        </w:tc>
        <w:tc>
          <w:tcPr>
            <w:tcW w:w="2126" w:type="dxa"/>
            <w:tcBorders>
              <w:left w:val="single" w:sz="12" w:space="0" w:color="auto"/>
              <w:bottom w:val="single" w:sz="12" w:space="0" w:color="auto"/>
            </w:tcBorders>
            <w:vAlign w:val="center"/>
          </w:tcPr>
          <w:p w14:paraId="7CF68046" w14:textId="77777777" w:rsidR="00D16E21" w:rsidRPr="005D4F27" w:rsidRDefault="00D16E21" w:rsidP="009030B5">
            <w:pPr>
              <w:jc w:val="center"/>
              <w:rPr>
                <w:rFonts w:eastAsia="Calibri"/>
              </w:rPr>
            </w:pPr>
          </w:p>
        </w:tc>
        <w:tc>
          <w:tcPr>
            <w:tcW w:w="2126" w:type="dxa"/>
            <w:tcBorders>
              <w:bottom w:val="single" w:sz="12" w:space="0" w:color="auto"/>
              <w:right w:val="single" w:sz="12" w:space="0" w:color="auto"/>
            </w:tcBorders>
            <w:vAlign w:val="center"/>
          </w:tcPr>
          <w:p w14:paraId="17A40880" w14:textId="77777777" w:rsidR="00D16E21" w:rsidRPr="005D4F27" w:rsidRDefault="00D16E21" w:rsidP="009030B5">
            <w:pPr>
              <w:jc w:val="center"/>
              <w:rPr>
                <w:rFonts w:eastAsia="Calibri"/>
              </w:rPr>
            </w:pPr>
          </w:p>
        </w:tc>
      </w:tr>
    </w:tbl>
    <w:p w14:paraId="53974537" w14:textId="77777777" w:rsidR="00D16E21" w:rsidRPr="005D4F27" w:rsidRDefault="00D16E21" w:rsidP="00D16E21">
      <w:pPr>
        <w:rPr>
          <w:rFonts w:eastAsia="Calibri"/>
          <w:vertAlign w:val="superscript"/>
        </w:rPr>
      </w:pPr>
    </w:p>
    <w:p w14:paraId="6D472D2A" w14:textId="77777777" w:rsidR="00D16E21" w:rsidRPr="005D4F27" w:rsidRDefault="00D16E21" w:rsidP="00D16E21">
      <w:pPr>
        <w:ind w:left="284" w:hanging="284"/>
        <w:rPr>
          <w:rFonts w:eastAsia="Calibri"/>
        </w:rPr>
      </w:pPr>
      <w:r w:rsidRPr="005D4F27">
        <w:rPr>
          <w:rFonts w:eastAsia="Calibri"/>
          <w:vertAlign w:val="superscript"/>
        </w:rPr>
        <w:lastRenderedPageBreak/>
        <w:t>1)</w:t>
      </w:r>
      <w:r>
        <w:rPr>
          <w:rFonts w:eastAsia="Calibri"/>
          <w:vertAlign w:val="superscript"/>
        </w:rPr>
        <w:t xml:space="preserve"> </w:t>
      </w:r>
      <w:r w:rsidRPr="005D4F27">
        <w:rPr>
          <w:rFonts w:eastAsia="Calibri"/>
        </w:rPr>
        <w:t xml:space="preserve">Bei Überschreitung des Wertes ist die Ursache zu prüfen. Handelt es sich um naturbedingt erhöhte Sulfatkonzentrationen, ist eine Verwertung innerhalb der betroffenen Gebiete möglich. Außerhalb dieser Gebiete ist über die Verwertungseignung im Einzelfall </w:t>
      </w:r>
      <w:r w:rsidRPr="00520F73">
        <w:rPr>
          <w:rFonts w:eastAsia="Calibri"/>
        </w:rPr>
        <w:t>und in Abstimmung mit der</w:t>
      </w:r>
      <w:r>
        <w:rPr>
          <w:rFonts w:eastAsia="Calibri"/>
        </w:rPr>
        <w:t xml:space="preserve"> zuständigen Behörde </w:t>
      </w:r>
      <w:r w:rsidRPr="005D4F27">
        <w:rPr>
          <w:rFonts w:eastAsia="Calibri"/>
        </w:rPr>
        <w:t>zu entscheiden.</w:t>
      </w:r>
    </w:p>
    <w:p w14:paraId="5E9C8A75" w14:textId="77777777" w:rsidR="00D16E21" w:rsidRPr="005D4F27" w:rsidRDefault="00D16E21" w:rsidP="00D16E21">
      <w:pPr>
        <w:rPr>
          <w:rFonts w:eastAsia="Calibri"/>
        </w:rPr>
      </w:pPr>
      <w:r w:rsidRPr="005D4F27">
        <w:rPr>
          <w:rFonts w:eastAsia="Calibri"/>
          <w:vertAlign w:val="superscript"/>
        </w:rPr>
        <w:t>2)</w:t>
      </w:r>
      <w:r>
        <w:rPr>
          <w:rFonts w:eastAsia="Calibri"/>
          <w:vertAlign w:val="superscript"/>
        </w:rPr>
        <w:t xml:space="preserve"> </w:t>
      </w:r>
      <w:r w:rsidRPr="005D4F27">
        <w:rPr>
          <w:rFonts w:eastAsia="Calibri"/>
        </w:rPr>
        <w:t>PAK</w:t>
      </w:r>
      <w:r w:rsidRPr="005D4F27">
        <w:rPr>
          <w:rFonts w:eastAsia="Calibri"/>
          <w:vertAlign w:val="subscript"/>
        </w:rPr>
        <w:t>15</w:t>
      </w:r>
      <w:r w:rsidRPr="005D4F27">
        <w:rPr>
          <w:rFonts w:eastAsia="Calibri"/>
        </w:rPr>
        <w:t>: PAK</w:t>
      </w:r>
      <w:r w:rsidRPr="005D4F27">
        <w:rPr>
          <w:rFonts w:eastAsia="Calibri"/>
          <w:vertAlign w:val="subscript"/>
        </w:rPr>
        <w:t>16</w:t>
      </w:r>
      <w:r w:rsidRPr="005D4F27">
        <w:rPr>
          <w:rFonts w:eastAsia="Calibri"/>
        </w:rPr>
        <w:t xml:space="preserve"> ohne Naphthalin und </w:t>
      </w:r>
      <w:proofErr w:type="spellStart"/>
      <w:r w:rsidRPr="005D4F27">
        <w:rPr>
          <w:rFonts w:eastAsia="Calibri"/>
        </w:rPr>
        <w:t>Methylnaphthaline</w:t>
      </w:r>
      <w:proofErr w:type="spellEnd"/>
      <w:r w:rsidRPr="005D4F27">
        <w:rPr>
          <w:rFonts w:eastAsia="Calibri"/>
        </w:rPr>
        <w:t>.</w:t>
      </w:r>
    </w:p>
    <w:p w14:paraId="3678A16A" w14:textId="77777777" w:rsidR="00D16E21" w:rsidRPr="005D4F27" w:rsidRDefault="00D16E21" w:rsidP="00D16E21">
      <w:pPr>
        <w:ind w:left="227" w:hanging="227"/>
        <w:rPr>
          <w:rFonts w:eastAsia="Calibri"/>
        </w:rPr>
      </w:pPr>
      <w:r w:rsidRPr="005D4F27">
        <w:rPr>
          <w:rFonts w:eastAsia="Calibri"/>
          <w:vertAlign w:val="superscript"/>
        </w:rPr>
        <w:t>3)</w:t>
      </w:r>
      <w:r>
        <w:rPr>
          <w:rFonts w:eastAsia="Calibri"/>
          <w:vertAlign w:val="superscript"/>
        </w:rPr>
        <w:t xml:space="preserve"> </w:t>
      </w:r>
      <w:proofErr w:type="spellStart"/>
      <w:r w:rsidRPr="005D4F27">
        <w:rPr>
          <w:rFonts w:eastAsia="Calibri"/>
        </w:rPr>
        <w:t>Eluatwert</w:t>
      </w:r>
      <w:proofErr w:type="spellEnd"/>
      <w:r w:rsidRPr="005D4F27">
        <w:rPr>
          <w:rFonts w:eastAsia="Calibri"/>
        </w:rPr>
        <w:t xml:space="preserve"> ist maßgeblich, wenn der Vorsorgewert von PAK</w:t>
      </w:r>
      <w:r w:rsidRPr="005D4F27">
        <w:rPr>
          <w:rFonts w:eastAsia="Calibri"/>
          <w:vertAlign w:val="subscript"/>
        </w:rPr>
        <w:t xml:space="preserve">16 </w:t>
      </w:r>
      <w:r w:rsidRPr="005D4F27">
        <w:rPr>
          <w:rFonts w:eastAsia="Calibri"/>
        </w:rPr>
        <w:t>nach Anlage 1 Tabelle 2 überschritten wird.</w:t>
      </w:r>
    </w:p>
    <w:p w14:paraId="1620CCD1" w14:textId="7E790FCA" w:rsidR="00D16E21" w:rsidRDefault="00D16E21" w:rsidP="00D16E21">
      <w:pPr>
        <w:pStyle w:val="Text"/>
        <w:rPr>
          <w:rFonts w:eastAsia="Calibri"/>
        </w:rPr>
      </w:pPr>
      <w:r w:rsidRPr="005D4F27">
        <w:rPr>
          <w:rFonts w:eastAsia="Calibri"/>
          <w:vertAlign w:val="superscript"/>
        </w:rPr>
        <w:t>4)</w:t>
      </w:r>
      <w:r>
        <w:rPr>
          <w:rFonts w:eastAsia="Calibri"/>
          <w:vertAlign w:val="superscript"/>
        </w:rPr>
        <w:t xml:space="preserve"> </w:t>
      </w:r>
      <w:r w:rsidRPr="005D4F27">
        <w:rPr>
          <w:rFonts w:eastAsia="Calibri"/>
        </w:rPr>
        <w:t>Bei Überschreitung des Wertes sind die Materialien auf fallspezifische Belastungen hin zu untersuchen.</w:t>
      </w:r>
    </w:p>
    <w:p w14:paraId="040D19AB" w14:textId="08FCD080" w:rsidR="009030B5" w:rsidRPr="008809E7" w:rsidRDefault="00D16E21" w:rsidP="009030B5">
      <w:pPr>
        <w:pStyle w:val="berschrift1"/>
      </w:pPr>
      <w:r>
        <w:rPr>
          <w:rFonts w:eastAsia="Calibri"/>
        </w:rPr>
        <w:br w:type="page"/>
      </w:r>
      <w:r w:rsidRPr="008D0377">
        <w:lastRenderedPageBreak/>
        <w:t>Tabelle 5:</w:t>
      </w:r>
      <w:r w:rsidR="008809E7">
        <w:t xml:space="preserve"> </w:t>
      </w:r>
      <w:r w:rsidRPr="008D0377">
        <w:t xml:space="preserve">Werte für zusätzlich </w:t>
      </w:r>
      <w:proofErr w:type="gramStart"/>
      <w:r w:rsidRPr="008D0377">
        <w:t>zu untersuchende Stoffe</w:t>
      </w:r>
      <w:proofErr w:type="gramEnd"/>
      <w:r w:rsidRPr="008D0377">
        <w:t xml:space="preserve"> beim Auf- oder Einbringen von Materialien mit mehr als 10 % Volumenprozent mineralischer Fremdbestandteile unterhalb oder außerhalb einer durchwurzelbaren Bodenschicht</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2638"/>
        <w:gridCol w:w="2268"/>
        <w:gridCol w:w="1984"/>
      </w:tblGrid>
      <w:tr w:rsidR="00D16E21" w:rsidRPr="005D4F27" w14:paraId="6901EA63" w14:textId="77777777" w:rsidTr="009030B5">
        <w:trPr>
          <w:trHeight w:val="340"/>
        </w:trPr>
        <w:tc>
          <w:tcPr>
            <w:tcW w:w="1757" w:type="dxa"/>
            <w:tcBorders>
              <w:top w:val="single" w:sz="12" w:space="0" w:color="auto"/>
              <w:left w:val="single" w:sz="12" w:space="0" w:color="auto"/>
              <w:bottom w:val="single" w:sz="12" w:space="0" w:color="auto"/>
              <w:right w:val="single" w:sz="12" w:space="0" w:color="auto"/>
            </w:tcBorders>
            <w:shd w:val="pct10" w:color="auto" w:fill="auto"/>
          </w:tcPr>
          <w:p w14:paraId="60990633" w14:textId="77777777" w:rsidR="00D16E21" w:rsidRPr="005D4F27" w:rsidRDefault="00D16E21" w:rsidP="009030B5">
            <w:pPr>
              <w:jc w:val="center"/>
              <w:rPr>
                <w:rFonts w:eastAsia="Calibri"/>
                <w:b/>
              </w:rPr>
            </w:pPr>
            <w:r w:rsidRPr="005D4F27">
              <w:rPr>
                <w:rFonts w:eastAsia="Calibri"/>
                <w:b/>
              </w:rPr>
              <w:t>Stoff</w:t>
            </w:r>
          </w:p>
        </w:tc>
        <w:tc>
          <w:tcPr>
            <w:tcW w:w="2638" w:type="dxa"/>
            <w:tcBorders>
              <w:top w:val="single" w:sz="12" w:space="0" w:color="auto"/>
              <w:left w:val="single" w:sz="12" w:space="0" w:color="auto"/>
              <w:bottom w:val="single" w:sz="12" w:space="0" w:color="auto"/>
              <w:right w:val="single" w:sz="12" w:space="0" w:color="auto"/>
            </w:tcBorders>
            <w:shd w:val="pct10" w:color="auto" w:fill="auto"/>
          </w:tcPr>
          <w:p w14:paraId="698FB787" w14:textId="77777777" w:rsidR="00D16E21" w:rsidRPr="005D4F27" w:rsidRDefault="00D16E21" w:rsidP="009030B5">
            <w:pPr>
              <w:ind w:left="-57" w:right="-57"/>
              <w:jc w:val="center"/>
              <w:rPr>
                <w:rFonts w:eastAsia="Calibri"/>
                <w:b/>
              </w:rPr>
            </w:pPr>
            <w:r w:rsidRPr="005D4F27">
              <w:rPr>
                <w:rFonts w:eastAsia="Calibri"/>
                <w:b/>
              </w:rPr>
              <w:t xml:space="preserve">Feststoffwert </w:t>
            </w:r>
          </w:p>
        </w:tc>
        <w:tc>
          <w:tcPr>
            <w:tcW w:w="4252" w:type="dxa"/>
            <w:gridSpan w:val="2"/>
            <w:tcBorders>
              <w:top w:val="single" w:sz="12" w:space="0" w:color="auto"/>
              <w:left w:val="single" w:sz="12" w:space="0" w:color="auto"/>
              <w:bottom w:val="single" w:sz="12" w:space="0" w:color="auto"/>
              <w:right w:val="single" w:sz="12" w:space="0" w:color="auto"/>
            </w:tcBorders>
            <w:shd w:val="pct10" w:color="auto" w:fill="auto"/>
          </w:tcPr>
          <w:p w14:paraId="4980B08D" w14:textId="77777777" w:rsidR="00D16E21" w:rsidRPr="005D4F27" w:rsidRDefault="00D16E21" w:rsidP="009030B5">
            <w:pPr>
              <w:ind w:left="-57" w:right="-57"/>
              <w:jc w:val="center"/>
              <w:rPr>
                <w:rFonts w:eastAsia="Calibri"/>
                <w:b/>
              </w:rPr>
            </w:pPr>
            <w:proofErr w:type="spellStart"/>
            <w:r w:rsidRPr="005D4F27">
              <w:rPr>
                <w:rFonts w:eastAsia="Calibri"/>
                <w:b/>
              </w:rPr>
              <w:t>Eluatwert</w:t>
            </w:r>
            <w:proofErr w:type="spellEnd"/>
          </w:p>
        </w:tc>
      </w:tr>
      <w:tr w:rsidR="00D16E21" w:rsidRPr="005D4F27" w14:paraId="0315516A" w14:textId="77777777" w:rsidTr="009030B5">
        <w:trPr>
          <w:trHeight w:val="624"/>
        </w:trPr>
        <w:tc>
          <w:tcPr>
            <w:tcW w:w="1757" w:type="dxa"/>
            <w:tcBorders>
              <w:top w:val="single" w:sz="12" w:space="0" w:color="auto"/>
              <w:left w:val="single" w:sz="12" w:space="0" w:color="auto"/>
              <w:bottom w:val="single" w:sz="12" w:space="0" w:color="auto"/>
              <w:right w:val="single" w:sz="12" w:space="0" w:color="auto"/>
            </w:tcBorders>
            <w:shd w:val="pct10" w:color="auto" w:fill="auto"/>
          </w:tcPr>
          <w:p w14:paraId="0989B7A7" w14:textId="77777777" w:rsidR="00D16E21" w:rsidRPr="005D4F27" w:rsidRDefault="00D16E21" w:rsidP="009030B5">
            <w:pPr>
              <w:jc w:val="center"/>
              <w:rPr>
                <w:rFonts w:eastAsia="Calibri"/>
                <w:b/>
              </w:rPr>
            </w:pPr>
          </w:p>
        </w:tc>
        <w:tc>
          <w:tcPr>
            <w:tcW w:w="2638" w:type="dxa"/>
            <w:tcBorders>
              <w:top w:val="single" w:sz="12" w:space="0" w:color="auto"/>
              <w:left w:val="single" w:sz="12" w:space="0" w:color="auto"/>
              <w:bottom w:val="single" w:sz="12" w:space="0" w:color="auto"/>
              <w:right w:val="single" w:sz="12" w:space="0" w:color="auto"/>
            </w:tcBorders>
            <w:shd w:val="pct10" w:color="auto" w:fill="auto"/>
          </w:tcPr>
          <w:p w14:paraId="0357336D" w14:textId="77777777" w:rsidR="00D16E21" w:rsidRPr="005D4F27" w:rsidRDefault="00D16E21" w:rsidP="009030B5">
            <w:pPr>
              <w:ind w:left="-57" w:right="-57"/>
              <w:jc w:val="center"/>
              <w:rPr>
                <w:rFonts w:eastAsia="Calibri"/>
                <w:b/>
              </w:rPr>
            </w:pPr>
          </w:p>
        </w:tc>
        <w:tc>
          <w:tcPr>
            <w:tcW w:w="2268" w:type="dxa"/>
            <w:tcBorders>
              <w:top w:val="single" w:sz="12" w:space="0" w:color="auto"/>
              <w:left w:val="single" w:sz="12" w:space="0" w:color="auto"/>
              <w:bottom w:val="single" w:sz="12" w:space="0" w:color="auto"/>
              <w:right w:val="single" w:sz="4" w:space="0" w:color="auto"/>
            </w:tcBorders>
            <w:shd w:val="pct10" w:color="auto" w:fill="auto"/>
          </w:tcPr>
          <w:p w14:paraId="435C8116" w14:textId="77777777" w:rsidR="00D16E21" w:rsidRPr="005D4F27" w:rsidRDefault="00D16E21" w:rsidP="009030B5">
            <w:pPr>
              <w:ind w:left="-57" w:right="-57"/>
              <w:jc w:val="center"/>
              <w:rPr>
                <w:rFonts w:eastAsia="Calibri"/>
                <w:b/>
              </w:rPr>
            </w:pPr>
            <w:r w:rsidRPr="005D4F27">
              <w:rPr>
                <w:rFonts w:eastAsia="Calibri"/>
                <w:b/>
              </w:rPr>
              <w:t>bei TOC-Gehalt</w:t>
            </w:r>
          </w:p>
          <w:p w14:paraId="4ED11470" w14:textId="77777777" w:rsidR="00D16E21" w:rsidRPr="005D4F27" w:rsidRDefault="00D16E21" w:rsidP="009030B5">
            <w:pPr>
              <w:ind w:left="-57" w:right="-57"/>
              <w:jc w:val="center"/>
              <w:rPr>
                <w:rFonts w:eastAsia="Calibri"/>
                <w:b/>
              </w:rPr>
            </w:pPr>
            <w:r w:rsidRPr="005D4F27">
              <w:rPr>
                <w:rFonts w:eastAsia="Calibri"/>
                <w:b/>
              </w:rPr>
              <w:t>&lt; 0,5 %</w:t>
            </w:r>
          </w:p>
        </w:tc>
        <w:tc>
          <w:tcPr>
            <w:tcW w:w="1984" w:type="dxa"/>
            <w:tcBorders>
              <w:top w:val="single" w:sz="12" w:space="0" w:color="auto"/>
              <w:left w:val="single" w:sz="4" w:space="0" w:color="auto"/>
              <w:bottom w:val="single" w:sz="12" w:space="0" w:color="auto"/>
              <w:right w:val="single" w:sz="12" w:space="0" w:color="auto"/>
            </w:tcBorders>
            <w:shd w:val="pct10" w:color="auto" w:fill="auto"/>
          </w:tcPr>
          <w:p w14:paraId="4609F8A9" w14:textId="77777777" w:rsidR="00D16E21" w:rsidRPr="005D4F27" w:rsidRDefault="00D16E21" w:rsidP="009030B5">
            <w:pPr>
              <w:ind w:left="-57" w:right="-57"/>
              <w:jc w:val="center"/>
              <w:rPr>
                <w:rFonts w:eastAsia="Calibri"/>
                <w:b/>
              </w:rPr>
            </w:pPr>
            <w:r w:rsidRPr="005D4F27">
              <w:rPr>
                <w:rFonts w:eastAsia="Calibri"/>
                <w:b/>
              </w:rPr>
              <w:t xml:space="preserve">bei TOC-Gehalt </w:t>
            </w:r>
          </w:p>
          <w:p w14:paraId="07953B6C" w14:textId="77777777" w:rsidR="00D16E21" w:rsidRPr="005D4F27" w:rsidRDefault="00D16E21" w:rsidP="009030B5">
            <w:pPr>
              <w:ind w:left="-57" w:right="-57"/>
              <w:jc w:val="center"/>
              <w:rPr>
                <w:rFonts w:eastAsia="Calibri"/>
                <w:b/>
              </w:rPr>
            </w:pPr>
            <w:r w:rsidRPr="005D4F27">
              <w:rPr>
                <w:rFonts w:eastAsia="Calibri"/>
                <w:b/>
              </w:rPr>
              <w:t>≥ 0,5 %</w:t>
            </w:r>
          </w:p>
        </w:tc>
      </w:tr>
      <w:tr w:rsidR="00D16E21" w:rsidRPr="005D4F27" w14:paraId="434B591B" w14:textId="77777777" w:rsidTr="009030B5">
        <w:tc>
          <w:tcPr>
            <w:tcW w:w="1757" w:type="dxa"/>
            <w:tcBorders>
              <w:top w:val="single" w:sz="12" w:space="0" w:color="auto"/>
              <w:left w:val="single" w:sz="12" w:space="0" w:color="auto"/>
              <w:bottom w:val="single" w:sz="12" w:space="0" w:color="auto"/>
              <w:right w:val="single" w:sz="12" w:space="0" w:color="auto"/>
            </w:tcBorders>
            <w:shd w:val="clear" w:color="auto" w:fill="FFFFFF"/>
            <w:vAlign w:val="center"/>
          </w:tcPr>
          <w:p w14:paraId="63E1054E" w14:textId="77777777" w:rsidR="00D16E21" w:rsidRPr="005D4F27" w:rsidRDefault="00D16E21" w:rsidP="009030B5">
            <w:pPr>
              <w:rPr>
                <w:rFonts w:eastAsia="Calibri"/>
              </w:rPr>
            </w:pPr>
          </w:p>
        </w:tc>
        <w:tc>
          <w:tcPr>
            <w:tcW w:w="2638" w:type="dxa"/>
            <w:tcBorders>
              <w:top w:val="single" w:sz="12" w:space="0" w:color="auto"/>
              <w:left w:val="single" w:sz="12" w:space="0" w:color="auto"/>
              <w:bottom w:val="single" w:sz="12" w:space="0" w:color="auto"/>
              <w:right w:val="single" w:sz="12" w:space="0" w:color="auto"/>
            </w:tcBorders>
            <w:shd w:val="clear" w:color="auto" w:fill="FFFFFF"/>
            <w:vAlign w:val="center"/>
          </w:tcPr>
          <w:p w14:paraId="4A956B36" w14:textId="77777777" w:rsidR="00D16E21" w:rsidRPr="005D4F27" w:rsidRDefault="00D16E21" w:rsidP="009030B5">
            <w:pPr>
              <w:jc w:val="center"/>
              <w:rPr>
                <w:rFonts w:eastAsia="Calibri"/>
              </w:rPr>
            </w:pPr>
            <w:r w:rsidRPr="005D4F27">
              <w:rPr>
                <w:rFonts w:eastAsia="Calibri"/>
              </w:rPr>
              <w:t>[mg/kg]</w:t>
            </w:r>
          </w:p>
        </w:tc>
        <w:tc>
          <w:tcPr>
            <w:tcW w:w="4252"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613EDA58" w14:textId="77777777" w:rsidR="00D16E21" w:rsidRPr="005D4F27" w:rsidRDefault="00D16E21" w:rsidP="009030B5">
            <w:pPr>
              <w:jc w:val="center"/>
              <w:rPr>
                <w:rFonts w:eastAsia="Calibri"/>
              </w:rPr>
            </w:pPr>
            <w:r w:rsidRPr="005D4F27">
              <w:rPr>
                <w:rFonts w:eastAsia="Calibri"/>
              </w:rPr>
              <w:t>[µg/l]</w:t>
            </w:r>
          </w:p>
        </w:tc>
      </w:tr>
      <w:tr w:rsidR="00D16E21" w:rsidRPr="005D4F27" w14:paraId="33D08836" w14:textId="77777777" w:rsidTr="009030B5">
        <w:tc>
          <w:tcPr>
            <w:tcW w:w="1757" w:type="dxa"/>
            <w:tcBorders>
              <w:top w:val="single" w:sz="12" w:space="0" w:color="auto"/>
              <w:left w:val="single" w:sz="12" w:space="0" w:color="auto"/>
              <w:right w:val="single" w:sz="12" w:space="0" w:color="auto"/>
            </w:tcBorders>
            <w:shd w:val="clear" w:color="auto" w:fill="auto"/>
            <w:vAlign w:val="center"/>
          </w:tcPr>
          <w:p w14:paraId="3CA6334E" w14:textId="77777777" w:rsidR="00D16E21" w:rsidRPr="005D4F27" w:rsidRDefault="00D16E21" w:rsidP="009030B5">
            <w:pPr>
              <w:rPr>
                <w:rFonts w:eastAsia="Calibri"/>
              </w:rPr>
            </w:pPr>
            <w:r w:rsidRPr="005D4F27">
              <w:rPr>
                <w:rFonts w:eastAsia="Calibri"/>
              </w:rPr>
              <w:t>Antimon</w:t>
            </w:r>
          </w:p>
        </w:tc>
        <w:tc>
          <w:tcPr>
            <w:tcW w:w="2638" w:type="dxa"/>
            <w:tcBorders>
              <w:top w:val="single" w:sz="12" w:space="0" w:color="auto"/>
              <w:left w:val="single" w:sz="12" w:space="0" w:color="auto"/>
              <w:right w:val="single" w:sz="12" w:space="0" w:color="auto"/>
            </w:tcBorders>
            <w:shd w:val="clear" w:color="auto" w:fill="FFFFFF"/>
            <w:vAlign w:val="center"/>
          </w:tcPr>
          <w:p w14:paraId="4F0B10A6" w14:textId="77777777" w:rsidR="00D16E21" w:rsidRPr="005D4F27" w:rsidRDefault="00D16E21" w:rsidP="009030B5">
            <w:pPr>
              <w:jc w:val="center"/>
              <w:rPr>
                <w:rFonts w:eastAsia="Calibri"/>
              </w:rPr>
            </w:pPr>
            <w:r w:rsidRPr="005D4F27">
              <w:rPr>
                <w:rFonts w:eastAsia="Calibri"/>
              </w:rPr>
              <w:t>4</w:t>
            </w:r>
          </w:p>
        </w:tc>
        <w:tc>
          <w:tcPr>
            <w:tcW w:w="2268" w:type="dxa"/>
            <w:tcBorders>
              <w:top w:val="single" w:sz="12" w:space="0" w:color="auto"/>
              <w:left w:val="single" w:sz="12" w:space="0" w:color="auto"/>
            </w:tcBorders>
            <w:shd w:val="clear" w:color="auto" w:fill="FFFFFF"/>
            <w:vAlign w:val="center"/>
          </w:tcPr>
          <w:p w14:paraId="768A9DEC" w14:textId="77777777" w:rsidR="00D16E21" w:rsidRPr="005D4F27" w:rsidRDefault="00D16E21" w:rsidP="009030B5">
            <w:pPr>
              <w:jc w:val="center"/>
              <w:rPr>
                <w:rFonts w:eastAsia="Calibri"/>
              </w:rPr>
            </w:pPr>
            <w:r w:rsidRPr="005D4F27">
              <w:rPr>
                <w:rFonts w:eastAsia="Calibri"/>
              </w:rPr>
              <w:t>5</w:t>
            </w:r>
          </w:p>
        </w:tc>
        <w:tc>
          <w:tcPr>
            <w:tcW w:w="1984" w:type="dxa"/>
            <w:tcBorders>
              <w:top w:val="single" w:sz="12" w:space="0" w:color="auto"/>
              <w:right w:val="single" w:sz="12" w:space="0" w:color="auto"/>
            </w:tcBorders>
            <w:shd w:val="clear" w:color="auto" w:fill="FFFFFF"/>
            <w:vAlign w:val="center"/>
          </w:tcPr>
          <w:p w14:paraId="3ED95CF9" w14:textId="77777777" w:rsidR="00D16E21" w:rsidRPr="005D4F27" w:rsidRDefault="00D16E21" w:rsidP="009030B5">
            <w:pPr>
              <w:jc w:val="center"/>
              <w:rPr>
                <w:rFonts w:eastAsia="Calibri"/>
              </w:rPr>
            </w:pPr>
            <w:r w:rsidRPr="005D4F27">
              <w:rPr>
                <w:rFonts w:eastAsia="Calibri"/>
              </w:rPr>
              <w:t>5</w:t>
            </w:r>
          </w:p>
        </w:tc>
      </w:tr>
      <w:tr w:rsidR="00D16E21" w:rsidRPr="005D4F27" w14:paraId="4C65C6F4" w14:textId="77777777" w:rsidTr="009030B5">
        <w:tc>
          <w:tcPr>
            <w:tcW w:w="1757" w:type="dxa"/>
            <w:tcBorders>
              <w:left w:val="single" w:sz="12" w:space="0" w:color="auto"/>
              <w:right w:val="single" w:sz="12" w:space="0" w:color="auto"/>
            </w:tcBorders>
            <w:vAlign w:val="center"/>
          </w:tcPr>
          <w:p w14:paraId="62064B98" w14:textId="77777777" w:rsidR="00D16E21" w:rsidRPr="005D4F27" w:rsidRDefault="00D16E21" w:rsidP="009030B5">
            <w:pPr>
              <w:rPr>
                <w:rFonts w:eastAsia="Calibri"/>
              </w:rPr>
            </w:pPr>
            <w:r w:rsidRPr="005D4F27">
              <w:rPr>
                <w:rFonts w:eastAsia="Calibri"/>
              </w:rPr>
              <w:t>Kobalt</w:t>
            </w:r>
          </w:p>
        </w:tc>
        <w:tc>
          <w:tcPr>
            <w:tcW w:w="2638" w:type="dxa"/>
            <w:tcBorders>
              <w:left w:val="single" w:sz="12" w:space="0" w:color="auto"/>
              <w:right w:val="single" w:sz="12" w:space="0" w:color="auto"/>
            </w:tcBorders>
            <w:vAlign w:val="center"/>
          </w:tcPr>
          <w:p w14:paraId="268EE71A" w14:textId="77777777" w:rsidR="00D16E21" w:rsidRPr="005D4F27" w:rsidRDefault="00D16E21" w:rsidP="009030B5">
            <w:pPr>
              <w:jc w:val="center"/>
              <w:rPr>
                <w:rFonts w:eastAsia="Calibri"/>
              </w:rPr>
            </w:pPr>
            <w:r w:rsidRPr="005D4F27">
              <w:rPr>
                <w:rFonts w:eastAsia="Calibri"/>
              </w:rPr>
              <w:t>50</w:t>
            </w:r>
          </w:p>
        </w:tc>
        <w:tc>
          <w:tcPr>
            <w:tcW w:w="2268" w:type="dxa"/>
            <w:tcBorders>
              <w:left w:val="single" w:sz="12" w:space="0" w:color="auto"/>
            </w:tcBorders>
            <w:vAlign w:val="center"/>
          </w:tcPr>
          <w:p w14:paraId="5344A4F7" w14:textId="77777777" w:rsidR="00D16E21" w:rsidRPr="005D4F27" w:rsidRDefault="00D16E21" w:rsidP="009030B5">
            <w:pPr>
              <w:jc w:val="center"/>
              <w:rPr>
                <w:rFonts w:eastAsia="Calibri"/>
              </w:rPr>
            </w:pPr>
            <w:r w:rsidRPr="005D4F27">
              <w:rPr>
                <w:rFonts w:eastAsia="Calibri"/>
              </w:rPr>
              <w:t>26</w:t>
            </w:r>
          </w:p>
        </w:tc>
        <w:tc>
          <w:tcPr>
            <w:tcW w:w="1984" w:type="dxa"/>
            <w:tcBorders>
              <w:right w:val="single" w:sz="12" w:space="0" w:color="auto"/>
            </w:tcBorders>
            <w:vAlign w:val="center"/>
          </w:tcPr>
          <w:p w14:paraId="0B796D61" w14:textId="77777777" w:rsidR="00D16E21" w:rsidRPr="005D4F27" w:rsidRDefault="00D16E21" w:rsidP="009030B5">
            <w:pPr>
              <w:jc w:val="center"/>
              <w:rPr>
                <w:rFonts w:eastAsia="Calibri"/>
              </w:rPr>
            </w:pPr>
            <w:r w:rsidRPr="005D4F27">
              <w:rPr>
                <w:rFonts w:eastAsia="Calibri"/>
              </w:rPr>
              <w:t>62</w:t>
            </w:r>
          </w:p>
        </w:tc>
      </w:tr>
      <w:tr w:rsidR="00D16E21" w:rsidRPr="005D4F27" w14:paraId="6345B6DA" w14:textId="77777777" w:rsidTr="009030B5">
        <w:tc>
          <w:tcPr>
            <w:tcW w:w="1757" w:type="dxa"/>
            <w:tcBorders>
              <w:left w:val="single" w:sz="12" w:space="0" w:color="auto"/>
              <w:right w:val="single" w:sz="12" w:space="0" w:color="auto"/>
            </w:tcBorders>
            <w:vAlign w:val="center"/>
          </w:tcPr>
          <w:p w14:paraId="778E58A0" w14:textId="77777777" w:rsidR="00D16E21" w:rsidRPr="005D4F27" w:rsidRDefault="00D16E21" w:rsidP="009030B5">
            <w:pPr>
              <w:rPr>
                <w:rFonts w:eastAsia="Calibri"/>
              </w:rPr>
            </w:pPr>
            <w:r w:rsidRPr="005D4F27">
              <w:rPr>
                <w:rFonts w:eastAsia="Calibri"/>
              </w:rPr>
              <w:t>Molybdän</w:t>
            </w:r>
          </w:p>
        </w:tc>
        <w:tc>
          <w:tcPr>
            <w:tcW w:w="2638" w:type="dxa"/>
            <w:tcBorders>
              <w:left w:val="single" w:sz="12" w:space="0" w:color="auto"/>
              <w:right w:val="single" w:sz="12" w:space="0" w:color="auto"/>
            </w:tcBorders>
            <w:vAlign w:val="center"/>
          </w:tcPr>
          <w:p w14:paraId="2AEAF819" w14:textId="77777777" w:rsidR="00D16E21" w:rsidRPr="005D4F27" w:rsidRDefault="00D16E21" w:rsidP="009030B5">
            <w:pPr>
              <w:jc w:val="center"/>
              <w:rPr>
                <w:rFonts w:eastAsia="Calibri"/>
              </w:rPr>
            </w:pPr>
            <w:r w:rsidRPr="005D4F27">
              <w:rPr>
                <w:rFonts w:eastAsia="Calibri"/>
              </w:rPr>
              <w:t>4</w:t>
            </w:r>
          </w:p>
        </w:tc>
        <w:tc>
          <w:tcPr>
            <w:tcW w:w="2268" w:type="dxa"/>
            <w:tcBorders>
              <w:left w:val="single" w:sz="12" w:space="0" w:color="auto"/>
            </w:tcBorders>
            <w:vAlign w:val="center"/>
          </w:tcPr>
          <w:p w14:paraId="133CA83C" w14:textId="77777777" w:rsidR="00D16E21" w:rsidRPr="005D4F27" w:rsidRDefault="00D16E21" w:rsidP="009030B5">
            <w:pPr>
              <w:jc w:val="center"/>
              <w:rPr>
                <w:rFonts w:eastAsia="Calibri"/>
              </w:rPr>
            </w:pPr>
            <w:r w:rsidRPr="005D4F27">
              <w:rPr>
                <w:rFonts w:eastAsia="Calibri"/>
              </w:rPr>
              <w:t>35</w:t>
            </w:r>
          </w:p>
        </w:tc>
        <w:tc>
          <w:tcPr>
            <w:tcW w:w="1984" w:type="dxa"/>
            <w:tcBorders>
              <w:right w:val="single" w:sz="12" w:space="0" w:color="auto"/>
            </w:tcBorders>
            <w:vAlign w:val="center"/>
          </w:tcPr>
          <w:p w14:paraId="190EAE69" w14:textId="77777777" w:rsidR="00D16E21" w:rsidRPr="005D4F27" w:rsidRDefault="00D16E21" w:rsidP="009030B5">
            <w:pPr>
              <w:jc w:val="center"/>
              <w:rPr>
                <w:rFonts w:eastAsia="Calibri"/>
              </w:rPr>
            </w:pPr>
            <w:r w:rsidRPr="005D4F27">
              <w:rPr>
                <w:rFonts w:eastAsia="Calibri"/>
              </w:rPr>
              <w:t>35</w:t>
            </w:r>
          </w:p>
        </w:tc>
      </w:tr>
      <w:tr w:rsidR="00D16E21" w:rsidRPr="005D4F27" w14:paraId="676EE96D" w14:textId="77777777" w:rsidTr="009030B5">
        <w:tc>
          <w:tcPr>
            <w:tcW w:w="1757" w:type="dxa"/>
            <w:tcBorders>
              <w:left w:val="single" w:sz="12" w:space="0" w:color="auto"/>
              <w:bottom w:val="single" w:sz="4" w:space="0" w:color="auto"/>
              <w:right w:val="single" w:sz="12" w:space="0" w:color="auto"/>
            </w:tcBorders>
            <w:vAlign w:val="center"/>
          </w:tcPr>
          <w:p w14:paraId="0484B8B1" w14:textId="77777777" w:rsidR="00D16E21" w:rsidRPr="005D4F27" w:rsidRDefault="00D16E21" w:rsidP="009030B5">
            <w:pPr>
              <w:rPr>
                <w:rFonts w:eastAsia="Calibri"/>
              </w:rPr>
            </w:pPr>
            <w:r w:rsidRPr="005D4F27">
              <w:rPr>
                <w:rFonts w:eastAsia="Calibri"/>
              </w:rPr>
              <w:t>Selen</w:t>
            </w:r>
          </w:p>
        </w:tc>
        <w:tc>
          <w:tcPr>
            <w:tcW w:w="2638" w:type="dxa"/>
            <w:tcBorders>
              <w:left w:val="single" w:sz="12" w:space="0" w:color="auto"/>
              <w:bottom w:val="single" w:sz="4" w:space="0" w:color="auto"/>
              <w:right w:val="single" w:sz="12" w:space="0" w:color="auto"/>
            </w:tcBorders>
            <w:vAlign w:val="center"/>
          </w:tcPr>
          <w:p w14:paraId="72AE1C90" w14:textId="77777777" w:rsidR="00D16E21" w:rsidRPr="005D4F27" w:rsidRDefault="00D16E21" w:rsidP="009030B5">
            <w:pPr>
              <w:jc w:val="center"/>
              <w:rPr>
                <w:rFonts w:eastAsia="Calibri"/>
              </w:rPr>
            </w:pPr>
            <w:r w:rsidRPr="005D4F27">
              <w:rPr>
                <w:rFonts w:eastAsia="Calibri"/>
              </w:rPr>
              <w:t>3</w:t>
            </w:r>
          </w:p>
        </w:tc>
        <w:tc>
          <w:tcPr>
            <w:tcW w:w="2268" w:type="dxa"/>
            <w:tcBorders>
              <w:left w:val="single" w:sz="12" w:space="0" w:color="auto"/>
              <w:bottom w:val="single" w:sz="4" w:space="0" w:color="auto"/>
            </w:tcBorders>
            <w:vAlign w:val="center"/>
          </w:tcPr>
          <w:p w14:paraId="1C8ABE58" w14:textId="77777777" w:rsidR="00D16E21" w:rsidRPr="005D4F27" w:rsidRDefault="00D16E21" w:rsidP="009030B5">
            <w:pPr>
              <w:jc w:val="center"/>
              <w:rPr>
                <w:rFonts w:eastAsia="Calibri"/>
              </w:rPr>
            </w:pPr>
            <w:r w:rsidRPr="005D4F27">
              <w:rPr>
                <w:rFonts w:eastAsia="Calibri"/>
              </w:rPr>
              <w:t>5</w:t>
            </w:r>
          </w:p>
        </w:tc>
        <w:tc>
          <w:tcPr>
            <w:tcW w:w="1984" w:type="dxa"/>
            <w:tcBorders>
              <w:bottom w:val="single" w:sz="4" w:space="0" w:color="auto"/>
              <w:right w:val="single" w:sz="12" w:space="0" w:color="auto"/>
            </w:tcBorders>
            <w:vAlign w:val="center"/>
          </w:tcPr>
          <w:p w14:paraId="11B4FD87" w14:textId="77777777" w:rsidR="00D16E21" w:rsidRPr="005D4F27" w:rsidRDefault="00D16E21" w:rsidP="009030B5">
            <w:pPr>
              <w:jc w:val="center"/>
              <w:rPr>
                <w:rFonts w:eastAsia="Calibri"/>
                <w:highlight w:val="yellow"/>
              </w:rPr>
            </w:pPr>
            <w:r w:rsidRPr="005D4F27">
              <w:rPr>
                <w:rFonts w:eastAsia="Calibri"/>
              </w:rPr>
              <w:t>5</w:t>
            </w:r>
          </w:p>
        </w:tc>
      </w:tr>
      <w:tr w:rsidR="00D16E21" w:rsidRPr="005D4F27" w14:paraId="5E1D9DC5" w14:textId="77777777" w:rsidTr="009030B5">
        <w:tc>
          <w:tcPr>
            <w:tcW w:w="1757" w:type="dxa"/>
            <w:tcBorders>
              <w:left w:val="single" w:sz="12" w:space="0" w:color="auto"/>
              <w:bottom w:val="single" w:sz="4" w:space="0" w:color="auto"/>
              <w:right w:val="single" w:sz="12" w:space="0" w:color="auto"/>
            </w:tcBorders>
            <w:vAlign w:val="center"/>
          </w:tcPr>
          <w:p w14:paraId="24FDDC15" w14:textId="77777777" w:rsidR="00D16E21" w:rsidRPr="005D4F27" w:rsidRDefault="00D16E21" w:rsidP="009030B5">
            <w:pPr>
              <w:rPr>
                <w:rFonts w:eastAsia="Calibri"/>
              </w:rPr>
            </w:pPr>
            <w:r w:rsidRPr="005D4F27">
              <w:rPr>
                <w:rFonts w:eastAsia="Calibri"/>
              </w:rPr>
              <w:t>Vanadium</w:t>
            </w:r>
          </w:p>
        </w:tc>
        <w:tc>
          <w:tcPr>
            <w:tcW w:w="2638" w:type="dxa"/>
            <w:tcBorders>
              <w:left w:val="single" w:sz="12" w:space="0" w:color="auto"/>
              <w:bottom w:val="single" w:sz="4" w:space="0" w:color="auto"/>
              <w:right w:val="single" w:sz="12" w:space="0" w:color="auto"/>
            </w:tcBorders>
            <w:vAlign w:val="center"/>
          </w:tcPr>
          <w:p w14:paraId="39F0D12B" w14:textId="77777777" w:rsidR="00D16E21" w:rsidRPr="005D4F27" w:rsidRDefault="00D16E21" w:rsidP="009030B5">
            <w:pPr>
              <w:jc w:val="center"/>
              <w:rPr>
                <w:rFonts w:eastAsia="Calibri"/>
              </w:rPr>
            </w:pPr>
            <w:r w:rsidRPr="005D4F27">
              <w:rPr>
                <w:rFonts w:eastAsia="Calibri"/>
              </w:rPr>
              <w:t>200</w:t>
            </w:r>
          </w:p>
        </w:tc>
        <w:tc>
          <w:tcPr>
            <w:tcW w:w="2268" w:type="dxa"/>
            <w:tcBorders>
              <w:left w:val="single" w:sz="12" w:space="0" w:color="auto"/>
              <w:bottom w:val="single" w:sz="4" w:space="0" w:color="auto"/>
            </w:tcBorders>
            <w:vAlign w:val="center"/>
          </w:tcPr>
          <w:p w14:paraId="669539A8" w14:textId="77777777" w:rsidR="00D16E21" w:rsidRPr="005D4F27" w:rsidRDefault="00D16E21" w:rsidP="009030B5">
            <w:pPr>
              <w:jc w:val="center"/>
              <w:rPr>
                <w:rFonts w:eastAsia="Calibri"/>
              </w:rPr>
            </w:pPr>
            <w:r w:rsidRPr="005D4F27">
              <w:rPr>
                <w:rFonts w:eastAsia="Calibri"/>
              </w:rPr>
              <w:t>20</w:t>
            </w:r>
          </w:p>
        </w:tc>
        <w:tc>
          <w:tcPr>
            <w:tcW w:w="1984" w:type="dxa"/>
            <w:tcBorders>
              <w:bottom w:val="single" w:sz="4" w:space="0" w:color="auto"/>
              <w:right w:val="single" w:sz="12" w:space="0" w:color="auto"/>
            </w:tcBorders>
            <w:vAlign w:val="center"/>
          </w:tcPr>
          <w:p w14:paraId="05D1D679" w14:textId="77777777" w:rsidR="00D16E21" w:rsidRPr="005D4F27" w:rsidRDefault="00D16E21" w:rsidP="009030B5">
            <w:pPr>
              <w:jc w:val="center"/>
              <w:rPr>
                <w:rFonts w:eastAsia="Calibri"/>
              </w:rPr>
            </w:pPr>
            <w:r w:rsidRPr="005D4F27">
              <w:rPr>
                <w:rFonts w:eastAsia="Calibri"/>
              </w:rPr>
              <w:t>35</w:t>
            </w:r>
          </w:p>
        </w:tc>
      </w:tr>
    </w:tbl>
    <w:p w14:paraId="68192721" w14:textId="27FF1BEB" w:rsidR="009030B5" w:rsidRPr="009030B5" w:rsidRDefault="009030B5" w:rsidP="009030B5">
      <w:pPr>
        <w:pStyle w:val="Text"/>
      </w:pPr>
    </w:p>
    <w:p w14:paraId="40CA574C" w14:textId="77777777" w:rsidR="00D16E21" w:rsidRDefault="00D16E21" w:rsidP="00D16E21">
      <w:pPr>
        <w:sectPr w:rsidR="00D16E21" w:rsidSect="007947FE">
          <w:pgSz w:w="11907" w:h="16839"/>
          <w:pgMar w:top="1134" w:right="1417" w:bottom="1134" w:left="1701" w:header="709" w:footer="709" w:gutter="0"/>
          <w:cols w:space="708"/>
          <w:docGrid w:linePitch="360"/>
        </w:sectPr>
      </w:pPr>
    </w:p>
    <w:p w14:paraId="396595D5" w14:textId="191B20E9" w:rsidR="00D16E21" w:rsidRPr="00D16E21" w:rsidRDefault="00D16E21" w:rsidP="00D16E21">
      <w:pPr>
        <w:pStyle w:val="AnlageBezeichnernummeriert"/>
      </w:pPr>
    </w:p>
    <w:p w14:paraId="43394BDB" w14:textId="56375C1A" w:rsidR="00D16E21" w:rsidRPr="008D0377" w:rsidRDefault="00D16E21" w:rsidP="00D16E21">
      <w:pPr>
        <w:pStyle w:val="AnlageVerweis"/>
      </w:pPr>
      <w:r w:rsidRPr="008D0377">
        <w:t>(zu § 10 Absatz 4, § 12 Absatz 3, § 15 Absatz 1 Satz 1 und Absatz 2, § 24 Absatz 4 Nummer 3, 4 und 5, Absatz 5 und 6 Nummer 1 und 2, Absatz 7 Nummer 2 und 3, Absatz 9 Nummer 2 und Absatz 10 Nummer 2)</w:t>
      </w:r>
    </w:p>
    <w:p w14:paraId="0C7FC6B8" w14:textId="7F4F5F8A" w:rsidR="00D16E21" w:rsidRPr="00D16E21" w:rsidRDefault="00D16E21" w:rsidP="00D16E21">
      <w:pPr>
        <w:pStyle w:val="Anlageberschrift"/>
      </w:pPr>
      <w:bookmarkStart w:id="90" w:name="_Toc64379984"/>
      <w:r>
        <w:t>Prüf- und Maßnahmenwert</w:t>
      </w:r>
      <w:bookmarkEnd w:id="90"/>
    </w:p>
    <w:p w14:paraId="59C09ACC" w14:textId="5089C529" w:rsidR="00D16E21" w:rsidRDefault="009030B5" w:rsidP="00D16E21">
      <w:pPr>
        <w:pStyle w:val="Text"/>
      </w:pPr>
      <w:r w:rsidRPr="009030B5">
        <w:t>Tabelle 1: Prüfwerte für anorganische Stoffe für den Wirkungspfad Boden-Gr</w:t>
      </w:r>
      <w:r>
        <w:t>undwasser am Ort der Probennahme</w:t>
      </w:r>
    </w:p>
    <w:p w14:paraId="3AC94F12" w14:textId="77777777" w:rsidR="009030B5" w:rsidRPr="005D4F27" w:rsidRDefault="009030B5" w:rsidP="009030B5">
      <w:pPr>
        <w:rPr>
          <w:rFonts w:eastAsia="Calibri"/>
          <w:b/>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119" w:type="dxa"/>
          <w:right w:w="119" w:type="dxa"/>
        </w:tblCellMar>
        <w:tblLook w:val="0000" w:firstRow="0" w:lastRow="0" w:firstColumn="0" w:lastColumn="0" w:noHBand="0" w:noVBand="0"/>
      </w:tblPr>
      <w:tblGrid>
        <w:gridCol w:w="2721"/>
        <w:gridCol w:w="2785"/>
        <w:gridCol w:w="2984"/>
      </w:tblGrid>
      <w:tr w:rsidR="009030B5" w:rsidRPr="005D4F27" w14:paraId="4EE60BB2" w14:textId="77777777" w:rsidTr="009030B5">
        <w:tc>
          <w:tcPr>
            <w:tcW w:w="2721" w:type="dxa"/>
            <w:tcBorders>
              <w:top w:val="single" w:sz="12" w:space="0" w:color="auto"/>
              <w:bottom w:val="single" w:sz="12" w:space="0" w:color="auto"/>
              <w:right w:val="single" w:sz="12" w:space="0" w:color="auto"/>
            </w:tcBorders>
            <w:shd w:val="clear" w:color="auto" w:fill="EEECE1"/>
          </w:tcPr>
          <w:p w14:paraId="57EB36D6" w14:textId="77777777" w:rsidR="009030B5" w:rsidRPr="005D4F27" w:rsidRDefault="009030B5" w:rsidP="009030B5">
            <w:pPr>
              <w:rPr>
                <w:rFonts w:eastAsia="Calibri"/>
                <w:b/>
              </w:rPr>
            </w:pPr>
            <w:r w:rsidRPr="005D4F27">
              <w:rPr>
                <w:rFonts w:eastAsia="Calibri"/>
                <w:b/>
              </w:rPr>
              <w:t>Stoff</w:t>
            </w:r>
          </w:p>
        </w:tc>
        <w:tc>
          <w:tcPr>
            <w:tcW w:w="2785" w:type="dxa"/>
            <w:tcBorders>
              <w:top w:val="single" w:sz="12" w:space="0" w:color="auto"/>
              <w:left w:val="single" w:sz="12" w:space="0" w:color="auto"/>
              <w:bottom w:val="single" w:sz="12" w:space="0" w:color="auto"/>
            </w:tcBorders>
            <w:shd w:val="clear" w:color="auto" w:fill="EEECE1"/>
          </w:tcPr>
          <w:p w14:paraId="75A38CA6" w14:textId="77777777" w:rsidR="009030B5" w:rsidRPr="005D4F27" w:rsidRDefault="009030B5" w:rsidP="009030B5">
            <w:pPr>
              <w:jc w:val="center"/>
              <w:rPr>
                <w:rFonts w:eastAsia="Calibri"/>
                <w:b/>
              </w:rPr>
            </w:pPr>
            <w:r w:rsidRPr="005D4F27">
              <w:rPr>
                <w:rFonts w:eastAsia="Calibri"/>
                <w:b/>
              </w:rPr>
              <w:t xml:space="preserve">Prüfwert bei </w:t>
            </w:r>
          </w:p>
          <w:p w14:paraId="1E57C580" w14:textId="77777777" w:rsidR="009030B5" w:rsidRPr="005D4F27" w:rsidRDefault="009030B5" w:rsidP="009030B5">
            <w:pPr>
              <w:jc w:val="center"/>
              <w:rPr>
                <w:rFonts w:eastAsia="Calibri"/>
                <w:b/>
              </w:rPr>
            </w:pPr>
            <w:r w:rsidRPr="005D4F27">
              <w:rPr>
                <w:rFonts w:eastAsia="Calibri"/>
                <w:b/>
              </w:rPr>
              <w:t>TOC-Gehalt &lt; 0,5%</w:t>
            </w:r>
          </w:p>
        </w:tc>
        <w:tc>
          <w:tcPr>
            <w:tcW w:w="2984" w:type="dxa"/>
            <w:tcBorders>
              <w:top w:val="single" w:sz="12" w:space="0" w:color="auto"/>
              <w:bottom w:val="single" w:sz="12" w:space="0" w:color="auto"/>
            </w:tcBorders>
            <w:shd w:val="clear" w:color="auto" w:fill="EEECE1"/>
          </w:tcPr>
          <w:p w14:paraId="28408975" w14:textId="77777777" w:rsidR="009030B5" w:rsidRPr="005D4F27" w:rsidRDefault="009030B5" w:rsidP="009030B5">
            <w:pPr>
              <w:jc w:val="center"/>
              <w:rPr>
                <w:rFonts w:eastAsia="Calibri"/>
                <w:b/>
              </w:rPr>
            </w:pPr>
            <w:r w:rsidRPr="005D4F27">
              <w:rPr>
                <w:rFonts w:eastAsia="Calibri"/>
                <w:b/>
              </w:rPr>
              <w:t>Prüfwert bei</w:t>
            </w:r>
            <w:r w:rsidRPr="005D4F27">
              <w:rPr>
                <w:rFonts w:eastAsia="Calibri"/>
                <w:b/>
              </w:rPr>
              <w:br/>
              <w:t>TOC-Gehalt ≥ 0,5%</w:t>
            </w:r>
          </w:p>
        </w:tc>
      </w:tr>
      <w:tr w:rsidR="009030B5" w:rsidRPr="005D4F27" w14:paraId="7BF1257F" w14:textId="77777777" w:rsidTr="009030B5">
        <w:tc>
          <w:tcPr>
            <w:tcW w:w="2721" w:type="dxa"/>
            <w:tcBorders>
              <w:top w:val="single" w:sz="12" w:space="0" w:color="auto"/>
              <w:bottom w:val="single" w:sz="12" w:space="0" w:color="auto"/>
              <w:right w:val="single" w:sz="12" w:space="0" w:color="auto"/>
            </w:tcBorders>
            <w:shd w:val="clear" w:color="auto" w:fill="FFFFFF"/>
          </w:tcPr>
          <w:p w14:paraId="6A5B7C5C" w14:textId="77777777" w:rsidR="009030B5" w:rsidRPr="005D4F27" w:rsidRDefault="009030B5" w:rsidP="009030B5">
            <w:pPr>
              <w:rPr>
                <w:rFonts w:eastAsia="Calibri"/>
              </w:rPr>
            </w:pPr>
          </w:p>
        </w:tc>
        <w:tc>
          <w:tcPr>
            <w:tcW w:w="5769" w:type="dxa"/>
            <w:gridSpan w:val="2"/>
            <w:tcBorders>
              <w:top w:val="single" w:sz="12" w:space="0" w:color="auto"/>
              <w:left w:val="single" w:sz="12" w:space="0" w:color="auto"/>
              <w:bottom w:val="single" w:sz="12" w:space="0" w:color="auto"/>
            </w:tcBorders>
            <w:shd w:val="clear" w:color="auto" w:fill="FFFFFF"/>
          </w:tcPr>
          <w:p w14:paraId="52BEC750" w14:textId="77777777" w:rsidR="009030B5" w:rsidRPr="005D4F27" w:rsidRDefault="009030B5" w:rsidP="009030B5">
            <w:pPr>
              <w:jc w:val="center"/>
              <w:rPr>
                <w:rFonts w:eastAsia="Calibri"/>
              </w:rPr>
            </w:pPr>
            <w:r w:rsidRPr="005D4F27">
              <w:rPr>
                <w:rFonts w:eastAsia="Calibri"/>
              </w:rPr>
              <w:t>[µg/l]</w:t>
            </w:r>
          </w:p>
        </w:tc>
      </w:tr>
      <w:tr w:rsidR="009030B5" w:rsidRPr="005D4F27" w14:paraId="47ED02A7" w14:textId="77777777" w:rsidTr="009030B5">
        <w:trPr>
          <w:trHeight w:val="227"/>
        </w:trPr>
        <w:tc>
          <w:tcPr>
            <w:tcW w:w="2721" w:type="dxa"/>
            <w:tcBorders>
              <w:top w:val="single" w:sz="12" w:space="0" w:color="auto"/>
              <w:right w:val="single" w:sz="12" w:space="0" w:color="auto"/>
            </w:tcBorders>
            <w:vAlign w:val="center"/>
          </w:tcPr>
          <w:p w14:paraId="6D386661" w14:textId="77777777" w:rsidR="009030B5" w:rsidRPr="005D4F27" w:rsidRDefault="009030B5" w:rsidP="009030B5">
            <w:pPr>
              <w:rPr>
                <w:rFonts w:eastAsia="Calibri"/>
              </w:rPr>
            </w:pPr>
            <w:r w:rsidRPr="005D4F27">
              <w:rPr>
                <w:rFonts w:eastAsia="Calibri"/>
              </w:rPr>
              <w:t>Antimon</w:t>
            </w:r>
          </w:p>
        </w:tc>
        <w:tc>
          <w:tcPr>
            <w:tcW w:w="2785" w:type="dxa"/>
            <w:tcBorders>
              <w:top w:val="single" w:sz="12" w:space="0" w:color="auto"/>
              <w:left w:val="single" w:sz="12" w:space="0" w:color="auto"/>
            </w:tcBorders>
            <w:vAlign w:val="center"/>
          </w:tcPr>
          <w:p w14:paraId="27BC9126" w14:textId="77777777" w:rsidR="009030B5" w:rsidRPr="005D4F27" w:rsidRDefault="009030B5" w:rsidP="009030B5">
            <w:pPr>
              <w:jc w:val="center"/>
              <w:rPr>
                <w:rFonts w:eastAsia="Calibri"/>
              </w:rPr>
            </w:pPr>
            <w:r w:rsidRPr="005D4F27">
              <w:rPr>
                <w:rFonts w:eastAsia="Calibri"/>
              </w:rPr>
              <w:t>10</w:t>
            </w:r>
          </w:p>
        </w:tc>
        <w:tc>
          <w:tcPr>
            <w:tcW w:w="2984" w:type="dxa"/>
            <w:tcBorders>
              <w:top w:val="single" w:sz="12" w:space="0" w:color="auto"/>
            </w:tcBorders>
            <w:vAlign w:val="center"/>
          </w:tcPr>
          <w:p w14:paraId="081926AA" w14:textId="77777777" w:rsidR="009030B5" w:rsidRPr="005D4F27" w:rsidRDefault="009030B5" w:rsidP="009030B5">
            <w:pPr>
              <w:jc w:val="center"/>
              <w:rPr>
                <w:rFonts w:eastAsia="Calibri"/>
              </w:rPr>
            </w:pPr>
            <w:r w:rsidRPr="005D4F27">
              <w:rPr>
                <w:rFonts w:eastAsia="Calibri"/>
              </w:rPr>
              <w:t>10</w:t>
            </w:r>
          </w:p>
        </w:tc>
      </w:tr>
      <w:tr w:rsidR="009030B5" w:rsidRPr="005D4F27" w14:paraId="6795D836" w14:textId="77777777" w:rsidTr="009030B5">
        <w:tc>
          <w:tcPr>
            <w:tcW w:w="2721" w:type="dxa"/>
            <w:tcBorders>
              <w:right w:val="single" w:sz="12" w:space="0" w:color="auto"/>
            </w:tcBorders>
            <w:vAlign w:val="center"/>
          </w:tcPr>
          <w:p w14:paraId="6A8B91AA" w14:textId="77777777" w:rsidR="009030B5" w:rsidRPr="005D4F27" w:rsidRDefault="009030B5" w:rsidP="009030B5">
            <w:pPr>
              <w:rPr>
                <w:rFonts w:eastAsia="Calibri"/>
              </w:rPr>
            </w:pPr>
            <w:r w:rsidRPr="005D4F27">
              <w:rPr>
                <w:rFonts w:eastAsia="Calibri"/>
              </w:rPr>
              <w:t>Arsen</w:t>
            </w:r>
          </w:p>
        </w:tc>
        <w:tc>
          <w:tcPr>
            <w:tcW w:w="2785" w:type="dxa"/>
            <w:tcBorders>
              <w:left w:val="single" w:sz="12" w:space="0" w:color="auto"/>
            </w:tcBorders>
            <w:vAlign w:val="center"/>
          </w:tcPr>
          <w:p w14:paraId="07600E2A" w14:textId="77777777" w:rsidR="009030B5" w:rsidRPr="005D4F27" w:rsidRDefault="009030B5" w:rsidP="009030B5">
            <w:pPr>
              <w:jc w:val="center"/>
              <w:rPr>
                <w:rFonts w:eastAsia="Calibri"/>
              </w:rPr>
            </w:pPr>
            <w:r w:rsidRPr="005D4F27">
              <w:rPr>
                <w:rFonts w:eastAsia="Calibri"/>
              </w:rPr>
              <w:t>15</w:t>
            </w:r>
          </w:p>
        </w:tc>
        <w:tc>
          <w:tcPr>
            <w:tcW w:w="2984" w:type="dxa"/>
            <w:vAlign w:val="center"/>
          </w:tcPr>
          <w:p w14:paraId="0B0C07D9" w14:textId="77777777" w:rsidR="009030B5" w:rsidRPr="005D4F27" w:rsidRDefault="009030B5" w:rsidP="009030B5">
            <w:pPr>
              <w:jc w:val="center"/>
              <w:rPr>
                <w:rFonts w:eastAsia="Calibri"/>
              </w:rPr>
            </w:pPr>
            <w:r w:rsidRPr="005D4F27">
              <w:rPr>
                <w:rFonts w:eastAsia="Calibri"/>
              </w:rPr>
              <w:t>25</w:t>
            </w:r>
          </w:p>
        </w:tc>
      </w:tr>
      <w:tr w:rsidR="009030B5" w:rsidRPr="005D4F27" w14:paraId="25D84325" w14:textId="77777777" w:rsidTr="009030B5">
        <w:tc>
          <w:tcPr>
            <w:tcW w:w="2721" w:type="dxa"/>
            <w:tcBorders>
              <w:right w:val="single" w:sz="12" w:space="0" w:color="auto"/>
            </w:tcBorders>
            <w:vAlign w:val="center"/>
          </w:tcPr>
          <w:p w14:paraId="7A947B49" w14:textId="77777777" w:rsidR="009030B5" w:rsidRPr="005D4F27" w:rsidRDefault="009030B5" w:rsidP="009030B5">
            <w:pPr>
              <w:rPr>
                <w:rFonts w:eastAsia="Calibri"/>
              </w:rPr>
            </w:pPr>
            <w:r w:rsidRPr="005D4F27">
              <w:rPr>
                <w:rFonts w:eastAsia="Calibri"/>
              </w:rPr>
              <w:t>Blei</w:t>
            </w:r>
          </w:p>
        </w:tc>
        <w:tc>
          <w:tcPr>
            <w:tcW w:w="2785" w:type="dxa"/>
            <w:tcBorders>
              <w:left w:val="single" w:sz="12" w:space="0" w:color="auto"/>
            </w:tcBorders>
            <w:vAlign w:val="center"/>
          </w:tcPr>
          <w:p w14:paraId="2D4AA066" w14:textId="77777777" w:rsidR="009030B5" w:rsidRPr="005D4F27" w:rsidRDefault="009030B5" w:rsidP="009030B5">
            <w:pPr>
              <w:jc w:val="center"/>
              <w:rPr>
                <w:rFonts w:eastAsia="Calibri"/>
              </w:rPr>
            </w:pPr>
            <w:r w:rsidRPr="005D4F27">
              <w:rPr>
                <w:rFonts w:eastAsia="Calibri"/>
              </w:rPr>
              <w:t>45</w:t>
            </w:r>
          </w:p>
        </w:tc>
        <w:tc>
          <w:tcPr>
            <w:tcW w:w="2984" w:type="dxa"/>
            <w:vAlign w:val="center"/>
          </w:tcPr>
          <w:p w14:paraId="22F82CB8" w14:textId="77777777" w:rsidR="009030B5" w:rsidRPr="005D4F27" w:rsidRDefault="009030B5" w:rsidP="009030B5">
            <w:pPr>
              <w:jc w:val="center"/>
              <w:rPr>
                <w:rFonts w:eastAsia="Calibri"/>
              </w:rPr>
            </w:pPr>
            <w:r w:rsidRPr="005D4F27">
              <w:rPr>
                <w:rFonts w:eastAsia="Calibri"/>
              </w:rPr>
              <w:t>85</w:t>
            </w:r>
          </w:p>
        </w:tc>
      </w:tr>
      <w:tr w:rsidR="009030B5" w:rsidRPr="005D4F27" w14:paraId="74BAB2B3" w14:textId="77777777" w:rsidTr="009030B5">
        <w:tc>
          <w:tcPr>
            <w:tcW w:w="2721" w:type="dxa"/>
            <w:tcBorders>
              <w:right w:val="single" w:sz="12" w:space="0" w:color="auto"/>
            </w:tcBorders>
            <w:vAlign w:val="center"/>
          </w:tcPr>
          <w:p w14:paraId="7494B409" w14:textId="77777777" w:rsidR="009030B5" w:rsidRPr="005D4F27" w:rsidRDefault="009030B5" w:rsidP="009030B5">
            <w:pPr>
              <w:rPr>
                <w:rFonts w:eastAsia="Calibri"/>
              </w:rPr>
            </w:pPr>
            <w:r w:rsidRPr="005D4F27">
              <w:rPr>
                <w:rFonts w:eastAsia="Calibri"/>
              </w:rPr>
              <w:t>Bor</w:t>
            </w:r>
          </w:p>
        </w:tc>
        <w:tc>
          <w:tcPr>
            <w:tcW w:w="2785" w:type="dxa"/>
            <w:tcBorders>
              <w:left w:val="single" w:sz="12" w:space="0" w:color="auto"/>
            </w:tcBorders>
            <w:vAlign w:val="center"/>
          </w:tcPr>
          <w:p w14:paraId="07CBB60F" w14:textId="77777777" w:rsidR="009030B5" w:rsidRPr="005D4F27" w:rsidRDefault="009030B5" w:rsidP="009030B5">
            <w:pPr>
              <w:jc w:val="center"/>
              <w:rPr>
                <w:rFonts w:eastAsia="Calibri"/>
              </w:rPr>
            </w:pPr>
            <w:r w:rsidRPr="005D4F27">
              <w:rPr>
                <w:rFonts w:eastAsia="Calibri"/>
              </w:rPr>
              <w:t>1 000</w:t>
            </w:r>
          </w:p>
        </w:tc>
        <w:tc>
          <w:tcPr>
            <w:tcW w:w="2984" w:type="dxa"/>
            <w:vAlign w:val="center"/>
          </w:tcPr>
          <w:p w14:paraId="2D14096F" w14:textId="77777777" w:rsidR="009030B5" w:rsidRPr="005D4F27" w:rsidRDefault="009030B5" w:rsidP="009030B5">
            <w:pPr>
              <w:jc w:val="center"/>
              <w:rPr>
                <w:rFonts w:eastAsia="Calibri"/>
              </w:rPr>
            </w:pPr>
            <w:r w:rsidRPr="005D4F27">
              <w:rPr>
                <w:rFonts w:eastAsia="Calibri"/>
              </w:rPr>
              <w:t>1 000</w:t>
            </w:r>
          </w:p>
        </w:tc>
      </w:tr>
      <w:tr w:rsidR="009030B5" w:rsidRPr="005D4F27" w14:paraId="29C7F3AA" w14:textId="77777777" w:rsidTr="009030B5">
        <w:tc>
          <w:tcPr>
            <w:tcW w:w="2721" w:type="dxa"/>
            <w:tcBorders>
              <w:right w:val="single" w:sz="12" w:space="0" w:color="auto"/>
            </w:tcBorders>
            <w:vAlign w:val="center"/>
          </w:tcPr>
          <w:p w14:paraId="396672E4" w14:textId="77777777" w:rsidR="009030B5" w:rsidRPr="005D4F27" w:rsidRDefault="009030B5" w:rsidP="009030B5">
            <w:pPr>
              <w:rPr>
                <w:rFonts w:eastAsia="Calibri"/>
              </w:rPr>
            </w:pPr>
            <w:r w:rsidRPr="005D4F27">
              <w:rPr>
                <w:rFonts w:eastAsia="Calibri"/>
              </w:rPr>
              <w:t>Cadmium</w:t>
            </w:r>
          </w:p>
        </w:tc>
        <w:tc>
          <w:tcPr>
            <w:tcW w:w="2785" w:type="dxa"/>
            <w:tcBorders>
              <w:left w:val="single" w:sz="12" w:space="0" w:color="auto"/>
            </w:tcBorders>
            <w:vAlign w:val="center"/>
          </w:tcPr>
          <w:p w14:paraId="2A526407" w14:textId="77777777" w:rsidR="009030B5" w:rsidRPr="005D4F27" w:rsidRDefault="009030B5" w:rsidP="009030B5">
            <w:pPr>
              <w:jc w:val="center"/>
              <w:rPr>
                <w:rFonts w:eastAsia="Calibri"/>
              </w:rPr>
            </w:pPr>
            <w:r w:rsidRPr="005D4F27">
              <w:rPr>
                <w:rFonts w:eastAsia="Calibri"/>
              </w:rPr>
              <w:t>4</w:t>
            </w:r>
          </w:p>
        </w:tc>
        <w:tc>
          <w:tcPr>
            <w:tcW w:w="2984" w:type="dxa"/>
            <w:vAlign w:val="center"/>
          </w:tcPr>
          <w:p w14:paraId="35D43A28" w14:textId="77777777" w:rsidR="009030B5" w:rsidRPr="005D4F27" w:rsidRDefault="009030B5" w:rsidP="009030B5">
            <w:pPr>
              <w:jc w:val="center"/>
              <w:rPr>
                <w:rFonts w:eastAsia="Calibri"/>
              </w:rPr>
            </w:pPr>
            <w:r w:rsidRPr="005D4F27">
              <w:rPr>
                <w:rFonts w:eastAsia="Calibri"/>
              </w:rPr>
              <w:t>7,5</w:t>
            </w:r>
          </w:p>
        </w:tc>
      </w:tr>
      <w:tr w:rsidR="009030B5" w:rsidRPr="005D4F27" w14:paraId="452210E2" w14:textId="77777777" w:rsidTr="009030B5">
        <w:tc>
          <w:tcPr>
            <w:tcW w:w="2721" w:type="dxa"/>
            <w:tcBorders>
              <w:right w:val="single" w:sz="12" w:space="0" w:color="auto"/>
            </w:tcBorders>
            <w:vAlign w:val="center"/>
          </w:tcPr>
          <w:p w14:paraId="76DB8025" w14:textId="77777777" w:rsidR="009030B5" w:rsidRPr="005D4F27" w:rsidRDefault="009030B5" w:rsidP="009030B5">
            <w:pPr>
              <w:rPr>
                <w:rFonts w:eastAsia="Calibri"/>
              </w:rPr>
            </w:pPr>
            <w:r w:rsidRPr="005D4F27">
              <w:rPr>
                <w:rFonts w:eastAsia="Calibri"/>
              </w:rPr>
              <w:t xml:space="preserve">Chrom </w:t>
            </w:r>
            <w:r w:rsidRPr="005D4F27">
              <w:rPr>
                <w:rFonts w:eastAsia="Calibri"/>
                <w:vertAlign w:val="subscript"/>
              </w:rPr>
              <w:t>gesamt</w:t>
            </w:r>
          </w:p>
        </w:tc>
        <w:tc>
          <w:tcPr>
            <w:tcW w:w="2785" w:type="dxa"/>
            <w:tcBorders>
              <w:left w:val="single" w:sz="12" w:space="0" w:color="auto"/>
            </w:tcBorders>
            <w:vAlign w:val="center"/>
          </w:tcPr>
          <w:p w14:paraId="5DCFFEE8" w14:textId="77777777" w:rsidR="009030B5" w:rsidRPr="005D4F27" w:rsidRDefault="009030B5" w:rsidP="009030B5">
            <w:pPr>
              <w:jc w:val="center"/>
              <w:rPr>
                <w:rFonts w:eastAsia="Calibri"/>
              </w:rPr>
            </w:pPr>
            <w:r w:rsidRPr="005D4F27">
              <w:rPr>
                <w:rFonts w:eastAsia="Calibri"/>
              </w:rPr>
              <w:t>50</w:t>
            </w:r>
          </w:p>
        </w:tc>
        <w:tc>
          <w:tcPr>
            <w:tcW w:w="2984" w:type="dxa"/>
            <w:vAlign w:val="center"/>
          </w:tcPr>
          <w:p w14:paraId="0F72E0AD" w14:textId="77777777" w:rsidR="009030B5" w:rsidRPr="005D4F27" w:rsidRDefault="009030B5" w:rsidP="009030B5">
            <w:pPr>
              <w:jc w:val="center"/>
              <w:rPr>
                <w:rFonts w:eastAsia="Calibri"/>
              </w:rPr>
            </w:pPr>
            <w:r w:rsidRPr="005D4F27">
              <w:rPr>
                <w:rFonts w:eastAsia="Calibri"/>
              </w:rPr>
              <w:t>50</w:t>
            </w:r>
          </w:p>
        </w:tc>
      </w:tr>
      <w:tr w:rsidR="009030B5" w:rsidRPr="005D4F27" w14:paraId="73F1E401" w14:textId="77777777" w:rsidTr="009030B5">
        <w:tc>
          <w:tcPr>
            <w:tcW w:w="2721" w:type="dxa"/>
            <w:tcBorders>
              <w:right w:val="single" w:sz="12" w:space="0" w:color="auto"/>
            </w:tcBorders>
            <w:vAlign w:val="center"/>
          </w:tcPr>
          <w:p w14:paraId="46EE853E" w14:textId="77777777" w:rsidR="009030B5" w:rsidRPr="005D4F27" w:rsidRDefault="009030B5" w:rsidP="009030B5">
            <w:pPr>
              <w:rPr>
                <w:rFonts w:eastAsia="Calibri"/>
              </w:rPr>
            </w:pPr>
            <w:r w:rsidRPr="005D4F27">
              <w:rPr>
                <w:rFonts w:eastAsia="Calibri"/>
              </w:rPr>
              <w:t xml:space="preserve">Chrom </w:t>
            </w:r>
            <w:r w:rsidRPr="005D4F27">
              <w:rPr>
                <w:rFonts w:eastAsia="Calibri"/>
                <w:vertAlign w:val="subscript"/>
              </w:rPr>
              <w:t>VI</w:t>
            </w:r>
          </w:p>
        </w:tc>
        <w:tc>
          <w:tcPr>
            <w:tcW w:w="2785" w:type="dxa"/>
            <w:tcBorders>
              <w:left w:val="single" w:sz="12" w:space="0" w:color="auto"/>
            </w:tcBorders>
            <w:vAlign w:val="center"/>
          </w:tcPr>
          <w:p w14:paraId="477A7EE1" w14:textId="77777777" w:rsidR="009030B5" w:rsidRPr="005D4F27" w:rsidRDefault="009030B5" w:rsidP="009030B5">
            <w:pPr>
              <w:jc w:val="center"/>
              <w:rPr>
                <w:rFonts w:eastAsia="Calibri"/>
              </w:rPr>
            </w:pPr>
            <w:r w:rsidRPr="005D4F27">
              <w:rPr>
                <w:rFonts w:eastAsia="Calibri"/>
              </w:rPr>
              <w:t>8</w:t>
            </w:r>
          </w:p>
        </w:tc>
        <w:tc>
          <w:tcPr>
            <w:tcW w:w="2984" w:type="dxa"/>
            <w:vAlign w:val="center"/>
          </w:tcPr>
          <w:p w14:paraId="41625208" w14:textId="77777777" w:rsidR="009030B5" w:rsidRPr="005D4F27" w:rsidRDefault="009030B5" w:rsidP="009030B5">
            <w:pPr>
              <w:jc w:val="center"/>
              <w:rPr>
                <w:rFonts w:eastAsia="Calibri"/>
              </w:rPr>
            </w:pPr>
            <w:r w:rsidRPr="005D4F27">
              <w:rPr>
                <w:rFonts w:eastAsia="Calibri"/>
              </w:rPr>
              <w:t>8</w:t>
            </w:r>
          </w:p>
        </w:tc>
      </w:tr>
      <w:tr w:rsidR="009030B5" w:rsidRPr="005D4F27" w14:paraId="3906CBD6" w14:textId="77777777" w:rsidTr="009030B5">
        <w:tc>
          <w:tcPr>
            <w:tcW w:w="2721" w:type="dxa"/>
            <w:tcBorders>
              <w:right w:val="single" w:sz="12" w:space="0" w:color="auto"/>
            </w:tcBorders>
            <w:vAlign w:val="center"/>
          </w:tcPr>
          <w:p w14:paraId="21C4F82C" w14:textId="77777777" w:rsidR="009030B5" w:rsidRPr="005D4F27" w:rsidRDefault="009030B5" w:rsidP="009030B5">
            <w:pPr>
              <w:rPr>
                <w:rFonts w:eastAsia="Calibri"/>
              </w:rPr>
            </w:pPr>
            <w:r w:rsidRPr="005D4F27">
              <w:rPr>
                <w:rFonts w:eastAsia="Calibri"/>
              </w:rPr>
              <w:t>Kobalt</w:t>
            </w:r>
          </w:p>
        </w:tc>
        <w:tc>
          <w:tcPr>
            <w:tcW w:w="2785" w:type="dxa"/>
            <w:tcBorders>
              <w:left w:val="single" w:sz="12" w:space="0" w:color="auto"/>
            </w:tcBorders>
            <w:vAlign w:val="center"/>
          </w:tcPr>
          <w:p w14:paraId="1C716290" w14:textId="77777777" w:rsidR="009030B5" w:rsidRPr="005D4F27" w:rsidRDefault="009030B5" w:rsidP="009030B5">
            <w:pPr>
              <w:jc w:val="center"/>
              <w:rPr>
                <w:rFonts w:eastAsia="Calibri"/>
              </w:rPr>
            </w:pPr>
            <w:r w:rsidRPr="005D4F27">
              <w:rPr>
                <w:rFonts w:eastAsia="Calibri"/>
              </w:rPr>
              <w:t>50</w:t>
            </w:r>
          </w:p>
        </w:tc>
        <w:tc>
          <w:tcPr>
            <w:tcW w:w="2984" w:type="dxa"/>
            <w:vAlign w:val="center"/>
          </w:tcPr>
          <w:p w14:paraId="44DEF917" w14:textId="77777777" w:rsidR="009030B5" w:rsidRPr="005D4F27" w:rsidRDefault="009030B5" w:rsidP="009030B5">
            <w:pPr>
              <w:jc w:val="center"/>
              <w:rPr>
                <w:rFonts w:eastAsia="Calibri"/>
              </w:rPr>
            </w:pPr>
            <w:r w:rsidRPr="005D4F27">
              <w:rPr>
                <w:rFonts w:eastAsia="Calibri"/>
              </w:rPr>
              <w:t>125</w:t>
            </w:r>
          </w:p>
        </w:tc>
      </w:tr>
      <w:tr w:rsidR="009030B5" w:rsidRPr="005D4F27" w14:paraId="030A9CEB" w14:textId="77777777" w:rsidTr="009030B5">
        <w:tc>
          <w:tcPr>
            <w:tcW w:w="2721" w:type="dxa"/>
            <w:tcBorders>
              <w:right w:val="single" w:sz="12" w:space="0" w:color="auto"/>
            </w:tcBorders>
            <w:vAlign w:val="center"/>
          </w:tcPr>
          <w:p w14:paraId="54C69A78" w14:textId="77777777" w:rsidR="009030B5" w:rsidRPr="005D4F27" w:rsidRDefault="009030B5" w:rsidP="009030B5">
            <w:pPr>
              <w:rPr>
                <w:rFonts w:eastAsia="Calibri"/>
              </w:rPr>
            </w:pPr>
            <w:r w:rsidRPr="005D4F27">
              <w:rPr>
                <w:rFonts w:eastAsia="Calibri"/>
              </w:rPr>
              <w:t>Kupfer</w:t>
            </w:r>
          </w:p>
        </w:tc>
        <w:tc>
          <w:tcPr>
            <w:tcW w:w="2785" w:type="dxa"/>
            <w:tcBorders>
              <w:left w:val="single" w:sz="12" w:space="0" w:color="auto"/>
            </w:tcBorders>
            <w:vAlign w:val="center"/>
          </w:tcPr>
          <w:p w14:paraId="6220E39B" w14:textId="77777777" w:rsidR="009030B5" w:rsidRPr="005D4F27" w:rsidRDefault="009030B5" w:rsidP="009030B5">
            <w:pPr>
              <w:jc w:val="center"/>
              <w:rPr>
                <w:rFonts w:eastAsia="Calibri"/>
              </w:rPr>
            </w:pPr>
            <w:r w:rsidRPr="005D4F27">
              <w:rPr>
                <w:rFonts w:eastAsia="Calibri"/>
              </w:rPr>
              <w:t>50</w:t>
            </w:r>
          </w:p>
        </w:tc>
        <w:tc>
          <w:tcPr>
            <w:tcW w:w="2984" w:type="dxa"/>
            <w:vAlign w:val="center"/>
          </w:tcPr>
          <w:p w14:paraId="22C88E5F" w14:textId="77777777" w:rsidR="009030B5" w:rsidRPr="005D4F27" w:rsidRDefault="009030B5" w:rsidP="009030B5">
            <w:pPr>
              <w:jc w:val="center"/>
              <w:rPr>
                <w:rFonts w:eastAsia="Calibri"/>
              </w:rPr>
            </w:pPr>
            <w:r w:rsidRPr="005D4F27">
              <w:rPr>
                <w:rFonts w:eastAsia="Calibri"/>
              </w:rPr>
              <w:t>80</w:t>
            </w:r>
          </w:p>
        </w:tc>
      </w:tr>
      <w:tr w:rsidR="009030B5" w:rsidRPr="005D4F27" w14:paraId="3DA86475" w14:textId="77777777" w:rsidTr="009030B5">
        <w:tc>
          <w:tcPr>
            <w:tcW w:w="2721" w:type="dxa"/>
            <w:tcBorders>
              <w:right w:val="single" w:sz="12" w:space="0" w:color="auto"/>
            </w:tcBorders>
            <w:vAlign w:val="center"/>
          </w:tcPr>
          <w:p w14:paraId="4932A502" w14:textId="77777777" w:rsidR="009030B5" w:rsidRPr="005D4F27" w:rsidRDefault="009030B5" w:rsidP="009030B5">
            <w:pPr>
              <w:rPr>
                <w:rFonts w:eastAsia="Calibri"/>
              </w:rPr>
            </w:pPr>
            <w:r w:rsidRPr="005D4F27">
              <w:rPr>
                <w:rFonts w:eastAsia="Calibri"/>
              </w:rPr>
              <w:t>Molybdän</w:t>
            </w:r>
          </w:p>
        </w:tc>
        <w:tc>
          <w:tcPr>
            <w:tcW w:w="2785" w:type="dxa"/>
            <w:tcBorders>
              <w:left w:val="single" w:sz="12" w:space="0" w:color="auto"/>
            </w:tcBorders>
            <w:vAlign w:val="center"/>
          </w:tcPr>
          <w:p w14:paraId="36F11C11" w14:textId="77777777" w:rsidR="009030B5" w:rsidRPr="005D4F27" w:rsidRDefault="009030B5" w:rsidP="009030B5">
            <w:pPr>
              <w:jc w:val="center"/>
              <w:rPr>
                <w:rFonts w:eastAsia="Calibri"/>
              </w:rPr>
            </w:pPr>
            <w:r w:rsidRPr="005D4F27">
              <w:rPr>
                <w:rFonts w:eastAsia="Calibri"/>
              </w:rPr>
              <w:t>70</w:t>
            </w:r>
          </w:p>
        </w:tc>
        <w:tc>
          <w:tcPr>
            <w:tcW w:w="2984" w:type="dxa"/>
            <w:vAlign w:val="center"/>
          </w:tcPr>
          <w:p w14:paraId="5ACE7697" w14:textId="77777777" w:rsidR="009030B5" w:rsidRPr="005D4F27" w:rsidRDefault="009030B5" w:rsidP="009030B5">
            <w:pPr>
              <w:jc w:val="center"/>
              <w:rPr>
                <w:rFonts w:eastAsia="Calibri"/>
              </w:rPr>
            </w:pPr>
            <w:r w:rsidRPr="005D4F27">
              <w:rPr>
                <w:rFonts w:eastAsia="Calibri"/>
              </w:rPr>
              <w:t>70</w:t>
            </w:r>
          </w:p>
        </w:tc>
      </w:tr>
      <w:tr w:rsidR="009030B5" w:rsidRPr="005D4F27" w14:paraId="62587956" w14:textId="77777777" w:rsidTr="009030B5">
        <w:tc>
          <w:tcPr>
            <w:tcW w:w="2721" w:type="dxa"/>
            <w:tcBorders>
              <w:right w:val="single" w:sz="12" w:space="0" w:color="auto"/>
            </w:tcBorders>
            <w:vAlign w:val="center"/>
          </w:tcPr>
          <w:p w14:paraId="0022C209" w14:textId="77777777" w:rsidR="009030B5" w:rsidRPr="005D4F27" w:rsidRDefault="009030B5" w:rsidP="009030B5">
            <w:pPr>
              <w:rPr>
                <w:rFonts w:eastAsia="Calibri"/>
              </w:rPr>
            </w:pPr>
            <w:r w:rsidRPr="005D4F27">
              <w:rPr>
                <w:rFonts w:eastAsia="Calibri"/>
              </w:rPr>
              <w:t>Nickel</w:t>
            </w:r>
          </w:p>
        </w:tc>
        <w:tc>
          <w:tcPr>
            <w:tcW w:w="2785" w:type="dxa"/>
            <w:tcBorders>
              <w:left w:val="single" w:sz="12" w:space="0" w:color="auto"/>
            </w:tcBorders>
            <w:vAlign w:val="center"/>
          </w:tcPr>
          <w:p w14:paraId="507A8B77" w14:textId="77777777" w:rsidR="009030B5" w:rsidRPr="005D4F27" w:rsidRDefault="009030B5" w:rsidP="009030B5">
            <w:pPr>
              <w:jc w:val="center"/>
              <w:rPr>
                <w:rFonts w:eastAsia="Calibri"/>
              </w:rPr>
            </w:pPr>
            <w:r w:rsidRPr="005D4F27">
              <w:rPr>
                <w:rFonts w:eastAsia="Calibri"/>
              </w:rPr>
              <w:t>40</w:t>
            </w:r>
          </w:p>
        </w:tc>
        <w:tc>
          <w:tcPr>
            <w:tcW w:w="2984" w:type="dxa"/>
            <w:vAlign w:val="center"/>
          </w:tcPr>
          <w:p w14:paraId="084536EB" w14:textId="77777777" w:rsidR="009030B5" w:rsidRPr="005D4F27" w:rsidRDefault="009030B5" w:rsidP="009030B5">
            <w:pPr>
              <w:jc w:val="center"/>
              <w:rPr>
                <w:rFonts w:eastAsia="Calibri"/>
              </w:rPr>
            </w:pPr>
            <w:r w:rsidRPr="005D4F27">
              <w:rPr>
                <w:rFonts w:eastAsia="Calibri"/>
              </w:rPr>
              <w:t>60</w:t>
            </w:r>
          </w:p>
        </w:tc>
      </w:tr>
      <w:tr w:rsidR="009030B5" w:rsidRPr="005D4F27" w14:paraId="0D42F138" w14:textId="77777777" w:rsidTr="009030B5">
        <w:tc>
          <w:tcPr>
            <w:tcW w:w="2721" w:type="dxa"/>
            <w:tcBorders>
              <w:right w:val="single" w:sz="12" w:space="0" w:color="auto"/>
            </w:tcBorders>
            <w:vAlign w:val="center"/>
          </w:tcPr>
          <w:p w14:paraId="7733B945" w14:textId="77777777" w:rsidR="009030B5" w:rsidRPr="005D4F27" w:rsidRDefault="009030B5" w:rsidP="009030B5">
            <w:pPr>
              <w:rPr>
                <w:rFonts w:eastAsia="Calibri"/>
              </w:rPr>
            </w:pPr>
            <w:r w:rsidRPr="005D4F27">
              <w:rPr>
                <w:rFonts w:eastAsia="Calibri"/>
              </w:rPr>
              <w:t>Quecksilber</w:t>
            </w:r>
          </w:p>
        </w:tc>
        <w:tc>
          <w:tcPr>
            <w:tcW w:w="2785" w:type="dxa"/>
            <w:tcBorders>
              <w:left w:val="single" w:sz="12" w:space="0" w:color="auto"/>
            </w:tcBorders>
            <w:vAlign w:val="center"/>
          </w:tcPr>
          <w:p w14:paraId="165794E3" w14:textId="77777777" w:rsidR="009030B5" w:rsidRPr="005D4F27" w:rsidRDefault="009030B5" w:rsidP="009030B5">
            <w:pPr>
              <w:jc w:val="center"/>
              <w:rPr>
                <w:rFonts w:eastAsia="Calibri"/>
              </w:rPr>
            </w:pPr>
            <w:r w:rsidRPr="005D4F27">
              <w:rPr>
                <w:rFonts w:eastAsia="Calibri"/>
              </w:rPr>
              <w:t>1</w:t>
            </w:r>
          </w:p>
        </w:tc>
        <w:tc>
          <w:tcPr>
            <w:tcW w:w="2984" w:type="dxa"/>
            <w:vAlign w:val="center"/>
          </w:tcPr>
          <w:p w14:paraId="38F79604" w14:textId="77777777" w:rsidR="009030B5" w:rsidRPr="005D4F27" w:rsidRDefault="009030B5" w:rsidP="009030B5">
            <w:pPr>
              <w:jc w:val="center"/>
              <w:rPr>
                <w:rFonts w:eastAsia="Calibri"/>
              </w:rPr>
            </w:pPr>
            <w:r w:rsidRPr="005D4F27">
              <w:rPr>
                <w:rFonts w:eastAsia="Calibri"/>
              </w:rPr>
              <w:t>1</w:t>
            </w:r>
          </w:p>
        </w:tc>
      </w:tr>
      <w:tr w:rsidR="009030B5" w:rsidRPr="005D4F27" w14:paraId="334FA28F" w14:textId="77777777" w:rsidTr="009030B5">
        <w:tc>
          <w:tcPr>
            <w:tcW w:w="2721" w:type="dxa"/>
            <w:tcBorders>
              <w:right w:val="single" w:sz="12" w:space="0" w:color="auto"/>
            </w:tcBorders>
            <w:vAlign w:val="center"/>
          </w:tcPr>
          <w:p w14:paraId="5C2CBC0C" w14:textId="77777777" w:rsidR="009030B5" w:rsidRPr="005D4F27" w:rsidRDefault="009030B5" w:rsidP="009030B5">
            <w:pPr>
              <w:rPr>
                <w:rFonts w:eastAsia="Calibri"/>
              </w:rPr>
            </w:pPr>
            <w:r w:rsidRPr="005D4F27">
              <w:rPr>
                <w:rFonts w:eastAsia="Calibri"/>
              </w:rPr>
              <w:t>Selen</w:t>
            </w:r>
          </w:p>
        </w:tc>
        <w:tc>
          <w:tcPr>
            <w:tcW w:w="2785" w:type="dxa"/>
            <w:tcBorders>
              <w:left w:val="single" w:sz="12" w:space="0" w:color="auto"/>
            </w:tcBorders>
            <w:vAlign w:val="center"/>
          </w:tcPr>
          <w:p w14:paraId="3B36F5DF" w14:textId="77777777" w:rsidR="009030B5" w:rsidRPr="005D4F27" w:rsidRDefault="009030B5" w:rsidP="009030B5">
            <w:pPr>
              <w:jc w:val="center"/>
              <w:rPr>
                <w:rFonts w:eastAsia="Calibri"/>
              </w:rPr>
            </w:pPr>
            <w:r w:rsidRPr="005D4F27">
              <w:rPr>
                <w:rFonts w:eastAsia="Calibri"/>
              </w:rPr>
              <w:t>10</w:t>
            </w:r>
          </w:p>
        </w:tc>
        <w:tc>
          <w:tcPr>
            <w:tcW w:w="2984" w:type="dxa"/>
            <w:vAlign w:val="center"/>
          </w:tcPr>
          <w:p w14:paraId="468339DD" w14:textId="77777777" w:rsidR="009030B5" w:rsidRPr="005D4F27" w:rsidRDefault="009030B5" w:rsidP="009030B5">
            <w:pPr>
              <w:jc w:val="center"/>
              <w:rPr>
                <w:rFonts w:eastAsia="Calibri"/>
              </w:rPr>
            </w:pPr>
            <w:r w:rsidRPr="005D4F27">
              <w:rPr>
                <w:rFonts w:eastAsia="Calibri"/>
              </w:rPr>
              <w:t>10</w:t>
            </w:r>
          </w:p>
        </w:tc>
      </w:tr>
      <w:tr w:rsidR="009030B5" w:rsidRPr="005D4F27" w14:paraId="2071E6CC" w14:textId="77777777" w:rsidTr="009030B5">
        <w:tc>
          <w:tcPr>
            <w:tcW w:w="2721" w:type="dxa"/>
            <w:tcBorders>
              <w:right w:val="single" w:sz="12" w:space="0" w:color="auto"/>
            </w:tcBorders>
            <w:vAlign w:val="center"/>
          </w:tcPr>
          <w:p w14:paraId="111C2889" w14:textId="77777777" w:rsidR="009030B5" w:rsidRPr="005D4F27" w:rsidRDefault="009030B5" w:rsidP="009030B5">
            <w:pPr>
              <w:rPr>
                <w:rFonts w:eastAsia="Calibri"/>
              </w:rPr>
            </w:pPr>
            <w:r w:rsidRPr="005D4F27">
              <w:rPr>
                <w:rFonts w:eastAsia="Calibri"/>
              </w:rPr>
              <w:t>Zink</w:t>
            </w:r>
          </w:p>
        </w:tc>
        <w:tc>
          <w:tcPr>
            <w:tcW w:w="2785" w:type="dxa"/>
            <w:tcBorders>
              <w:left w:val="single" w:sz="12" w:space="0" w:color="auto"/>
            </w:tcBorders>
            <w:vAlign w:val="center"/>
          </w:tcPr>
          <w:p w14:paraId="004BC86B" w14:textId="77777777" w:rsidR="009030B5" w:rsidRPr="005D4F27" w:rsidRDefault="009030B5" w:rsidP="009030B5">
            <w:pPr>
              <w:jc w:val="center"/>
              <w:rPr>
                <w:rFonts w:eastAsia="Calibri"/>
              </w:rPr>
            </w:pPr>
            <w:r w:rsidRPr="005D4F27">
              <w:rPr>
                <w:rFonts w:eastAsia="Calibri"/>
              </w:rPr>
              <w:t>600</w:t>
            </w:r>
          </w:p>
        </w:tc>
        <w:tc>
          <w:tcPr>
            <w:tcW w:w="2984" w:type="dxa"/>
            <w:vAlign w:val="center"/>
          </w:tcPr>
          <w:p w14:paraId="765470A2" w14:textId="77777777" w:rsidR="009030B5" w:rsidRPr="005D4F27" w:rsidRDefault="009030B5" w:rsidP="009030B5">
            <w:pPr>
              <w:jc w:val="center"/>
              <w:rPr>
                <w:rFonts w:eastAsia="Calibri"/>
              </w:rPr>
            </w:pPr>
            <w:r w:rsidRPr="005D4F27">
              <w:rPr>
                <w:rFonts w:eastAsia="Calibri"/>
              </w:rPr>
              <w:t>600</w:t>
            </w:r>
          </w:p>
        </w:tc>
      </w:tr>
      <w:tr w:rsidR="009030B5" w:rsidRPr="005D4F27" w14:paraId="0B6B3AFD" w14:textId="77777777" w:rsidTr="009030B5">
        <w:tc>
          <w:tcPr>
            <w:tcW w:w="2721" w:type="dxa"/>
            <w:tcBorders>
              <w:right w:val="single" w:sz="12" w:space="0" w:color="auto"/>
            </w:tcBorders>
            <w:vAlign w:val="center"/>
          </w:tcPr>
          <w:p w14:paraId="4CAFF035" w14:textId="77777777" w:rsidR="009030B5" w:rsidRPr="005D4F27" w:rsidRDefault="009030B5" w:rsidP="009030B5">
            <w:pPr>
              <w:rPr>
                <w:rFonts w:eastAsia="Calibri"/>
              </w:rPr>
            </w:pPr>
            <w:r w:rsidRPr="005D4F27">
              <w:rPr>
                <w:rFonts w:eastAsia="Calibri"/>
              </w:rPr>
              <w:t xml:space="preserve">Cyanide </w:t>
            </w:r>
            <w:r w:rsidRPr="005D4F27">
              <w:rPr>
                <w:rFonts w:eastAsia="Calibri"/>
                <w:vertAlign w:val="subscript"/>
              </w:rPr>
              <w:t>gesamt</w:t>
            </w:r>
          </w:p>
        </w:tc>
        <w:tc>
          <w:tcPr>
            <w:tcW w:w="2785" w:type="dxa"/>
            <w:tcBorders>
              <w:left w:val="single" w:sz="12" w:space="0" w:color="auto"/>
            </w:tcBorders>
            <w:vAlign w:val="center"/>
          </w:tcPr>
          <w:p w14:paraId="149F01C4" w14:textId="77777777" w:rsidR="009030B5" w:rsidRPr="005D4F27" w:rsidRDefault="009030B5" w:rsidP="009030B5">
            <w:pPr>
              <w:jc w:val="center"/>
              <w:rPr>
                <w:rFonts w:eastAsia="Calibri"/>
              </w:rPr>
            </w:pPr>
            <w:r w:rsidRPr="005D4F27">
              <w:rPr>
                <w:rFonts w:eastAsia="Calibri"/>
              </w:rPr>
              <w:t>50</w:t>
            </w:r>
          </w:p>
        </w:tc>
        <w:tc>
          <w:tcPr>
            <w:tcW w:w="2984" w:type="dxa"/>
            <w:vAlign w:val="center"/>
          </w:tcPr>
          <w:p w14:paraId="33136DE2" w14:textId="77777777" w:rsidR="009030B5" w:rsidRPr="005D4F27" w:rsidRDefault="009030B5" w:rsidP="009030B5">
            <w:pPr>
              <w:jc w:val="center"/>
              <w:rPr>
                <w:rFonts w:eastAsia="Calibri"/>
              </w:rPr>
            </w:pPr>
            <w:r w:rsidRPr="005D4F27">
              <w:rPr>
                <w:rFonts w:eastAsia="Calibri"/>
              </w:rPr>
              <w:t>50</w:t>
            </w:r>
          </w:p>
        </w:tc>
      </w:tr>
      <w:tr w:rsidR="009030B5" w:rsidRPr="005D4F27" w14:paraId="390BDB56" w14:textId="77777777" w:rsidTr="009030B5">
        <w:tc>
          <w:tcPr>
            <w:tcW w:w="2721" w:type="dxa"/>
            <w:tcBorders>
              <w:right w:val="single" w:sz="12" w:space="0" w:color="auto"/>
            </w:tcBorders>
            <w:vAlign w:val="center"/>
          </w:tcPr>
          <w:p w14:paraId="2BC2C51E" w14:textId="77777777" w:rsidR="009030B5" w:rsidRPr="005D4F27" w:rsidRDefault="009030B5" w:rsidP="009030B5">
            <w:pPr>
              <w:rPr>
                <w:rFonts w:eastAsia="Calibri"/>
              </w:rPr>
            </w:pPr>
            <w:r w:rsidRPr="005D4F27">
              <w:rPr>
                <w:rFonts w:eastAsia="Calibri"/>
              </w:rPr>
              <w:t xml:space="preserve">Cyanid </w:t>
            </w:r>
            <w:r w:rsidRPr="005D4F27">
              <w:rPr>
                <w:rFonts w:eastAsia="Calibri"/>
                <w:vertAlign w:val="subscript"/>
              </w:rPr>
              <w:t>leicht freisetzbar</w:t>
            </w:r>
          </w:p>
        </w:tc>
        <w:tc>
          <w:tcPr>
            <w:tcW w:w="2785" w:type="dxa"/>
            <w:tcBorders>
              <w:left w:val="single" w:sz="12" w:space="0" w:color="auto"/>
            </w:tcBorders>
            <w:vAlign w:val="center"/>
          </w:tcPr>
          <w:p w14:paraId="6A10D521" w14:textId="77777777" w:rsidR="009030B5" w:rsidRPr="005D4F27" w:rsidRDefault="009030B5" w:rsidP="009030B5">
            <w:pPr>
              <w:jc w:val="center"/>
              <w:rPr>
                <w:rFonts w:eastAsia="Calibri"/>
              </w:rPr>
            </w:pPr>
            <w:r w:rsidRPr="005D4F27">
              <w:rPr>
                <w:rFonts w:eastAsia="Calibri"/>
              </w:rPr>
              <w:t>10</w:t>
            </w:r>
          </w:p>
        </w:tc>
        <w:tc>
          <w:tcPr>
            <w:tcW w:w="2984" w:type="dxa"/>
            <w:vAlign w:val="center"/>
          </w:tcPr>
          <w:p w14:paraId="22CD4CE6" w14:textId="77777777" w:rsidR="009030B5" w:rsidRPr="005D4F27" w:rsidRDefault="009030B5" w:rsidP="009030B5">
            <w:pPr>
              <w:jc w:val="center"/>
              <w:rPr>
                <w:rFonts w:eastAsia="Calibri"/>
              </w:rPr>
            </w:pPr>
            <w:r w:rsidRPr="005D4F27">
              <w:rPr>
                <w:rFonts w:eastAsia="Calibri"/>
              </w:rPr>
              <w:t>10</w:t>
            </w:r>
          </w:p>
        </w:tc>
      </w:tr>
      <w:tr w:rsidR="009030B5" w:rsidRPr="005D4F27" w14:paraId="194A013B" w14:textId="77777777" w:rsidTr="009030B5">
        <w:tc>
          <w:tcPr>
            <w:tcW w:w="2721" w:type="dxa"/>
            <w:tcBorders>
              <w:bottom w:val="single" w:sz="12" w:space="0" w:color="auto"/>
              <w:right w:val="single" w:sz="12" w:space="0" w:color="auto"/>
            </w:tcBorders>
            <w:vAlign w:val="center"/>
          </w:tcPr>
          <w:p w14:paraId="16EA4C89" w14:textId="77777777" w:rsidR="009030B5" w:rsidRPr="005D4F27" w:rsidRDefault="009030B5" w:rsidP="009030B5">
            <w:pPr>
              <w:rPr>
                <w:rFonts w:eastAsia="Calibri"/>
              </w:rPr>
            </w:pPr>
            <w:r w:rsidRPr="005D4F27">
              <w:rPr>
                <w:rFonts w:eastAsia="Calibri"/>
              </w:rPr>
              <w:t>Fluorid</w:t>
            </w:r>
          </w:p>
        </w:tc>
        <w:tc>
          <w:tcPr>
            <w:tcW w:w="2785" w:type="dxa"/>
            <w:tcBorders>
              <w:left w:val="single" w:sz="12" w:space="0" w:color="auto"/>
            </w:tcBorders>
            <w:vAlign w:val="center"/>
          </w:tcPr>
          <w:p w14:paraId="3586D287" w14:textId="77777777" w:rsidR="009030B5" w:rsidRPr="005D4F27" w:rsidRDefault="009030B5" w:rsidP="009030B5">
            <w:pPr>
              <w:jc w:val="center"/>
              <w:rPr>
                <w:rFonts w:eastAsia="Calibri"/>
              </w:rPr>
            </w:pPr>
            <w:r w:rsidRPr="005D4F27">
              <w:rPr>
                <w:rFonts w:eastAsia="Calibri"/>
              </w:rPr>
              <w:t>1500</w:t>
            </w:r>
          </w:p>
        </w:tc>
        <w:tc>
          <w:tcPr>
            <w:tcW w:w="2984" w:type="dxa"/>
            <w:vAlign w:val="center"/>
          </w:tcPr>
          <w:p w14:paraId="104745B6" w14:textId="77777777" w:rsidR="009030B5" w:rsidRPr="005D4F27" w:rsidRDefault="009030B5" w:rsidP="009030B5">
            <w:pPr>
              <w:jc w:val="center"/>
              <w:rPr>
                <w:rFonts w:eastAsia="Calibri"/>
              </w:rPr>
            </w:pPr>
            <w:r w:rsidRPr="005D4F27">
              <w:rPr>
                <w:rFonts w:eastAsia="Calibri"/>
              </w:rPr>
              <w:t>1500</w:t>
            </w:r>
          </w:p>
        </w:tc>
      </w:tr>
    </w:tbl>
    <w:p w14:paraId="3280F3AB" w14:textId="1810B892" w:rsidR="009030B5" w:rsidRPr="00D16E21" w:rsidRDefault="009030B5" w:rsidP="00D16E21">
      <w:pPr>
        <w:pStyle w:val="Text"/>
      </w:pPr>
    </w:p>
    <w:p w14:paraId="76779B18" w14:textId="65D769E2" w:rsidR="009030B5" w:rsidRPr="008D0377" w:rsidRDefault="009030B5" w:rsidP="009030B5">
      <w:pPr>
        <w:pStyle w:val="berschrift1"/>
      </w:pPr>
      <w:r>
        <w:br w:type="page"/>
      </w:r>
      <w:r w:rsidRPr="008D0377">
        <w:lastRenderedPageBreak/>
        <w:t>Tabelle 2: Prüfwerte für anorganische Stoffe für den Wirkungspfad Boden-Grundwasser im Sickerwasser am Ort der Beurteilung</w:t>
      </w:r>
    </w:p>
    <w:tbl>
      <w:tblPr>
        <w:tblW w:w="6024" w:type="dxa"/>
        <w:tblBorders>
          <w:top w:val="single" w:sz="2" w:space="0" w:color="auto"/>
          <w:left w:val="single" w:sz="2" w:space="0" w:color="auto"/>
          <w:bottom w:val="single" w:sz="2" w:space="0" w:color="auto"/>
          <w:right w:val="single" w:sz="2" w:space="0" w:color="auto"/>
          <w:insideH w:val="single" w:sz="2" w:space="0" w:color="auto"/>
          <w:insideV w:val="single" w:sz="6" w:space="0" w:color="auto"/>
        </w:tblBorders>
        <w:tblLayout w:type="fixed"/>
        <w:tblCellMar>
          <w:left w:w="119" w:type="dxa"/>
          <w:right w:w="119" w:type="dxa"/>
        </w:tblCellMar>
        <w:tblLook w:val="0000" w:firstRow="0" w:lastRow="0" w:firstColumn="0" w:lastColumn="0" w:noHBand="0" w:noVBand="0"/>
      </w:tblPr>
      <w:tblGrid>
        <w:gridCol w:w="2679"/>
        <w:gridCol w:w="3345"/>
      </w:tblGrid>
      <w:tr w:rsidR="009030B5" w:rsidRPr="005D4F27" w14:paraId="4E605A05" w14:textId="77777777" w:rsidTr="009030B5">
        <w:tc>
          <w:tcPr>
            <w:tcW w:w="2679" w:type="dxa"/>
            <w:tcBorders>
              <w:top w:val="single" w:sz="12" w:space="0" w:color="auto"/>
              <w:left w:val="single" w:sz="12" w:space="0" w:color="auto"/>
              <w:bottom w:val="single" w:sz="12" w:space="0" w:color="auto"/>
              <w:right w:val="single" w:sz="12" w:space="0" w:color="auto"/>
            </w:tcBorders>
            <w:shd w:val="clear" w:color="auto" w:fill="EEECE1"/>
          </w:tcPr>
          <w:p w14:paraId="7774037B" w14:textId="77777777" w:rsidR="009030B5" w:rsidRPr="005D4F27" w:rsidRDefault="009030B5" w:rsidP="009030B5">
            <w:pPr>
              <w:rPr>
                <w:rFonts w:eastAsia="Calibri"/>
                <w:b/>
                <w:bCs/>
              </w:rPr>
            </w:pPr>
            <w:r w:rsidRPr="005D4F27">
              <w:rPr>
                <w:rFonts w:eastAsia="Calibri"/>
                <w:b/>
                <w:bCs/>
              </w:rPr>
              <w:t>Stoff</w:t>
            </w:r>
          </w:p>
        </w:tc>
        <w:tc>
          <w:tcPr>
            <w:tcW w:w="3345" w:type="dxa"/>
            <w:tcBorders>
              <w:top w:val="single" w:sz="12" w:space="0" w:color="auto"/>
              <w:left w:val="single" w:sz="12" w:space="0" w:color="auto"/>
              <w:bottom w:val="single" w:sz="12" w:space="0" w:color="auto"/>
              <w:right w:val="single" w:sz="12" w:space="0" w:color="auto"/>
            </w:tcBorders>
            <w:shd w:val="clear" w:color="auto" w:fill="EEECE1"/>
          </w:tcPr>
          <w:p w14:paraId="38B68D88" w14:textId="77777777" w:rsidR="009030B5" w:rsidRPr="005D4F27" w:rsidRDefault="009030B5" w:rsidP="009030B5">
            <w:pPr>
              <w:jc w:val="center"/>
              <w:rPr>
                <w:rFonts w:eastAsia="Calibri"/>
                <w:b/>
                <w:bCs/>
                <w:iCs/>
              </w:rPr>
            </w:pPr>
            <w:r w:rsidRPr="005D4F27">
              <w:rPr>
                <w:rFonts w:eastAsia="Calibri"/>
                <w:b/>
                <w:bCs/>
                <w:iCs/>
              </w:rPr>
              <w:t>Prüfwert</w:t>
            </w:r>
          </w:p>
        </w:tc>
      </w:tr>
      <w:tr w:rsidR="009030B5" w:rsidRPr="005D4F27" w14:paraId="7A7811DC" w14:textId="77777777" w:rsidTr="009030B5">
        <w:tc>
          <w:tcPr>
            <w:tcW w:w="2679" w:type="dxa"/>
            <w:tcBorders>
              <w:top w:val="single" w:sz="12" w:space="0" w:color="auto"/>
              <w:left w:val="single" w:sz="12" w:space="0" w:color="auto"/>
              <w:bottom w:val="single" w:sz="12" w:space="0" w:color="auto"/>
              <w:right w:val="single" w:sz="12" w:space="0" w:color="auto"/>
            </w:tcBorders>
            <w:shd w:val="clear" w:color="auto" w:fill="FFFFFF"/>
          </w:tcPr>
          <w:p w14:paraId="616A53D2" w14:textId="77777777" w:rsidR="009030B5" w:rsidRPr="005D4F27" w:rsidRDefault="009030B5" w:rsidP="009030B5">
            <w:pPr>
              <w:rPr>
                <w:rFonts w:eastAsia="Calibri"/>
                <w:bCs/>
              </w:rPr>
            </w:pPr>
          </w:p>
        </w:tc>
        <w:tc>
          <w:tcPr>
            <w:tcW w:w="3345" w:type="dxa"/>
            <w:tcBorders>
              <w:top w:val="single" w:sz="12" w:space="0" w:color="auto"/>
              <w:left w:val="single" w:sz="12" w:space="0" w:color="auto"/>
              <w:bottom w:val="single" w:sz="12" w:space="0" w:color="auto"/>
              <w:right w:val="single" w:sz="12" w:space="0" w:color="auto"/>
            </w:tcBorders>
            <w:shd w:val="clear" w:color="auto" w:fill="FFFFFF"/>
          </w:tcPr>
          <w:p w14:paraId="471E8F9B" w14:textId="77777777" w:rsidR="009030B5" w:rsidRPr="005D4F27" w:rsidRDefault="009030B5" w:rsidP="009030B5">
            <w:pPr>
              <w:jc w:val="center"/>
              <w:rPr>
                <w:rFonts w:eastAsia="Calibri"/>
                <w:bCs/>
                <w:iCs/>
              </w:rPr>
            </w:pPr>
            <w:r w:rsidRPr="005D4F27">
              <w:rPr>
                <w:rFonts w:eastAsia="Calibri"/>
                <w:bCs/>
                <w:iCs/>
              </w:rPr>
              <w:t>[µg/l]</w:t>
            </w:r>
          </w:p>
        </w:tc>
      </w:tr>
      <w:tr w:rsidR="009030B5" w:rsidRPr="005D4F27" w14:paraId="0410BC4A" w14:textId="77777777" w:rsidTr="009030B5">
        <w:tc>
          <w:tcPr>
            <w:tcW w:w="2679" w:type="dxa"/>
            <w:tcBorders>
              <w:top w:val="single" w:sz="12" w:space="0" w:color="auto"/>
              <w:left w:val="single" w:sz="12" w:space="0" w:color="auto"/>
              <w:right w:val="single" w:sz="12" w:space="0" w:color="auto"/>
            </w:tcBorders>
            <w:vAlign w:val="center"/>
          </w:tcPr>
          <w:p w14:paraId="6B521BFB" w14:textId="77777777" w:rsidR="009030B5" w:rsidRPr="005D4F27" w:rsidRDefault="009030B5" w:rsidP="009030B5">
            <w:pPr>
              <w:rPr>
                <w:rFonts w:eastAsia="Calibri"/>
              </w:rPr>
            </w:pPr>
            <w:r w:rsidRPr="005D4F27">
              <w:rPr>
                <w:rFonts w:eastAsia="Calibri"/>
              </w:rPr>
              <w:t>Antimon</w:t>
            </w:r>
          </w:p>
        </w:tc>
        <w:tc>
          <w:tcPr>
            <w:tcW w:w="3345" w:type="dxa"/>
            <w:tcBorders>
              <w:top w:val="single" w:sz="12" w:space="0" w:color="auto"/>
              <w:left w:val="single" w:sz="12" w:space="0" w:color="auto"/>
              <w:right w:val="single" w:sz="12" w:space="0" w:color="auto"/>
            </w:tcBorders>
            <w:vAlign w:val="center"/>
          </w:tcPr>
          <w:p w14:paraId="48085E26" w14:textId="77777777" w:rsidR="009030B5" w:rsidRPr="005D4F27" w:rsidRDefault="009030B5" w:rsidP="009030B5">
            <w:pPr>
              <w:jc w:val="center"/>
              <w:rPr>
                <w:rFonts w:eastAsia="Calibri"/>
              </w:rPr>
            </w:pPr>
            <w:r w:rsidRPr="005D4F27">
              <w:rPr>
                <w:rFonts w:eastAsia="Calibri"/>
              </w:rPr>
              <w:t>5</w:t>
            </w:r>
          </w:p>
        </w:tc>
      </w:tr>
      <w:tr w:rsidR="009030B5" w:rsidRPr="005D4F27" w14:paraId="709D189D" w14:textId="77777777" w:rsidTr="009030B5">
        <w:tc>
          <w:tcPr>
            <w:tcW w:w="2679" w:type="dxa"/>
            <w:tcBorders>
              <w:left w:val="single" w:sz="12" w:space="0" w:color="auto"/>
              <w:right w:val="single" w:sz="12" w:space="0" w:color="auto"/>
            </w:tcBorders>
            <w:vAlign w:val="center"/>
          </w:tcPr>
          <w:p w14:paraId="11140641" w14:textId="77777777" w:rsidR="009030B5" w:rsidRPr="005D4F27" w:rsidRDefault="009030B5" w:rsidP="009030B5">
            <w:pPr>
              <w:rPr>
                <w:rFonts w:eastAsia="Calibri"/>
              </w:rPr>
            </w:pPr>
            <w:r w:rsidRPr="005D4F27">
              <w:rPr>
                <w:rFonts w:eastAsia="Calibri"/>
              </w:rPr>
              <w:t>Arsen</w:t>
            </w:r>
          </w:p>
        </w:tc>
        <w:tc>
          <w:tcPr>
            <w:tcW w:w="3345" w:type="dxa"/>
            <w:tcBorders>
              <w:left w:val="single" w:sz="12" w:space="0" w:color="auto"/>
              <w:right w:val="single" w:sz="12" w:space="0" w:color="auto"/>
            </w:tcBorders>
            <w:vAlign w:val="center"/>
          </w:tcPr>
          <w:p w14:paraId="484094E6" w14:textId="77777777" w:rsidR="009030B5" w:rsidRPr="005D4F27" w:rsidRDefault="009030B5" w:rsidP="009030B5">
            <w:pPr>
              <w:jc w:val="center"/>
              <w:rPr>
                <w:rFonts w:eastAsia="Calibri"/>
              </w:rPr>
            </w:pPr>
            <w:r w:rsidRPr="005D4F27">
              <w:rPr>
                <w:rFonts w:eastAsia="Calibri"/>
              </w:rPr>
              <w:t>10</w:t>
            </w:r>
          </w:p>
        </w:tc>
      </w:tr>
      <w:tr w:rsidR="009030B5" w:rsidRPr="005D4F27" w14:paraId="2E08E72A" w14:textId="77777777" w:rsidTr="009030B5">
        <w:tc>
          <w:tcPr>
            <w:tcW w:w="2679" w:type="dxa"/>
            <w:tcBorders>
              <w:left w:val="single" w:sz="12" w:space="0" w:color="auto"/>
              <w:right w:val="single" w:sz="12" w:space="0" w:color="auto"/>
            </w:tcBorders>
            <w:vAlign w:val="center"/>
          </w:tcPr>
          <w:p w14:paraId="55C62FCD" w14:textId="77777777" w:rsidR="009030B5" w:rsidRPr="005D4F27" w:rsidRDefault="009030B5" w:rsidP="009030B5">
            <w:pPr>
              <w:rPr>
                <w:rFonts w:eastAsia="Calibri"/>
              </w:rPr>
            </w:pPr>
            <w:r w:rsidRPr="005D4F27">
              <w:rPr>
                <w:rFonts w:eastAsia="Calibri"/>
              </w:rPr>
              <w:t>Blei</w:t>
            </w:r>
          </w:p>
        </w:tc>
        <w:tc>
          <w:tcPr>
            <w:tcW w:w="3345" w:type="dxa"/>
            <w:tcBorders>
              <w:left w:val="single" w:sz="12" w:space="0" w:color="auto"/>
              <w:right w:val="single" w:sz="12" w:space="0" w:color="auto"/>
            </w:tcBorders>
            <w:vAlign w:val="center"/>
          </w:tcPr>
          <w:p w14:paraId="2F24B38D" w14:textId="77777777" w:rsidR="009030B5" w:rsidRPr="005D4F27" w:rsidRDefault="009030B5" w:rsidP="009030B5">
            <w:pPr>
              <w:jc w:val="center"/>
              <w:rPr>
                <w:rFonts w:eastAsia="Calibri"/>
              </w:rPr>
            </w:pPr>
            <w:r w:rsidRPr="005D4F27">
              <w:rPr>
                <w:rFonts w:eastAsia="Calibri"/>
              </w:rPr>
              <w:t>10</w:t>
            </w:r>
          </w:p>
        </w:tc>
      </w:tr>
      <w:tr w:rsidR="009030B5" w:rsidRPr="005D4F27" w14:paraId="19224D1F" w14:textId="77777777" w:rsidTr="009030B5">
        <w:tc>
          <w:tcPr>
            <w:tcW w:w="2679" w:type="dxa"/>
            <w:tcBorders>
              <w:left w:val="single" w:sz="12" w:space="0" w:color="auto"/>
              <w:right w:val="single" w:sz="12" w:space="0" w:color="auto"/>
            </w:tcBorders>
            <w:vAlign w:val="center"/>
          </w:tcPr>
          <w:p w14:paraId="2698FFEA" w14:textId="77777777" w:rsidR="009030B5" w:rsidRPr="005D4F27" w:rsidRDefault="009030B5" w:rsidP="009030B5">
            <w:pPr>
              <w:rPr>
                <w:rFonts w:eastAsia="Calibri"/>
              </w:rPr>
            </w:pPr>
            <w:r w:rsidRPr="005D4F27">
              <w:rPr>
                <w:rFonts w:eastAsia="Calibri"/>
              </w:rPr>
              <w:t>Bor</w:t>
            </w:r>
          </w:p>
        </w:tc>
        <w:tc>
          <w:tcPr>
            <w:tcW w:w="3345" w:type="dxa"/>
            <w:tcBorders>
              <w:left w:val="single" w:sz="12" w:space="0" w:color="auto"/>
              <w:right w:val="single" w:sz="12" w:space="0" w:color="auto"/>
            </w:tcBorders>
            <w:vAlign w:val="center"/>
          </w:tcPr>
          <w:p w14:paraId="569E7CB0" w14:textId="77777777" w:rsidR="009030B5" w:rsidRPr="005D4F27" w:rsidRDefault="009030B5" w:rsidP="009030B5">
            <w:pPr>
              <w:jc w:val="center"/>
              <w:rPr>
                <w:rFonts w:eastAsia="Calibri"/>
              </w:rPr>
            </w:pPr>
            <w:r w:rsidRPr="005D4F27">
              <w:rPr>
                <w:rFonts w:eastAsia="Calibri"/>
              </w:rPr>
              <w:t>1 000</w:t>
            </w:r>
          </w:p>
        </w:tc>
      </w:tr>
      <w:tr w:rsidR="009030B5" w:rsidRPr="005D4F27" w14:paraId="3497C45C" w14:textId="77777777" w:rsidTr="009030B5">
        <w:tc>
          <w:tcPr>
            <w:tcW w:w="2679" w:type="dxa"/>
            <w:tcBorders>
              <w:left w:val="single" w:sz="12" w:space="0" w:color="auto"/>
              <w:right w:val="single" w:sz="12" w:space="0" w:color="auto"/>
            </w:tcBorders>
            <w:vAlign w:val="center"/>
          </w:tcPr>
          <w:p w14:paraId="53F5684A" w14:textId="77777777" w:rsidR="009030B5" w:rsidRPr="005D4F27" w:rsidRDefault="009030B5" w:rsidP="009030B5">
            <w:pPr>
              <w:rPr>
                <w:rFonts w:eastAsia="Calibri"/>
              </w:rPr>
            </w:pPr>
            <w:r w:rsidRPr="005D4F27">
              <w:rPr>
                <w:rFonts w:eastAsia="Calibri"/>
              </w:rPr>
              <w:t>Cadmium</w:t>
            </w:r>
          </w:p>
        </w:tc>
        <w:tc>
          <w:tcPr>
            <w:tcW w:w="3345" w:type="dxa"/>
            <w:tcBorders>
              <w:left w:val="single" w:sz="12" w:space="0" w:color="auto"/>
              <w:right w:val="single" w:sz="12" w:space="0" w:color="auto"/>
            </w:tcBorders>
            <w:vAlign w:val="center"/>
          </w:tcPr>
          <w:p w14:paraId="08AECA69" w14:textId="77777777" w:rsidR="009030B5" w:rsidRPr="005D4F27" w:rsidRDefault="009030B5" w:rsidP="009030B5">
            <w:pPr>
              <w:jc w:val="center"/>
              <w:rPr>
                <w:rFonts w:eastAsia="Calibri"/>
              </w:rPr>
            </w:pPr>
            <w:r w:rsidRPr="005D4F27">
              <w:rPr>
                <w:rFonts w:eastAsia="Calibri"/>
              </w:rPr>
              <w:t>3</w:t>
            </w:r>
          </w:p>
        </w:tc>
      </w:tr>
      <w:tr w:rsidR="009030B5" w:rsidRPr="005D4F27" w14:paraId="6B3217D0" w14:textId="77777777" w:rsidTr="009030B5">
        <w:tc>
          <w:tcPr>
            <w:tcW w:w="2679" w:type="dxa"/>
            <w:tcBorders>
              <w:left w:val="single" w:sz="12" w:space="0" w:color="auto"/>
              <w:right w:val="single" w:sz="12" w:space="0" w:color="auto"/>
            </w:tcBorders>
            <w:vAlign w:val="center"/>
          </w:tcPr>
          <w:p w14:paraId="3D54C953" w14:textId="77777777" w:rsidR="009030B5" w:rsidRPr="005D4F27" w:rsidRDefault="009030B5" w:rsidP="009030B5">
            <w:pPr>
              <w:rPr>
                <w:rFonts w:eastAsia="Calibri"/>
              </w:rPr>
            </w:pPr>
            <w:r w:rsidRPr="005D4F27">
              <w:rPr>
                <w:rFonts w:eastAsia="Calibri"/>
              </w:rPr>
              <w:t>Chrom</w:t>
            </w:r>
            <w:r w:rsidRPr="005D4F27">
              <w:rPr>
                <w:rFonts w:eastAsia="Calibri"/>
                <w:vertAlign w:val="subscript"/>
              </w:rPr>
              <w:t xml:space="preserve"> gesamt</w:t>
            </w:r>
          </w:p>
        </w:tc>
        <w:tc>
          <w:tcPr>
            <w:tcW w:w="3345" w:type="dxa"/>
            <w:tcBorders>
              <w:left w:val="single" w:sz="12" w:space="0" w:color="auto"/>
              <w:right w:val="single" w:sz="12" w:space="0" w:color="auto"/>
            </w:tcBorders>
            <w:vAlign w:val="center"/>
          </w:tcPr>
          <w:p w14:paraId="78BC4F10" w14:textId="77777777" w:rsidR="009030B5" w:rsidRPr="005D4F27" w:rsidRDefault="009030B5" w:rsidP="009030B5">
            <w:pPr>
              <w:jc w:val="center"/>
              <w:rPr>
                <w:rFonts w:eastAsia="Calibri"/>
              </w:rPr>
            </w:pPr>
            <w:r w:rsidRPr="005D4F27">
              <w:rPr>
                <w:rFonts w:eastAsia="Calibri"/>
              </w:rPr>
              <w:t>50</w:t>
            </w:r>
          </w:p>
        </w:tc>
      </w:tr>
      <w:tr w:rsidR="009030B5" w:rsidRPr="005D4F27" w14:paraId="19831F46" w14:textId="77777777" w:rsidTr="009030B5">
        <w:tc>
          <w:tcPr>
            <w:tcW w:w="2679" w:type="dxa"/>
            <w:tcBorders>
              <w:left w:val="single" w:sz="12" w:space="0" w:color="auto"/>
              <w:right w:val="single" w:sz="12" w:space="0" w:color="auto"/>
            </w:tcBorders>
            <w:vAlign w:val="center"/>
          </w:tcPr>
          <w:p w14:paraId="7BC88244" w14:textId="77777777" w:rsidR="009030B5" w:rsidRPr="005D4F27" w:rsidRDefault="009030B5" w:rsidP="009030B5">
            <w:pPr>
              <w:rPr>
                <w:rFonts w:eastAsia="Calibri"/>
              </w:rPr>
            </w:pPr>
            <w:r w:rsidRPr="005D4F27">
              <w:rPr>
                <w:rFonts w:eastAsia="Calibri"/>
              </w:rPr>
              <w:t xml:space="preserve">Chrom </w:t>
            </w:r>
            <w:r w:rsidRPr="005D4F27">
              <w:rPr>
                <w:rFonts w:eastAsia="Calibri"/>
                <w:vertAlign w:val="subscript"/>
              </w:rPr>
              <w:t>VI</w:t>
            </w:r>
          </w:p>
        </w:tc>
        <w:tc>
          <w:tcPr>
            <w:tcW w:w="3345" w:type="dxa"/>
            <w:tcBorders>
              <w:left w:val="single" w:sz="12" w:space="0" w:color="auto"/>
              <w:right w:val="single" w:sz="12" w:space="0" w:color="auto"/>
            </w:tcBorders>
            <w:vAlign w:val="center"/>
          </w:tcPr>
          <w:p w14:paraId="563A66B5" w14:textId="77777777" w:rsidR="009030B5" w:rsidRPr="005D4F27" w:rsidRDefault="009030B5" w:rsidP="009030B5">
            <w:pPr>
              <w:jc w:val="center"/>
              <w:rPr>
                <w:rFonts w:eastAsia="Calibri"/>
              </w:rPr>
            </w:pPr>
            <w:r w:rsidRPr="005D4F27">
              <w:rPr>
                <w:rFonts w:eastAsia="Calibri"/>
              </w:rPr>
              <w:t>8</w:t>
            </w:r>
          </w:p>
        </w:tc>
      </w:tr>
      <w:tr w:rsidR="009030B5" w:rsidRPr="005D4F27" w14:paraId="282621A5" w14:textId="77777777" w:rsidTr="009030B5">
        <w:tc>
          <w:tcPr>
            <w:tcW w:w="2679" w:type="dxa"/>
            <w:tcBorders>
              <w:left w:val="single" w:sz="12" w:space="0" w:color="auto"/>
              <w:right w:val="single" w:sz="12" w:space="0" w:color="auto"/>
            </w:tcBorders>
            <w:vAlign w:val="center"/>
          </w:tcPr>
          <w:p w14:paraId="56537B06" w14:textId="77777777" w:rsidR="009030B5" w:rsidRPr="005D4F27" w:rsidRDefault="009030B5" w:rsidP="009030B5">
            <w:pPr>
              <w:rPr>
                <w:rFonts w:eastAsia="Calibri"/>
              </w:rPr>
            </w:pPr>
            <w:r w:rsidRPr="005D4F27">
              <w:rPr>
                <w:rFonts w:eastAsia="Calibri"/>
              </w:rPr>
              <w:t>Kobalt</w:t>
            </w:r>
          </w:p>
        </w:tc>
        <w:tc>
          <w:tcPr>
            <w:tcW w:w="3345" w:type="dxa"/>
            <w:tcBorders>
              <w:left w:val="single" w:sz="12" w:space="0" w:color="auto"/>
              <w:right w:val="single" w:sz="12" w:space="0" w:color="auto"/>
            </w:tcBorders>
            <w:vAlign w:val="center"/>
          </w:tcPr>
          <w:p w14:paraId="5BA370AA" w14:textId="77777777" w:rsidR="009030B5" w:rsidRPr="005D4F27" w:rsidRDefault="009030B5" w:rsidP="009030B5">
            <w:pPr>
              <w:jc w:val="center"/>
              <w:rPr>
                <w:rFonts w:eastAsia="Calibri"/>
              </w:rPr>
            </w:pPr>
            <w:r w:rsidRPr="005D4F27">
              <w:rPr>
                <w:rFonts w:eastAsia="Calibri"/>
              </w:rPr>
              <w:t>10</w:t>
            </w:r>
          </w:p>
        </w:tc>
      </w:tr>
      <w:tr w:rsidR="009030B5" w:rsidRPr="005D4F27" w14:paraId="1F5F76E6" w14:textId="77777777" w:rsidTr="009030B5">
        <w:tc>
          <w:tcPr>
            <w:tcW w:w="2679" w:type="dxa"/>
            <w:tcBorders>
              <w:left w:val="single" w:sz="12" w:space="0" w:color="auto"/>
              <w:right w:val="single" w:sz="12" w:space="0" w:color="auto"/>
            </w:tcBorders>
            <w:vAlign w:val="center"/>
          </w:tcPr>
          <w:p w14:paraId="59E58265" w14:textId="77777777" w:rsidR="009030B5" w:rsidRPr="005D4F27" w:rsidRDefault="009030B5" w:rsidP="009030B5">
            <w:pPr>
              <w:rPr>
                <w:rFonts w:eastAsia="Calibri"/>
              </w:rPr>
            </w:pPr>
            <w:r w:rsidRPr="005D4F27">
              <w:rPr>
                <w:rFonts w:eastAsia="Calibri"/>
              </w:rPr>
              <w:t>Kupfer</w:t>
            </w:r>
          </w:p>
        </w:tc>
        <w:tc>
          <w:tcPr>
            <w:tcW w:w="3345" w:type="dxa"/>
            <w:tcBorders>
              <w:left w:val="single" w:sz="12" w:space="0" w:color="auto"/>
              <w:right w:val="single" w:sz="12" w:space="0" w:color="auto"/>
            </w:tcBorders>
            <w:vAlign w:val="center"/>
          </w:tcPr>
          <w:p w14:paraId="54C83328" w14:textId="77777777" w:rsidR="009030B5" w:rsidRPr="005D4F27" w:rsidRDefault="009030B5" w:rsidP="009030B5">
            <w:pPr>
              <w:jc w:val="center"/>
              <w:rPr>
                <w:rFonts w:eastAsia="Calibri"/>
              </w:rPr>
            </w:pPr>
            <w:r w:rsidRPr="005D4F27">
              <w:rPr>
                <w:rFonts w:eastAsia="Calibri"/>
              </w:rPr>
              <w:t>50</w:t>
            </w:r>
          </w:p>
        </w:tc>
      </w:tr>
      <w:tr w:rsidR="009030B5" w:rsidRPr="005D4F27" w14:paraId="1073B021" w14:textId="77777777" w:rsidTr="009030B5">
        <w:tc>
          <w:tcPr>
            <w:tcW w:w="2679" w:type="dxa"/>
            <w:tcBorders>
              <w:left w:val="single" w:sz="12" w:space="0" w:color="auto"/>
              <w:right w:val="single" w:sz="12" w:space="0" w:color="auto"/>
            </w:tcBorders>
            <w:vAlign w:val="center"/>
          </w:tcPr>
          <w:p w14:paraId="2C612894" w14:textId="77777777" w:rsidR="009030B5" w:rsidRPr="005D4F27" w:rsidRDefault="009030B5" w:rsidP="009030B5">
            <w:pPr>
              <w:rPr>
                <w:rFonts w:eastAsia="Calibri"/>
              </w:rPr>
            </w:pPr>
            <w:r w:rsidRPr="005D4F27">
              <w:rPr>
                <w:rFonts w:eastAsia="Calibri"/>
              </w:rPr>
              <w:t>Molybdän</w:t>
            </w:r>
          </w:p>
        </w:tc>
        <w:tc>
          <w:tcPr>
            <w:tcW w:w="3345" w:type="dxa"/>
            <w:tcBorders>
              <w:left w:val="single" w:sz="12" w:space="0" w:color="auto"/>
              <w:right w:val="single" w:sz="12" w:space="0" w:color="auto"/>
            </w:tcBorders>
            <w:vAlign w:val="center"/>
          </w:tcPr>
          <w:p w14:paraId="265E7322" w14:textId="77777777" w:rsidR="009030B5" w:rsidRPr="005D4F27" w:rsidRDefault="009030B5" w:rsidP="009030B5">
            <w:pPr>
              <w:jc w:val="center"/>
              <w:rPr>
                <w:rFonts w:eastAsia="Calibri"/>
              </w:rPr>
            </w:pPr>
            <w:r w:rsidRPr="005D4F27">
              <w:rPr>
                <w:rFonts w:eastAsia="Calibri"/>
              </w:rPr>
              <w:t>35</w:t>
            </w:r>
          </w:p>
        </w:tc>
      </w:tr>
      <w:tr w:rsidR="009030B5" w:rsidRPr="005D4F27" w14:paraId="716F3905" w14:textId="77777777" w:rsidTr="009030B5">
        <w:tc>
          <w:tcPr>
            <w:tcW w:w="2679" w:type="dxa"/>
            <w:tcBorders>
              <w:left w:val="single" w:sz="12" w:space="0" w:color="auto"/>
              <w:right w:val="single" w:sz="12" w:space="0" w:color="auto"/>
            </w:tcBorders>
            <w:vAlign w:val="center"/>
          </w:tcPr>
          <w:p w14:paraId="41388E1F" w14:textId="77777777" w:rsidR="009030B5" w:rsidRPr="005D4F27" w:rsidRDefault="009030B5" w:rsidP="009030B5">
            <w:pPr>
              <w:rPr>
                <w:rFonts w:eastAsia="Calibri"/>
              </w:rPr>
            </w:pPr>
            <w:r w:rsidRPr="005D4F27">
              <w:rPr>
                <w:rFonts w:eastAsia="Calibri"/>
              </w:rPr>
              <w:t>Nickel</w:t>
            </w:r>
          </w:p>
        </w:tc>
        <w:tc>
          <w:tcPr>
            <w:tcW w:w="3345" w:type="dxa"/>
            <w:tcBorders>
              <w:left w:val="single" w:sz="12" w:space="0" w:color="auto"/>
              <w:right w:val="single" w:sz="12" w:space="0" w:color="auto"/>
            </w:tcBorders>
            <w:vAlign w:val="center"/>
          </w:tcPr>
          <w:p w14:paraId="31B11494" w14:textId="77777777" w:rsidR="009030B5" w:rsidRPr="005D4F27" w:rsidRDefault="009030B5" w:rsidP="009030B5">
            <w:pPr>
              <w:jc w:val="center"/>
              <w:rPr>
                <w:rFonts w:eastAsia="Calibri"/>
              </w:rPr>
            </w:pPr>
            <w:r w:rsidRPr="005D4F27">
              <w:rPr>
                <w:rFonts w:eastAsia="Calibri"/>
              </w:rPr>
              <w:t>20</w:t>
            </w:r>
          </w:p>
        </w:tc>
      </w:tr>
      <w:tr w:rsidR="009030B5" w:rsidRPr="005D4F27" w14:paraId="6343DB15" w14:textId="77777777" w:rsidTr="009030B5">
        <w:tc>
          <w:tcPr>
            <w:tcW w:w="2679" w:type="dxa"/>
            <w:tcBorders>
              <w:left w:val="single" w:sz="12" w:space="0" w:color="auto"/>
              <w:right w:val="single" w:sz="12" w:space="0" w:color="auto"/>
            </w:tcBorders>
            <w:vAlign w:val="center"/>
          </w:tcPr>
          <w:p w14:paraId="52EB6B0D" w14:textId="77777777" w:rsidR="009030B5" w:rsidRPr="005D4F27" w:rsidRDefault="009030B5" w:rsidP="009030B5">
            <w:pPr>
              <w:rPr>
                <w:rFonts w:eastAsia="Calibri"/>
              </w:rPr>
            </w:pPr>
            <w:r w:rsidRPr="005D4F27">
              <w:rPr>
                <w:rFonts w:eastAsia="Calibri"/>
              </w:rPr>
              <w:t>Quecksilber</w:t>
            </w:r>
          </w:p>
        </w:tc>
        <w:tc>
          <w:tcPr>
            <w:tcW w:w="3345" w:type="dxa"/>
            <w:tcBorders>
              <w:left w:val="single" w:sz="12" w:space="0" w:color="auto"/>
              <w:right w:val="single" w:sz="12" w:space="0" w:color="auto"/>
            </w:tcBorders>
            <w:vAlign w:val="center"/>
          </w:tcPr>
          <w:p w14:paraId="2C76C3D7" w14:textId="77777777" w:rsidR="009030B5" w:rsidRPr="005D4F27" w:rsidRDefault="009030B5" w:rsidP="009030B5">
            <w:pPr>
              <w:jc w:val="center"/>
              <w:rPr>
                <w:rFonts w:eastAsia="Calibri"/>
              </w:rPr>
            </w:pPr>
            <w:r w:rsidRPr="005D4F27">
              <w:rPr>
                <w:rFonts w:eastAsia="Calibri"/>
              </w:rPr>
              <w:t>1</w:t>
            </w:r>
          </w:p>
        </w:tc>
      </w:tr>
      <w:tr w:rsidR="009030B5" w:rsidRPr="005D4F27" w14:paraId="49CDE2D1" w14:textId="77777777" w:rsidTr="009030B5">
        <w:tc>
          <w:tcPr>
            <w:tcW w:w="2679" w:type="dxa"/>
            <w:tcBorders>
              <w:left w:val="single" w:sz="12" w:space="0" w:color="auto"/>
              <w:right w:val="single" w:sz="12" w:space="0" w:color="auto"/>
            </w:tcBorders>
            <w:vAlign w:val="center"/>
          </w:tcPr>
          <w:p w14:paraId="3D389583" w14:textId="77777777" w:rsidR="009030B5" w:rsidRPr="005D4F27" w:rsidRDefault="009030B5" w:rsidP="009030B5">
            <w:pPr>
              <w:rPr>
                <w:rFonts w:eastAsia="Calibri"/>
              </w:rPr>
            </w:pPr>
            <w:r w:rsidRPr="005D4F27">
              <w:rPr>
                <w:rFonts w:eastAsia="Calibri"/>
              </w:rPr>
              <w:t>Selen</w:t>
            </w:r>
          </w:p>
        </w:tc>
        <w:tc>
          <w:tcPr>
            <w:tcW w:w="3345" w:type="dxa"/>
            <w:tcBorders>
              <w:left w:val="single" w:sz="12" w:space="0" w:color="auto"/>
              <w:right w:val="single" w:sz="12" w:space="0" w:color="auto"/>
            </w:tcBorders>
            <w:vAlign w:val="center"/>
          </w:tcPr>
          <w:p w14:paraId="3ECC971C" w14:textId="77777777" w:rsidR="009030B5" w:rsidRPr="005D4F27" w:rsidRDefault="009030B5" w:rsidP="009030B5">
            <w:pPr>
              <w:jc w:val="center"/>
              <w:rPr>
                <w:rFonts w:eastAsia="Calibri"/>
              </w:rPr>
            </w:pPr>
            <w:r w:rsidRPr="005D4F27">
              <w:rPr>
                <w:rFonts w:eastAsia="Calibri"/>
              </w:rPr>
              <w:t>10</w:t>
            </w:r>
          </w:p>
        </w:tc>
      </w:tr>
      <w:tr w:rsidR="009030B5" w:rsidRPr="005D4F27" w14:paraId="76748B60" w14:textId="77777777" w:rsidTr="009030B5">
        <w:tc>
          <w:tcPr>
            <w:tcW w:w="2679" w:type="dxa"/>
            <w:tcBorders>
              <w:left w:val="single" w:sz="12" w:space="0" w:color="auto"/>
              <w:right w:val="single" w:sz="12" w:space="0" w:color="auto"/>
            </w:tcBorders>
            <w:vAlign w:val="center"/>
          </w:tcPr>
          <w:p w14:paraId="7A833700" w14:textId="77777777" w:rsidR="009030B5" w:rsidRPr="005D4F27" w:rsidRDefault="009030B5" w:rsidP="009030B5">
            <w:pPr>
              <w:rPr>
                <w:rFonts w:eastAsia="Calibri"/>
              </w:rPr>
            </w:pPr>
            <w:r w:rsidRPr="005D4F27">
              <w:rPr>
                <w:rFonts w:eastAsia="Calibri"/>
              </w:rPr>
              <w:t>Zink</w:t>
            </w:r>
          </w:p>
        </w:tc>
        <w:tc>
          <w:tcPr>
            <w:tcW w:w="3345" w:type="dxa"/>
            <w:tcBorders>
              <w:left w:val="single" w:sz="12" w:space="0" w:color="auto"/>
              <w:right w:val="single" w:sz="12" w:space="0" w:color="auto"/>
            </w:tcBorders>
            <w:vAlign w:val="center"/>
          </w:tcPr>
          <w:p w14:paraId="16E1FB5B" w14:textId="77777777" w:rsidR="009030B5" w:rsidRPr="005D4F27" w:rsidRDefault="009030B5" w:rsidP="009030B5">
            <w:pPr>
              <w:jc w:val="center"/>
              <w:rPr>
                <w:rFonts w:eastAsia="Calibri"/>
              </w:rPr>
            </w:pPr>
            <w:r w:rsidRPr="005D4F27">
              <w:rPr>
                <w:rFonts w:eastAsia="Calibri"/>
              </w:rPr>
              <w:t>600</w:t>
            </w:r>
          </w:p>
        </w:tc>
      </w:tr>
      <w:tr w:rsidR="009030B5" w:rsidRPr="005D4F27" w14:paraId="2BF24F2B" w14:textId="77777777" w:rsidTr="009030B5">
        <w:tc>
          <w:tcPr>
            <w:tcW w:w="2679" w:type="dxa"/>
            <w:tcBorders>
              <w:left w:val="single" w:sz="12" w:space="0" w:color="auto"/>
              <w:right w:val="single" w:sz="12" w:space="0" w:color="auto"/>
            </w:tcBorders>
            <w:vAlign w:val="center"/>
          </w:tcPr>
          <w:p w14:paraId="7013E05A" w14:textId="77777777" w:rsidR="009030B5" w:rsidRPr="005D4F27" w:rsidRDefault="009030B5" w:rsidP="009030B5">
            <w:pPr>
              <w:rPr>
                <w:rFonts w:eastAsia="Calibri"/>
              </w:rPr>
            </w:pPr>
            <w:r w:rsidRPr="005D4F27">
              <w:rPr>
                <w:rFonts w:eastAsia="Calibri"/>
              </w:rPr>
              <w:t xml:space="preserve">Cyanide </w:t>
            </w:r>
            <w:r w:rsidRPr="005D4F27">
              <w:rPr>
                <w:rFonts w:eastAsia="Calibri"/>
                <w:vertAlign w:val="subscript"/>
              </w:rPr>
              <w:t>gesamt</w:t>
            </w:r>
          </w:p>
        </w:tc>
        <w:tc>
          <w:tcPr>
            <w:tcW w:w="3345" w:type="dxa"/>
            <w:tcBorders>
              <w:left w:val="single" w:sz="12" w:space="0" w:color="auto"/>
              <w:right w:val="single" w:sz="12" w:space="0" w:color="auto"/>
            </w:tcBorders>
            <w:vAlign w:val="center"/>
          </w:tcPr>
          <w:p w14:paraId="4592CDE9" w14:textId="77777777" w:rsidR="009030B5" w:rsidRPr="005D4F27" w:rsidRDefault="009030B5" w:rsidP="009030B5">
            <w:pPr>
              <w:jc w:val="center"/>
              <w:rPr>
                <w:rFonts w:eastAsia="Calibri"/>
              </w:rPr>
            </w:pPr>
            <w:r w:rsidRPr="005D4F27">
              <w:rPr>
                <w:rFonts w:eastAsia="Calibri"/>
              </w:rPr>
              <w:t xml:space="preserve">50 </w:t>
            </w:r>
          </w:p>
        </w:tc>
      </w:tr>
      <w:tr w:rsidR="009030B5" w:rsidRPr="005D4F27" w14:paraId="797F3EDF" w14:textId="77777777" w:rsidTr="009030B5">
        <w:tc>
          <w:tcPr>
            <w:tcW w:w="2679" w:type="dxa"/>
            <w:tcBorders>
              <w:left w:val="single" w:sz="12" w:space="0" w:color="auto"/>
              <w:right w:val="single" w:sz="12" w:space="0" w:color="auto"/>
            </w:tcBorders>
            <w:vAlign w:val="center"/>
          </w:tcPr>
          <w:p w14:paraId="09D3F134" w14:textId="77777777" w:rsidR="009030B5" w:rsidRPr="005D4F27" w:rsidRDefault="009030B5" w:rsidP="009030B5">
            <w:pPr>
              <w:rPr>
                <w:rFonts w:eastAsia="Calibri"/>
              </w:rPr>
            </w:pPr>
            <w:r w:rsidRPr="005D4F27">
              <w:rPr>
                <w:rFonts w:eastAsia="Calibri"/>
              </w:rPr>
              <w:t xml:space="preserve">Cyanide </w:t>
            </w:r>
            <w:r w:rsidRPr="005D4F27">
              <w:rPr>
                <w:rFonts w:eastAsia="Calibri"/>
                <w:vertAlign w:val="subscript"/>
              </w:rPr>
              <w:t>leicht freisetzbar</w:t>
            </w:r>
          </w:p>
        </w:tc>
        <w:tc>
          <w:tcPr>
            <w:tcW w:w="3345" w:type="dxa"/>
            <w:tcBorders>
              <w:left w:val="single" w:sz="12" w:space="0" w:color="auto"/>
              <w:right w:val="single" w:sz="12" w:space="0" w:color="auto"/>
            </w:tcBorders>
            <w:vAlign w:val="center"/>
          </w:tcPr>
          <w:p w14:paraId="22D8FD6F" w14:textId="77777777" w:rsidR="009030B5" w:rsidRPr="005D4F27" w:rsidRDefault="009030B5" w:rsidP="009030B5">
            <w:pPr>
              <w:jc w:val="center"/>
              <w:rPr>
                <w:rFonts w:eastAsia="Calibri"/>
              </w:rPr>
            </w:pPr>
            <w:r w:rsidRPr="005D4F27">
              <w:rPr>
                <w:rFonts w:eastAsia="Calibri"/>
              </w:rPr>
              <w:t>10</w:t>
            </w:r>
          </w:p>
        </w:tc>
      </w:tr>
      <w:tr w:rsidR="009030B5" w:rsidRPr="005D4F27" w14:paraId="00FFCDAF" w14:textId="77777777" w:rsidTr="009030B5">
        <w:tc>
          <w:tcPr>
            <w:tcW w:w="2679" w:type="dxa"/>
            <w:tcBorders>
              <w:left w:val="single" w:sz="12" w:space="0" w:color="auto"/>
              <w:bottom w:val="single" w:sz="12" w:space="0" w:color="auto"/>
              <w:right w:val="single" w:sz="12" w:space="0" w:color="auto"/>
            </w:tcBorders>
            <w:vAlign w:val="center"/>
          </w:tcPr>
          <w:p w14:paraId="219BF004" w14:textId="77777777" w:rsidR="009030B5" w:rsidRPr="005D4F27" w:rsidRDefault="009030B5" w:rsidP="009030B5">
            <w:pPr>
              <w:rPr>
                <w:rFonts w:eastAsia="Calibri"/>
              </w:rPr>
            </w:pPr>
            <w:r w:rsidRPr="005D4F27">
              <w:rPr>
                <w:rFonts w:eastAsia="Calibri"/>
              </w:rPr>
              <w:t>Fluorid</w:t>
            </w:r>
          </w:p>
        </w:tc>
        <w:tc>
          <w:tcPr>
            <w:tcW w:w="3345" w:type="dxa"/>
            <w:tcBorders>
              <w:left w:val="single" w:sz="12" w:space="0" w:color="auto"/>
              <w:bottom w:val="single" w:sz="12" w:space="0" w:color="auto"/>
              <w:right w:val="single" w:sz="12" w:space="0" w:color="auto"/>
            </w:tcBorders>
            <w:vAlign w:val="center"/>
          </w:tcPr>
          <w:p w14:paraId="76539ECB" w14:textId="77777777" w:rsidR="009030B5" w:rsidRPr="005D4F27" w:rsidRDefault="009030B5" w:rsidP="009030B5">
            <w:pPr>
              <w:jc w:val="center"/>
              <w:rPr>
                <w:rFonts w:eastAsia="Calibri"/>
              </w:rPr>
            </w:pPr>
            <w:r w:rsidRPr="005D4F27">
              <w:rPr>
                <w:rFonts w:eastAsia="Calibri"/>
              </w:rPr>
              <w:t>1500</w:t>
            </w:r>
          </w:p>
        </w:tc>
      </w:tr>
    </w:tbl>
    <w:p w14:paraId="7E483AC1" w14:textId="01A6D1BB" w:rsidR="009030B5" w:rsidRDefault="009030B5" w:rsidP="009030B5">
      <w:pPr>
        <w:pStyle w:val="Text"/>
      </w:pPr>
    </w:p>
    <w:p w14:paraId="3C63C87B" w14:textId="1405E376" w:rsidR="009030B5" w:rsidRPr="008D0377" w:rsidRDefault="009030B5" w:rsidP="009030B5">
      <w:pPr>
        <w:pStyle w:val="berschrift1"/>
      </w:pPr>
      <w:r>
        <w:br w:type="page"/>
      </w:r>
      <w:r w:rsidRPr="008D0377">
        <w:lastRenderedPageBreak/>
        <w:t>Tabelle 3: Prüfwerte für organische Stoffe für den Wirkungspfad Boden-Grundwasser am Ort der Probennahme und im Sickerwasser am Ort der Beurteilung</w:t>
      </w:r>
    </w:p>
    <w:tbl>
      <w:tblPr>
        <w:tblW w:w="8490" w:type="dxa"/>
        <w:tblBorders>
          <w:top w:val="single" w:sz="12" w:space="0" w:color="auto"/>
          <w:left w:val="single" w:sz="12" w:space="0" w:color="auto"/>
          <w:bottom w:val="single" w:sz="12" w:space="0" w:color="auto"/>
          <w:right w:val="single" w:sz="12" w:space="0" w:color="auto"/>
        </w:tblBorders>
        <w:tblLayout w:type="fixed"/>
        <w:tblCellMar>
          <w:left w:w="119" w:type="dxa"/>
          <w:right w:w="119" w:type="dxa"/>
        </w:tblCellMar>
        <w:tblLook w:val="0000" w:firstRow="0" w:lastRow="0" w:firstColumn="0" w:lastColumn="0" w:noHBand="0" w:noVBand="0"/>
      </w:tblPr>
      <w:tblGrid>
        <w:gridCol w:w="6648"/>
        <w:gridCol w:w="1842"/>
      </w:tblGrid>
      <w:tr w:rsidR="009030B5" w:rsidRPr="005D4F27" w14:paraId="79D1AFD9" w14:textId="77777777" w:rsidTr="009030B5">
        <w:tc>
          <w:tcPr>
            <w:tcW w:w="6648" w:type="dxa"/>
            <w:tcBorders>
              <w:top w:val="single" w:sz="12" w:space="0" w:color="auto"/>
              <w:bottom w:val="single" w:sz="12" w:space="0" w:color="auto"/>
              <w:right w:val="single" w:sz="12" w:space="0" w:color="auto"/>
            </w:tcBorders>
            <w:shd w:val="clear" w:color="auto" w:fill="EEECE1"/>
          </w:tcPr>
          <w:p w14:paraId="19392CEC" w14:textId="77777777" w:rsidR="009030B5" w:rsidRPr="005D4F27" w:rsidRDefault="009030B5" w:rsidP="009030B5">
            <w:pPr>
              <w:rPr>
                <w:rFonts w:eastAsia="Calibri"/>
                <w:b/>
              </w:rPr>
            </w:pPr>
            <w:r w:rsidRPr="005D4F27">
              <w:rPr>
                <w:rFonts w:eastAsia="Calibri"/>
                <w:b/>
              </w:rPr>
              <w:t>Stoff</w:t>
            </w:r>
          </w:p>
        </w:tc>
        <w:tc>
          <w:tcPr>
            <w:tcW w:w="1842" w:type="dxa"/>
            <w:tcBorders>
              <w:top w:val="single" w:sz="12" w:space="0" w:color="auto"/>
              <w:left w:val="single" w:sz="12" w:space="0" w:color="auto"/>
              <w:bottom w:val="single" w:sz="12" w:space="0" w:color="auto"/>
            </w:tcBorders>
            <w:shd w:val="clear" w:color="auto" w:fill="EEECE1"/>
            <w:vAlign w:val="center"/>
          </w:tcPr>
          <w:p w14:paraId="417D2A6F" w14:textId="77777777" w:rsidR="009030B5" w:rsidRPr="005D4F27" w:rsidRDefault="009030B5" w:rsidP="009030B5">
            <w:pPr>
              <w:jc w:val="center"/>
              <w:rPr>
                <w:rFonts w:eastAsia="Calibri"/>
                <w:b/>
              </w:rPr>
            </w:pPr>
            <w:r w:rsidRPr="005D4F27">
              <w:rPr>
                <w:rFonts w:eastAsia="Calibri"/>
                <w:b/>
              </w:rPr>
              <w:t>Prüfwert</w:t>
            </w:r>
          </w:p>
        </w:tc>
      </w:tr>
      <w:tr w:rsidR="009030B5" w:rsidRPr="005D4F27" w14:paraId="5287CBA3" w14:textId="77777777" w:rsidTr="009030B5">
        <w:tc>
          <w:tcPr>
            <w:tcW w:w="6648" w:type="dxa"/>
            <w:tcBorders>
              <w:top w:val="single" w:sz="12" w:space="0" w:color="auto"/>
              <w:bottom w:val="single" w:sz="12" w:space="0" w:color="auto"/>
              <w:right w:val="single" w:sz="12" w:space="0" w:color="auto"/>
            </w:tcBorders>
            <w:shd w:val="clear" w:color="auto" w:fill="FFFFFF"/>
          </w:tcPr>
          <w:p w14:paraId="7C541BA1" w14:textId="77777777" w:rsidR="009030B5" w:rsidRPr="005D4F27" w:rsidRDefault="009030B5" w:rsidP="009030B5">
            <w:pPr>
              <w:rPr>
                <w:rFonts w:eastAsia="Calibri"/>
              </w:rPr>
            </w:pPr>
          </w:p>
        </w:tc>
        <w:tc>
          <w:tcPr>
            <w:tcW w:w="1842" w:type="dxa"/>
            <w:tcBorders>
              <w:top w:val="single" w:sz="12" w:space="0" w:color="auto"/>
              <w:left w:val="single" w:sz="12" w:space="0" w:color="auto"/>
              <w:bottom w:val="single" w:sz="12" w:space="0" w:color="auto"/>
            </w:tcBorders>
            <w:shd w:val="clear" w:color="auto" w:fill="FFFFFF"/>
            <w:vAlign w:val="center"/>
          </w:tcPr>
          <w:p w14:paraId="41B4DCCF" w14:textId="77777777" w:rsidR="009030B5" w:rsidRPr="005D4F27" w:rsidRDefault="009030B5" w:rsidP="009030B5">
            <w:pPr>
              <w:jc w:val="center"/>
              <w:rPr>
                <w:rFonts w:eastAsia="Calibri"/>
              </w:rPr>
            </w:pPr>
            <w:r w:rsidRPr="005D4F27">
              <w:rPr>
                <w:rFonts w:eastAsia="Calibri"/>
                <w:bCs/>
                <w:iCs/>
              </w:rPr>
              <w:t>[µg/l]</w:t>
            </w:r>
          </w:p>
        </w:tc>
      </w:tr>
      <w:tr w:rsidR="009030B5" w:rsidRPr="005D4F27" w14:paraId="7514846A" w14:textId="77777777" w:rsidTr="009030B5">
        <w:tc>
          <w:tcPr>
            <w:tcW w:w="6648" w:type="dxa"/>
            <w:tcBorders>
              <w:top w:val="single" w:sz="12" w:space="0" w:color="auto"/>
              <w:right w:val="single" w:sz="12" w:space="0" w:color="auto"/>
            </w:tcBorders>
          </w:tcPr>
          <w:p w14:paraId="3E9C0F45" w14:textId="77777777" w:rsidR="009030B5" w:rsidRPr="005D4F27" w:rsidRDefault="009030B5" w:rsidP="009030B5">
            <w:pPr>
              <w:rPr>
                <w:rFonts w:eastAsia="Calibri"/>
              </w:rPr>
            </w:pPr>
            <w:r w:rsidRPr="005D4F27">
              <w:rPr>
                <w:rFonts w:eastAsia="Calibri"/>
              </w:rPr>
              <w:t>Aldrin</w:t>
            </w:r>
          </w:p>
        </w:tc>
        <w:tc>
          <w:tcPr>
            <w:tcW w:w="1842" w:type="dxa"/>
            <w:tcBorders>
              <w:top w:val="single" w:sz="12" w:space="0" w:color="auto"/>
              <w:left w:val="single" w:sz="12" w:space="0" w:color="auto"/>
            </w:tcBorders>
            <w:vAlign w:val="center"/>
          </w:tcPr>
          <w:p w14:paraId="0402A8DB" w14:textId="77777777" w:rsidR="009030B5" w:rsidRPr="005D4F27" w:rsidRDefault="009030B5" w:rsidP="009030B5">
            <w:pPr>
              <w:jc w:val="center"/>
              <w:rPr>
                <w:rFonts w:eastAsia="Calibri"/>
              </w:rPr>
            </w:pPr>
            <w:r w:rsidRPr="005D4F27">
              <w:rPr>
                <w:rFonts w:eastAsia="Calibri"/>
              </w:rPr>
              <w:t>0,03</w:t>
            </w:r>
          </w:p>
        </w:tc>
      </w:tr>
      <w:tr w:rsidR="009030B5" w:rsidRPr="005D4F27" w14:paraId="5CE8DD54" w14:textId="77777777" w:rsidTr="009030B5">
        <w:tc>
          <w:tcPr>
            <w:tcW w:w="6648" w:type="dxa"/>
            <w:tcBorders>
              <w:right w:val="single" w:sz="12" w:space="0" w:color="auto"/>
            </w:tcBorders>
          </w:tcPr>
          <w:p w14:paraId="2F28D2D1" w14:textId="77777777" w:rsidR="009030B5" w:rsidRPr="005D4F27" w:rsidRDefault="009030B5" w:rsidP="009030B5">
            <w:pPr>
              <w:rPr>
                <w:rFonts w:eastAsia="Calibri"/>
                <w:lang w:val="en-GB"/>
              </w:rPr>
            </w:pPr>
            <w:r w:rsidRPr="005D4F27">
              <w:rPr>
                <w:rFonts w:eastAsia="Calibri"/>
              </w:rPr>
              <w:t xml:space="preserve">Summe alkylierte Benzole (BTEX) </w:t>
            </w:r>
            <w:r w:rsidRPr="005D4F27">
              <w:rPr>
                <w:rFonts w:eastAsia="Calibri"/>
                <w:vertAlign w:val="superscript"/>
              </w:rPr>
              <w:t>1)</w:t>
            </w:r>
          </w:p>
        </w:tc>
        <w:tc>
          <w:tcPr>
            <w:tcW w:w="1842" w:type="dxa"/>
            <w:tcBorders>
              <w:left w:val="single" w:sz="12" w:space="0" w:color="auto"/>
            </w:tcBorders>
            <w:vAlign w:val="center"/>
          </w:tcPr>
          <w:p w14:paraId="4C2C5C97" w14:textId="77777777" w:rsidR="009030B5" w:rsidRPr="005D4F27" w:rsidRDefault="009030B5" w:rsidP="009030B5">
            <w:pPr>
              <w:jc w:val="center"/>
              <w:rPr>
                <w:rFonts w:eastAsia="Calibri"/>
                <w:lang w:val="en-GB"/>
              </w:rPr>
            </w:pPr>
            <w:r w:rsidRPr="005D4F27">
              <w:rPr>
                <w:rFonts w:eastAsia="Calibri"/>
              </w:rPr>
              <w:t>20</w:t>
            </w:r>
          </w:p>
        </w:tc>
      </w:tr>
      <w:tr w:rsidR="009030B5" w:rsidRPr="005D4F27" w14:paraId="7B67A3BA" w14:textId="77777777" w:rsidTr="009030B5">
        <w:tc>
          <w:tcPr>
            <w:tcW w:w="6648" w:type="dxa"/>
            <w:tcBorders>
              <w:right w:val="single" w:sz="12" w:space="0" w:color="auto"/>
            </w:tcBorders>
          </w:tcPr>
          <w:p w14:paraId="6C7FBC80" w14:textId="77777777" w:rsidR="009030B5" w:rsidRPr="005D4F27" w:rsidRDefault="009030B5" w:rsidP="009030B5">
            <w:pPr>
              <w:rPr>
                <w:rFonts w:eastAsia="Calibri"/>
              </w:rPr>
            </w:pPr>
            <w:r w:rsidRPr="005D4F27">
              <w:rPr>
                <w:rFonts w:eastAsia="Calibri"/>
                <w:lang w:val="en-GB"/>
              </w:rPr>
              <w:t>Benzol</w:t>
            </w:r>
          </w:p>
        </w:tc>
        <w:tc>
          <w:tcPr>
            <w:tcW w:w="1842" w:type="dxa"/>
            <w:tcBorders>
              <w:left w:val="single" w:sz="12" w:space="0" w:color="auto"/>
            </w:tcBorders>
            <w:vAlign w:val="center"/>
          </w:tcPr>
          <w:p w14:paraId="7B6F644C" w14:textId="77777777" w:rsidR="009030B5" w:rsidRPr="005D4F27" w:rsidRDefault="009030B5" w:rsidP="009030B5">
            <w:pPr>
              <w:jc w:val="center"/>
              <w:rPr>
                <w:rFonts w:eastAsia="Calibri"/>
              </w:rPr>
            </w:pPr>
            <w:r w:rsidRPr="005D4F27">
              <w:rPr>
                <w:rFonts w:eastAsia="Calibri"/>
                <w:lang w:val="en-GB"/>
              </w:rPr>
              <w:t>1</w:t>
            </w:r>
          </w:p>
        </w:tc>
      </w:tr>
      <w:tr w:rsidR="009030B5" w:rsidRPr="005D4F27" w14:paraId="01A3A616" w14:textId="77777777" w:rsidTr="009030B5">
        <w:tc>
          <w:tcPr>
            <w:tcW w:w="6648" w:type="dxa"/>
            <w:tcBorders>
              <w:right w:val="single" w:sz="12" w:space="0" w:color="auto"/>
            </w:tcBorders>
          </w:tcPr>
          <w:p w14:paraId="52011AF8" w14:textId="77777777" w:rsidR="009030B5" w:rsidRPr="005D4F27" w:rsidRDefault="009030B5" w:rsidP="009030B5">
            <w:pPr>
              <w:rPr>
                <w:rFonts w:eastAsia="Calibri"/>
              </w:rPr>
            </w:pPr>
            <w:proofErr w:type="spellStart"/>
            <w:r w:rsidRPr="005D4F27">
              <w:rPr>
                <w:rFonts w:eastAsia="Calibri"/>
                <w:lang w:val="en-GB"/>
              </w:rPr>
              <w:t>Summe</w:t>
            </w:r>
            <w:proofErr w:type="spellEnd"/>
            <w:r w:rsidRPr="005D4F27">
              <w:rPr>
                <w:rFonts w:eastAsia="Calibri"/>
                <w:lang w:val="en-GB"/>
              </w:rPr>
              <w:t xml:space="preserve"> </w:t>
            </w:r>
            <w:proofErr w:type="spellStart"/>
            <w:r w:rsidRPr="005D4F27">
              <w:rPr>
                <w:rFonts w:eastAsia="Calibri"/>
                <w:lang w:val="en-GB"/>
              </w:rPr>
              <w:t>Chlorbenzole</w:t>
            </w:r>
            <w:proofErr w:type="spellEnd"/>
            <w:r w:rsidRPr="005D4F27">
              <w:rPr>
                <w:rFonts w:eastAsia="Calibri"/>
                <w:lang w:val="en-GB"/>
              </w:rPr>
              <w:t xml:space="preserve"> </w:t>
            </w:r>
          </w:p>
        </w:tc>
        <w:tc>
          <w:tcPr>
            <w:tcW w:w="1842" w:type="dxa"/>
            <w:tcBorders>
              <w:left w:val="single" w:sz="12" w:space="0" w:color="auto"/>
            </w:tcBorders>
            <w:vAlign w:val="center"/>
          </w:tcPr>
          <w:p w14:paraId="0F747470" w14:textId="77777777" w:rsidR="009030B5" w:rsidRPr="005D4F27" w:rsidRDefault="009030B5" w:rsidP="009030B5">
            <w:pPr>
              <w:jc w:val="center"/>
              <w:rPr>
                <w:rFonts w:eastAsia="Calibri"/>
              </w:rPr>
            </w:pPr>
            <w:r w:rsidRPr="005D4F27">
              <w:rPr>
                <w:rFonts w:eastAsia="Calibri"/>
              </w:rPr>
              <w:t>2</w:t>
            </w:r>
          </w:p>
        </w:tc>
      </w:tr>
      <w:tr w:rsidR="009030B5" w:rsidRPr="005D4F27" w14:paraId="32AAF7FB" w14:textId="77777777" w:rsidTr="009030B5">
        <w:tc>
          <w:tcPr>
            <w:tcW w:w="6648" w:type="dxa"/>
            <w:tcBorders>
              <w:right w:val="single" w:sz="12" w:space="0" w:color="auto"/>
            </w:tcBorders>
          </w:tcPr>
          <w:p w14:paraId="7E2752B6" w14:textId="77777777" w:rsidR="009030B5" w:rsidRPr="005D4F27" w:rsidRDefault="009030B5" w:rsidP="009030B5">
            <w:pPr>
              <w:rPr>
                <w:rFonts w:eastAsia="Calibri"/>
              </w:rPr>
            </w:pPr>
            <w:proofErr w:type="spellStart"/>
            <w:r w:rsidRPr="005D4F27">
              <w:rPr>
                <w:rFonts w:eastAsia="Calibri"/>
                <w:lang w:val="en-GB"/>
              </w:rPr>
              <w:t>Chlorethen</w:t>
            </w:r>
            <w:proofErr w:type="spellEnd"/>
            <w:r w:rsidRPr="005D4F27">
              <w:rPr>
                <w:rFonts w:eastAsia="Calibri"/>
                <w:lang w:val="en-GB"/>
              </w:rPr>
              <w:t xml:space="preserve"> (</w:t>
            </w:r>
            <w:proofErr w:type="spellStart"/>
            <w:r w:rsidRPr="005D4F27">
              <w:rPr>
                <w:rFonts w:eastAsia="Calibri"/>
                <w:lang w:val="en-GB"/>
              </w:rPr>
              <w:t>Vinylchlorid</w:t>
            </w:r>
            <w:proofErr w:type="spellEnd"/>
            <w:r w:rsidRPr="005D4F27">
              <w:rPr>
                <w:rFonts w:eastAsia="Calibri"/>
                <w:lang w:val="en-GB"/>
              </w:rPr>
              <w:t>)</w:t>
            </w:r>
          </w:p>
        </w:tc>
        <w:tc>
          <w:tcPr>
            <w:tcW w:w="1842" w:type="dxa"/>
            <w:tcBorders>
              <w:left w:val="single" w:sz="12" w:space="0" w:color="auto"/>
            </w:tcBorders>
            <w:vAlign w:val="center"/>
          </w:tcPr>
          <w:p w14:paraId="459CFD37" w14:textId="77777777" w:rsidR="009030B5" w:rsidRPr="005D4F27" w:rsidRDefault="009030B5" w:rsidP="009030B5">
            <w:pPr>
              <w:jc w:val="center"/>
              <w:rPr>
                <w:rFonts w:eastAsia="Calibri"/>
              </w:rPr>
            </w:pPr>
            <w:r w:rsidRPr="005D4F27">
              <w:rPr>
                <w:rFonts w:eastAsia="Calibri"/>
              </w:rPr>
              <w:t>0,5</w:t>
            </w:r>
          </w:p>
        </w:tc>
      </w:tr>
      <w:tr w:rsidR="009030B5" w:rsidRPr="005D4F27" w14:paraId="6C1157C6" w14:textId="77777777" w:rsidTr="009030B5">
        <w:tc>
          <w:tcPr>
            <w:tcW w:w="6648" w:type="dxa"/>
            <w:tcBorders>
              <w:right w:val="single" w:sz="12" w:space="0" w:color="auto"/>
            </w:tcBorders>
          </w:tcPr>
          <w:p w14:paraId="63F81938" w14:textId="77777777" w:rsidR="009030B5" w:rsidRPr="005D4F27" w:rsidRDefault="009030B5" w:rsidP="009030B5">
            <w:pPr>
              <w:rPr>
                <w:rFonts w:eastAsia="Calibri"/>
              </w:rPr>
            </w:pPr>
            <w:r w:rsidRPr="005D4F27">
              <w:rPr>
                <w:rFonts w:eastAsia="Calibri"/>
              </w:rPr>
              <w:t>Summe Chlorphenole</w:t>
            </w:r>
          </w:p>
        </w:tc>
        <w:tc>
          <w:tcPr>
            <w:tcW w:w="1842" w:type="dxa"/>
            <w:tcBorders>
              <w:left w:val="single" w:sz="12" w:space="0" w:color="auto"/>
            </w:tcBorders>
            <w:vAlign w:val="center"/>
          </w:tcPr>
          <w:p w14:paraId="3FEC6CA9" w14:textId="77777777" w:rsidR="009030B5" w:rsidRPr="005D4F27" w:rsidRDefault="009030B5" w:rsidP="009030B5">
            <w:pPr>
              <w:jc w:val="center"/>
              <w:rPr>
                <w:rFonts w:eastAsia="Calibri"/>
              </w:rPr>
            </w:pPr>
            <w:r w:rsidRPr="005D4F27">
              <w:rPr>
                <w:rFonts w:eastAsia="Calibri"/>
              </w:rPr>
              <w:t>2</w:t>
            </w:r>
          </w:p>
        </w:tc>
      </w:tr>
      <w:tr w:rsidR="009030B5" w:rsidRPr="005D4F27" w14:paraId="18BD0A7A" w14:textId="77777777" w:rsidTr="009030B5">
        <w:tc>
          <w:tcPr>
            <w:tcW w:w="6648" w:type="dxa"/>
            <w:tcBorders>
              <w:right w:val="single" w:sz="12" w:space="0" w:color="auto"/>
            </w:tcBorders>
          </w:tcPr>
          <w:p w14:paraId="70613299" w14:textId="77777777" w:rsidR="009030B5" w:rsidRPr="005D4F27" w:rsidRDefault="009030B5" w:rsidP="009030B5">
            <w:pPr>
              <w:rPr>
                <w:rFonts w:eastAsia="Calibri"/>
              </w:rPr>
            </w:pPr>
            <w:r w:rsidRPr="005D4F27">
              <w:rPr>
                <w:rFonts w:eastAsia="Calibri"/>
              </w:rPr>
              <w:t>Hexachlorbenzol (HCB)</w:t>
            </w:r>
          </w:p>
        </w:tc>
        <w:tc>
          <w:tcPr>
            <w:tcW w:w="1842" w:type="dxa"/>
            <w:tcBorders>
              <w:left w:val="single" w:sz="12" w:space="0" w:color="auto"/>
            </w:tcBorders>
            <w:vAlign w:val="center"/>
          </w:tcPr>
          <w:p w14:paraId="5BDF1888" w14:textId="77777777" w:rsidR="009030B5" w:rsidRPr="005D4F27" w:rsidRDefault="009030B5" w:rsidP="009030B5">
            <w:pPr>
              <w:jc w:val="center"/>
              <w:rPr>
                <w:rFonts w:eastAsia="Calibri"/>
              </w:rPr>
            </w:pPr>
            <w:r w:rsidRPr="005D4F27">
              <w:rPr>
                <w:rFonts w:eastAsia="Calibri"/>
              </w:rPr>
              <w:t>0,1</w:t>
            </w:r>
          </w:p>
        </w:tc>
      </w:tr>
      <w:tr w:rsidR="009030B5" w:rsidRPr="005D4F27" w14:paraId="5F3D52B0" w14:textId="77777777" w:rsidTr="009030B5">
        <w:tc>
          <w:tcPr>
            <w:tcW w:w="6648" w:type="dxa"/>
            <w:tcBorders>
              <w:right w:val="single" w:sz="12" w:space="0" w:color="auto"/>
            </w:tcBorders>
          </w:tcPr>
          <w:p w14:paraId="2747A178" w14:textId="77777777" w:rsidR="009030B5" w:rsidRPr="005D4F27" w:rsidRDefault="009030B5" w:rsidP="009030B5">
            <w:pPr>
              <w:rPr>
                <w:rFonts w:eastAsia="Calibri"/>
              </w:rPr>
            </w:pPr>
            <w:r w:rsidRPr="005D4F27">
              <w:rPr>
                <w:rFonts w:eastAsia="Calibri"/>
              </w:rPr>
              <w:t xml:space="preserve">Summe Kohlenwasserstoffe </w:t>
            </w:r>
            <w:r w:rsidRPr="005D4F27">
              <w:rPr>
                <w:rFonts w:eastAsia="Calibri"/>
                <w:vertAlign w:val="superscript"/>
              </w:rPr>
              <w:t>2)</w:t>
            </w:r>
          </w:p>
        </w:tc>
        <w:tc>
          <w:tcPr>
            <w:tcW w:w="1842" w:type="dxa"/>
            <w:tcBorders>
              <w:left w:val="single" w:sz="12" w:space="0" w:color="auto"/>
            </w:tcBorders>
            <w:vAlign w:val="center"/>
          </w:tcPr>
          <w:p w14:paraId="020A4673" w14:textId="77777777" w:rsidR="009030B5" w:rsidRPr="005D4F27" w:rsidRDefault="009030B5" w:rsidP="009030B5">
            <w:pPr>
              <w:jc w:val="center"/>
              <w:rPr>
                <w:rFonts w:eastAsia="Calibri"/>
              </w:rPr>
            </w:pPr>
            <w:r w:rsidRPr="005D4F27">
              <w:rPr>
                <w:rFonts w:eastAsia="Calibri"/>
              </w:rPr>
              <w:t>200</w:t>
            </w:r>
          </w:p>
        </w:tc>
      </w:tr>
      <w:tr w:rsidR="009030B5" w:rsidRPr="005D4F27" w14:paraId="3E382194" w14:textId="77777777" w:rsidTr="009030B5">
        <w:tc>
          <w:tcPr>
            <w:tcW w:w="6648" w:type="dxa"/>
            <w:tcBorders>
              <w:right w:val="single" w:sz="12" w:space="0" w:color="auto"/>
            </w:tcBorders>
          </w:tcPr>
          <w:p w14:paraId="4E9A0A86" w14:textId="77777777" w:rsidR="009030B5" w:rsidRPr="005D4F27" w:rsidRDefault="009030B5" w:rsidP="009030B5">
            <w:pPr>
              <w:rPr>
                <w:rFonts w:eastAsia="Calibri"/>
              </w:rPr>
            </w:pPr>
            <w:r w:rsidRPr="005D4F27">
              <w:rPr>
                <w:rFonts w:eastAsia="Calibri"/>
              </w:rPr>
              <w:t xml:space="preserve">Summe leichtflüchtige Halogenkohlenwasserstoffe (LHKW) </w:t>
            </w:r>
            <w:r w:rsidRPr="005D4F27">
              <w:rPr>
                <w:rFonts w:eastAsia="Calibri"/>
                <w:vertAlign w:val="superscript"/>
              </w:rPr>
              <w:t xml:space="preserve">3) </w:t>
            </w:r>
          </w:p>
        </w:tc>
        <w:tc>
          <w:tcPr>
            <w:tcW w:w="1842" w:type="dxa"/>
            <w:tcBorders>
              <w:left w:val="single" w:sz="12" w:space="0" w:color="auto"/>
            </w:tcBorders>
            <w:vAlign w:val="center"/>
          </w:tcPr>
          <w:p w14:paraId="06928655" w14:textId="77777777" w:rsidR="009030B5" w:rsidRPr="005D4F27" w:rsidRDefault="009030B5" w:rsidP="009030B5">
            <w:pPr>
              <w:jc w:val="center"/>
              <w:rPr>
                <w:rFonts w:eastAsia="Calibri"/>
                <w:lang w:val="en-GB"/>
              </w:rPr>
            </w:pPr>
            <w:r w:rsidRPr="005D4F27">
              <w:rPr>
                <w:rFonts w:eastAsia="Calibri"/>
                <w:lang w:val="en-GB"/>
              </w:rPr>
              <w:t>20</w:t>
            </w:r>
          </w:p>
        </w:tc>
      </w:tr>
      <w:tr w:rsidR="009030B5" w:rsidRPr="005D4F27" w14:paraId="3BCF6419" w14:textId="77777777" w:rsidTr="009030B5">
        <w:tc>
          <w:tcPr>
            <w:tcW w:w="6648" w:type="dxa"/>
            <w:tcBorders>
              <w:right w:val="single" w:sz="12" w:space="0" w:color="auto"/>
            </w:tcBorders>
          </w:tcPr>
          <w:p w14:paraId="0A6CF52C" w14:textId="77777777" w:rsidR="009030B5" w:rsidRPr="005D4F27" w:rsidRDefault="009030B5" w:rsidP="009030B5">
            <w:pPr>
              <w:rPr>
                <w:rFonts w:eastAsia="Calibri"/>
                <w:lang w:val="en-GB"/>
              </w:rPr>
            </w:pPr>
            <w:proofErr w:type="spellStart"/>
            <w:r w:rsidRPr="005D4F27">
              <w:rPr>
                <w:rFonts w:eastAsia="Calibri"/>
                <w:lang w:val="en-GB"/>
              </w:rPr>
              <w:t>Summe</w:t>
            </w:r>
            <w:proofErr w:type="spellEnd"/>
            <w:r w:rsidRPr="005D4F27">
              <w:rPr>
                <w:rFonts w:eastAsia="Calibri"/>
                <w:lang w:val="en-GB"/>
              </w:rPr>
              <w:t xml:space="preserve"> Tri- und </w:t>
            </w:r>
            <w:proofErr w:type="spellStart"/>
            <w:r w:rsidRPr="005D4F27">
              <w:rPr>
                <w:rFonts w:eastAsia="Calibri"/>
                <w:lang w:val="en-GB"/>
              </w:rPr>
              <w:t>Tetrachlorethen</w:t>
            </w:r>
            <w:proofErr w:type="spellEnd"/>
          </w:p>
        </w:tc>
        <w:tc>
          <w:tcPr>
            <w:tcW w:w="1842" w:type="dxa"/>
            <w:tcBorders>
              <w:left w:val="single" w:sz="12" w:space="0" w:color="auto"/>
            </w:tcBorders>
            <w:vAlign w:val="center"/>
          </w:tcPr>
          <w:p w14:paraId="11065AA0" w14:textId="77777777" w:rsidR="009030B5" w:rsidRPr="005D4F27" w:rsidRDefault="009030B5" w:rsidP="009030B5">
            <w:pPr>
              <w:jc w:val="center"/>
              <w:rPr>
                <w:rFonts w:eastAsia="Calibri"/>
              </w:rPr>
            </w:pPr>
            <w:r w:rsidRPr="005D4F27">
              <w:rPr>
                <w:rFonts w:eastAsia="Calibri"/>
              </w:rPr>
              <w:t>10</w:t>
            </w:r>
          </w:p>
        </w:tc>
      </w:tr>
      <w:tr w:rsidR="009030B5" w:rsidRPr="005D4F27" w14:paraId="4DBB35C6" w14:textId="77777777" w:rsidTr="009030B5">
        <w:tc>
          <w:tcPr>
            <w:tcW w:w="6648" w:type="dxa"/>
            <w:tcBorders>
              <w:right w:val="single" w:sz="12" w:space="0" w:color="auto"/>
            </w:tcBorders>
          </w:tcPr>
          <w:p w14:paraId="1E3FE0DC" w14:textId="77777777" w:rsidR="009030B5" w:rsidRPr="005D4F27" w:rsidRDefault="009030B5" w:rsidP="009030B5">
            <w:pPr>
              <w:rPr>
                <w:rFonts w:eastAsia="Calibri"/>
                <w:lang w:val="en-GB"/>
              </w:rPr>
            </w:pPr>
            <w:r w:rsidRPr="005D4F27">
              <w:rPr>
                <w:rFonts w:eastAsia="Calibri"/>
                <w:lang w:val="en-GB"/>
              </w:rPr>
              <w:t>Methyl-</w:t>
            </w:r>
            <w:proofErr w:type="spellStart"/>
            <w:r w:rsidRPr="005D4F27">
              <w:rPr>
                <w:rFonts w:eastAsia="Calibri"/>
                <w:lang w:val="en-GB"/>
              </w:rPr>
              <w:t>tertiär</w:t>
            </w:r>
            <w:proofErr w:type="spellEnd"/>
            <w:r w:rsidRPr="005D4F27">
              <w:rPr>
                <w:rFonts w:eastAsia="Calibri"/>
                <w:lang w:val="en-GB"/>
              </w:rPr>
              <w:t>-</w:t>
            </w:r>
            <w:proofErr w:type="spellStart"/>
            <w:r w:rsidRPr="005D4F27">
              <w:rPr>
                <w:rFonts w:eastAsia="Calibri"/>
                <w:lang w:val="en-GB"/>
              </w:rPr>
              <w:t>butylether</w:t>
            </w:r>
            <w:proofErr w:type="spellEnd"/>
            <w:r w:rsidRPr="005D4F27">
              <w:rPr>
                <w:rFonts w:eastAsia="Calibri"/>
                <w:lang w:val="en-GB"/>
              </w:rPr>
              <w:t xml:space="preserve"> (MTBE)</w:t>
            </w:r>
          </w:p>
        </w:tc>
        <w:tc>
          <w:tcPr>
            <w:tcW w:w="1842" w:type="dxa"/>
            <w:tcBorders>
              <w:left w:val="single" w:sz="12" w:space="0" w:color="auto"/>
            </w:tcBorders>
            <w:vAlign w:val="center"/>
          </w:tcPr>
          <w:p w14:paraId="13A2203B" w14:textId="77777777" w:rsidR="009030B5" w:rsidRPr="005D4F27" w:rsidRDefault="009030B5" w:rsidP="009030B5">
            <w:pPr>
              <w:jc w:val="center"/>
              <w:rPr>
                <w:rFonts w:eastAsia="Calibri"/>
              </w:rPr>
            </w:pPr>
            <w:r w:rsidRPr="005D4F27">
              <w:rPr>
                <w:rFonts w:eastAsia="Calibri"/>
              </w:rPr>
              <w:t>10</w:t>
            </w:r>
          </w:p>
        </w:tc>
      </w:tr>
      <w:tr w:rsidR="009030B5" w:rsidRPr="005D4F27" w14:paraId="3C9F878D" w14:textId="77777777" w:rsidTr="009030B5">
        <w:tc>
          <w:tcPr>
            <w:tcW w:w="6648" w:type="dxa"/>
            <w:tcBorders>
              <w:right w:val="single" w:sz="12" w:space="0" w:color="auto"/>
            </w:tcBorders>
          </w:tcPr>
          <w:p w14:paraId="220ACB91" w14:textId="77777777" w:rsidR="009030B5" w:rsidRPr="005D4F27" w:rsidRDefault="009030B5" w:rsidP="009030B5">
            <w:pPr>
              <w:rPr>
                <w:rFonts w:eastAsia="Calibri"/>
              </w:rPr>
            </w:pPr>
            <w:r w:rsidRPr="005D4F27">
              <w:rPr>
                <w:rFonts w:eastAsia="Calibri"/>
              </w:rPr>
              <w:t xml:space="preserve">Summe </w:t>
            </w:r>
            <w:proofErr w:type="spellStart"/>
            <w:r w:rsidRPr="005D4F27">
              <w:rPr>
                <w:rFonts w:eastAsia="Calibri"/>
              </w:rPr>
              <w:t>Nonylphenole</w:t>
            </w:r>
            <w:proofErr w:type="spellEnd"/>
            <w:r w:rsidRPr="005D4F27">
              <w:rPr>
                <w:rFonts w:eastAsia="Calibri"/>
              </w:rPr>
              <w:t xml:space="preserve"> (=4-Nonylphenol, verzweigt und </w:t>
            </w:r>
            <w:proofErr w:type="spellStart"/>
            <w:r w:rsidRPr="005D4F27">
              <w:rPr>
                <w:rFonts w:eastAsia="Calibri"/>
              </w:rPr>
              <w:t>Nonylphenol</w:t>
            </w:r>
            <w:proofErr w:type="spellEnd"/>
            <w:r w:rsidRPr="005D4F27">
              <w:rPr>
                <w:rFonts w:eastAsia="Calibri"/>
              </w:rPr>
              <w:t>-Isomere)</w:t>
            </w:r>
          </w:p>
        </w:tc>
        <w:tc>
          <w:tcPr>
            <w:tcW w:w="1842" w:type="dxa"/>
            <w:tcBorders>
              <w:left w:val="single" w:sz="12" w:space="0" w:color="auto"/>
            </w:tcBorders>
            <w:vAlign w:val="center"/>
          </w:tcPr>
          <w:p w14:paraId="13303CF7" w14:textId="77777777" w:rsidR="009030B5" w:rsidRPr="005D4F27" w:rsidRDefault="009030B5" w:rsidP="009030B5">
            <w:pPr>
              <w:jc w:val="center"/>
              <w:rPr>
                <w:rFonts w:eastAsia="Calibri"/>
              </w:rPr>
            </w:pPr>
            <w:r w:rsidRPr="005D4F27">
              <w:rPr>
                <w:rFonts w:eastAsia="Calibri"/>
              </w:rPr>
              <w:t>3</w:t>
            </w:r>
          </w:p>
        </w:tc>
      </w:tr>
      <w:tr w:rsidR="009030B5" w:rsidRPr="005D4F27" w14:paraId="03C55F66" w14:textId="77777777" w:rsidTr="009030B5">
        <w:tc>
          <w:tcPr>
            <w:tcW w:w="6648" w:type="dxa"/>
            <w:tcBorders>
              <w:right w:val="single" w:sz="12" w:space="0" w:color="auto"/>
            </w:tcBorders>
          </w:tcPr>
          <w:p w14:paraId="4F20126D" w14:textId="77777777" w:rsidR="009030B5" w:rsidRPr="005D4F27" w:rsidRDefault="009030B5" w:rsidP="009030B5">
            <w:pPr>
              <w:rPr>
                <w:rFonts w:eastAsia="Calibri"/>
              </w:rPr>
            </w:pPr>
            <w:proofErr w:type="spellStart"/>
            <w:r w:rsidRPr="005D4F27">
              <w:rPr>
                <w:rFonts w:eastAsia="Calibri"/>
              </w:rPr>
              <w:t>Pentachlorphenol</w:t>
            </w:r>
            <w:proofErr w:type="spellEnd"/>
            <w:r w:rsidRPr="005D4F27">
              <w:rPr>
                <w:rFonts w:eastAsia="Calibri"/>
              </w:rPr>
              <w:t xml:space="preserve"> (PCP)</w:t>
            </w:r>
          </w:p>
        </w:tc>
        <w:tc>
          <w:tcPr>
            <w:tcW w:w="1842" w:type="dxa"/>
            <w:tcBorders>
              <w:left w:val="single" w:sz="12" w:space="0" w:color="auto"/>
            </w:tcBorders>
            <w:vAlign w:val="center"/>
          </w:tcPr>
          <w:p w14:paraId="1C6FB026" w14:textId="77777777" w:rsidR="009030B5" w:rsidRPr="005D4F27" w:rsidRDefault="009030B5" w:rsidP="009030B5">
            <w:pPr>
              <w:jc w:val="center"/>
              <w:rPr>
                <w:rFonts w:eastAsia="Calibri"/>
              </w:rPr>
            </w:pPr>
            <w:r w:rsidRPr="005D4F27">
              <w:rPr>
                <w:rFonts w:eastAsia="Calibri"/>
              </w:rPr>
              <w:t>0,1</w:t>
            </w:r>
          </w:p>
        </w:tc>
      </w:tr>
      <w:tr w:rsidR="009030B5" w:rsidRPr="005D4F27" w14:paraId="7B3E7160" w14:textId="77777777" w:rsidTr="009030B5">
        <w:tc>
          <w:tcPr>
            <w:tcW w:w="6648" w:type="dxa"/>
            <w:tcBorders>
              <w:right w:val="single" w:sz="12" w:space="0" w:color="auto"/>
            </w:tcBorders>
          </w:tcPr>
          <w:p w14:paraId="45E98B5E" w14:textId="77777777" w:rsidR="009030B5" w:rsidRPr="005D4F27" w:rsidRDefault="009030B5" w:rsidP="009030B5">
            <w:pPr>
              <w:rPr>
                <w:rFonts w:eastAsia="Calibri"/>
              </w:rPr>
            </w:pPr>
            <w:r w:rsidRPr="005D4F27">
              <w:rPr>
                <w:rFonts w:eastAsia="Calibri"/>
              </w:rPr>
              <w:t>Phenol</w:t>
            </w:r>
          </w:p>
        </w:tc>
        <w:tc>
          <w:tcPr>
            <w:tcW w:w="1842" w:type="dxa"/>
            <w:tcBorders>
              <w:left w:val="single" w:sz="12" w:space="0" w:color="auto"/>
            </w:tcBorders>
            <w:vAlign w:val="center"/>
          </w:tcPr>
          <w:p w14:paraId="2B9481A5" w14:textId="77777777" w:rsidR="009030B5" w:rsidRPr="005D4F27" w:rsidRDefault="009030B5" w:rsidP="009030B5">
            <w:pPr>
              <w:jc w:val="center"/>
              <w:rPr>
                <w:rFonts w:eastAsia="Calibri"/>
              </w:rPr>
            </w:pPr>
            <w:r w:rsidRPr="005D4F27">
              <w:rPr>
                <w:rFonts w:eastAsia="Calibri"/>
              </w:rPr>
              <w:t>80</w:t>
            </w:r>
          </w:p>
        </w:tc>
      </w:tr>
      <w:tr w:rsidR="009030B5" w:rsidRPr="005D4F27" w14:paraId="75C1F0DE" w14:textId="77777777" w:rsidTr="009030B5">
        <w:tc>
          <w:tcPr>
            <w:tcW w:w="6648" w:type="dxa"/>
            <w:tcBorders>
              <w:right w:val="single" w:sz="12" w:space="0" w:color="auto"/>
            </w:tcBorders>
          </w:tcPr>
          <w:p w14:paraId="2590794C" w14:textId="77777777" w:rsidR="009030B5" w:rsidRPr="005D4F27" w:rsidRDefault="009030B5" w:rsidP="009030B5">
            <w:pPr>
              <w:rPr>
                <w:rFonts w:eastAsia="Calibri"/>
              </w:rPr>
            </w:pPr>
            <w:r w:rsidRPr="005D4F27">
              <w:rPr>
                <w:rFonts w:eastAsia="Calibri"/>
              </w:rPr>
              <w:t>Summe aus PCB</w:t>
            </w:r>
            <w:r w:rsidRPr="005D4F27">
              <w:rPr>
                <w:rFonts w:eastAsia="Calibri"/>
                <w:vertAlign w:val="subscript"/>
              </w:rPr>
              <w:t>6</w:t>
            </w:r>
            <w:r w:rsidRPr="005D4F27">
              <w:rPr>
                <w:rFonts w:eastAsia="Calibri"/>
              </w:rPr>
              <w:t xml:space="preserve"> und PCB 118</w:t>
            </w:r>
          </w:p>
        </w:tc>
        <w:tc>
          <w:tcPr>
            <w:tcW w:w="1842" w:type="dxa"/>
            <w:tcBorders>
              <w:left w:val="single" w:sz="12" w:space="0" w:color="auto"/>
            </w:tcBorders>
            <w:vAlign w:val="center"/>
          </w:tcPr>
          <w:p w14:paraId="328A112E" w14:textId="77777777" w:rsidR="009030B5" w:rsidRPr="005D4F27" w:rsidRDefault="009030B5" w:rsidP="009030B5">
            <w:pPr>
              <w:jc w:val="center"/>
              <w:rPr>
                <w:rFonts w:eastAsia="Calibri"/>
              </w:rPr>
            </w:pPr>
            <w:r w:rsidRPr="005D4F27">
              <w:rPr>
                <w:rFonts w:eastAsia="Calibri"/>
              </w:rPr>
              <w:t>0,01</w:t>
            </w:r>
          </w:p>
        </w:tc>
      </w:tr>
      <w:tr w:rsidR="009030B5" w:rsidRPr="005D4F27" w14:paraId="4E611B9F" w14:textId="77777777" w:rsidTr="009030B5">
        <w:tc>
          <w:tcPr>
            <w:tcW w:w="6648" w:type="dxa"/>
            <w:tcBorders>
              <w:right w:val="single" w:sz="12" w:space="0" w:color="auto"/>
            </w:tcBorders>
          </w:tcPr>
          <w:p w14:paraId="2C4268B7" w14:textId="77777777" w:rsidR="009030B5" w:rsidRPr="005D4F27" w:rsidRDefault="009030B5" w:rsidP="009030B5">
            <w:pPr>
              <w:rPr>
                <w:rFonts w:eastAsia="Calibri"/>
              </w:rPr>
            </w:pPr>
            <w:r w:rsidRPr="005D4F27">
              <w:rPr>
                <w:rFonts w:eastAsia="Calibri"/>
              </w:rPr>
              <w:t>PAK</w:t>
            </w:r>
            <w:r w:rsidRPr="005D4F27">
              <w:rPr>
                <w:rFonts w:eastAsia="Calibri"/>
                <w:vertAlign w:val="subscript"/>
              </w:rPr>
              <w:t>15</w:t>
            </w:r>
            <w:r w:rsidRPr="005D4F27">
              <w:rPr>
                <w:rFonts w:eastAsia="Calibri"/>
              </w:rPr>
              <w:t xml:space="preserve"> </w:t>
            </w:r>
            <w:r w:rsidRPr="005D4F27">
              <w:rPr>
                <w:rFonts w:eastAsia="Calibri"/>
                <w:vertAlign w:val="superscript"/>
              </w:rPr>
              <w:t>4)</w:t>
            </w:r>
          </w:p>
        </w:tc>
        <w:tc>
          <w:tcPr>
            <w:tcW w:w="1842" w:type="dxa"/>
            <w:tcBorders>
              <w:left w:val="single" w:sz="12" w:space="0" w:color="auto"/>
            </w:tcBorders>
            <w:vAlign w:val="center"/>
          </w:tcPr>
          <w:p w14:paraId="0AB7F5E5" w14:textId="77777777" w:rsidR="009030B5" w:rsidRPr="005D4F27" w:rsidRDefault="009030B5" w:rsidP="009030B5">
            <w:pPr>
              <w:jc w:val="center"/>
              <w:rPr>
                <w:rFonts w:eastAsia="Calibri"/>
              </w:rPr>
            </w:pPr>
            <w:r w:rsidRPr="005D4F27">
              <w:rPr>
                <w:rFonts w:eastAsia="Calibri"/>
              </w:rPr>
              <w:t>0,2</w:t>
            </w:r>
          </w:p>
        </w:tc>
      </w:tr>
      <w:tr w:rsidR="009030B5" w:rsidRPr="005D4F27" w14:paraId="20C8BB81" w14:textId="77777777" w:rsidTr="009030B5">
        <w:tc>
          <w:tcPr>
            <w:tcW w:w="6648" w:type="dxa"/>
            <w:tcBorders>
              <w:right w:val="single" w:sz="12" w:space="0" w:color="auto"/>
            </w:tcBorders>
          </w:tcPr>
          <w:p w14:paraId="7E6D7CE6" w14:textId="77777777" w:rsidR="009030B5" w:rsidRPr="005D4F27" w:rsidRDefault="009030B5" w:rsidP="009030B5">
            <w:pPr>
              <w:rPr>
                <w:rFonts w:eastAsia="Calibri"/>
              </w:rPr>
            </w:pPr>
            <w:r w:rsidRPr="005D4F27">
              <w:rPr>
                <w:rFonts w:eastAsia="Calibri"/>
              </w:rPr>
              <w:t xml:space="preserve">Naphthalin und </w:t>
            </w:r>
            <w:proofErr w:type="spellStart"/>
            <w:r w:rsidRPr="005D4F27">
              <w:rPr>
                <w:rFonts w:eastAsia="Calibri"/>
              </w:rPr>
              <w:t>Methylnaphthaline</w:t>
            </w:r>
            <w:proofErr w:type="spellEnd"/>
            <w:r w:rsidRPr="005D4F27">
              <w:rPr>
                <w:rFonts w:eastAsia="Calibri"/>
              </w:rPr>
              <w:t xml:space="preserve"> </w:t>
            </w:r>
          </w:p>
        </w:tc>
        <w:tc>
          <w:tcPr>
            <w:tcW w:w="1842" w:type="dxa"/>
            <w:tcBorders>
              <w:left w:val="single" w:sz="12" w:space="0" w:color="auto"/>
            </w:tcBorders>
            <w:vAlign w:val="center"/>
          </w:tcPr>
          <w:p w14:paraId="495D711A" w14:textId="77777777" w:rsidR="009030B5" w:rsidRPr="005D4F27" w:rsidRDefault="009030B5" w:rsidP="009030B5">
            <w:pPr>
              <w:jc w:val="center"/>
              <w:rPr>
                <w:rFonts w:eastAsia="Calibri"/>
              </w:rPr>
            </w:pPr>
            <w:r w:rsidRPr="005D4F27">
              <w:rPr>
                <w:rFonts w:eastAsia="Calibri"/>
              </w:rPr>
              <w:t>2</w:t>
            </w:r>
          </w:p>
        </w:tc>
      </w:tr>
      <w:tr w:rsidR="009030B5" w:rsidRPr="005D4F27" w14:paraId="4317139B" w14:textId="77777777" w:rsidTr="009030B5">
        <w:tc>
          <w:tcPr>
            <w:tcW w:w="6648" w:type="dxa"/>
            <w:tcBorders>
              <w:right w:val="single" w:sz="12" w:space="0" w:color="auto"/>
            </w:tcBorders>
          </w:tcPr>
          <w:p w14:paraId="4FCDFB29" w14:textId="77777777" w:rsidR="009030B5" w:rsidRPr="005D4F27" w:rsidRDefault="009030B5" w:rsidP="009030B5">
            <w:pPr>
              <w:rPr>
                <w:rFonts w:eastAsia="Calibri"/>
              </w:rPr>
            </w:pPr>
            <w:r w:rsidRPr="005D4F27">
              <w:rPr>
                <w:rFonts w:eastAsia="Calibri"/>
              </w:rPr>
              <w:t xml:space="preserve">2,4-Dinitrotoluol </w:t>
            </w:r>
          </w:p>
        </w:tc>
        <w:tc>
          <w:tcPr>
            <w:tcW w:w="1842" w:type="dxa"/>
            <w:tcBorders>
              <w:left w:val="single" w:sz="12" w:space="0" w:color="auto"/>
            </w:tcBorders>
            <w:vAlign w:val="center"/>
          </w:tcPr>
          <w:p w14:paraId="2C292FAF" w14:textId="77777777" w:rsidR="009030B5" w:rsidRPr="005D4F27" w:rsidRDefault="009030B5" w:rsidP="009030B5">
            <w:pPr>
              <w:jc w:val="center"/>
              <w:rPr>
                <w:rFonts w:eastAsia="Calibri"/>
              </w:rPr>
            </w:pPr>
            <w:r w:rsidRPr="005D4F27">
              <w:rPr>
                <w:rFonts w:eastAsia="Calibri"/>
              </w:rPr>
              <w:t>0,05</w:t>
            </w:r>
          </w:p>
        </w:tc>
      </w:tr>
      <w:tr w:rsidR="009030B5" w:rsidRPr="005D4F27" w14:paraId="212F28C7" w14:textId="77777777" w:rsidTr="009030B5">
        <w:tc>
          <w:tcPr>
            <w:tcW w:w="6648" w:type="dxa"/>
            <w:tcBorders>
              <w:right w:val="single" w:sz="12" w:space="0" w:color="auto"/>
            </w:tcBorders>
          </w:tcPr>
          <w:p w14:paraId="675802A3" w14:textId="77777777" w:rsidR="009030B5" w:rsidRPr="005D4F27" w:rsidRDefault="009030B5" w:rsidP="009030B5">
            <w:pPr>
              <w:rPr>
                <w:rFonts w:eastAsia="Calibri"/>
              </w:rPr>
            </w:pPr>
            <w:r w:rsidRPr="005D4F27">
              <w:rPr>
                <w:rFonts w:eastAsia="Calibri"/>
              </w:rPr>
              <w:t xml:space="preserve">2,6-Dinitrotoluol </w:t>
            </w:r>
          </w:p>
        </w:tc>
        <w:tc>
          <w:tcPr>
            <w:tcW w:w="1842" w:type="dxa"/>
            <w:tcBorders>
              <w:left w:val="single" w:sz="12" w:space="0" w:color="auto"/>
            </w:tcBorders>
            <w:vAlign w:val="center"/>
          </w:tcPr>
          <w:p w14:paraId="366A258B" w14:textId="77777777" w:rsidR="009030B5" w:rsidRPr="005D4F27" w:rsidRDefault="009030B5" w:rsidP="009030B5">
            <w:pPr>
              <w:jc w:val="center"/>
              <w:rPr>
                <w:rFonts w:eastAsia="Calibri"/>
              </w:rPr>
            </w:pPr>
            <w:r w:rsidRPr="005D4F27">
              <w:rPr>
                <w:rFonts w:eastAsia="Calibri"/>
              </w:rPr>
              <w:t>0,05</w:t>
            </w:r>
          </w:p>
        </w:tc>
      </w:tr>
      <w:tr w:rsidR="009030B5" w:rsidRPr="005D4F27" w14:paraId="480581D4" w14:textId="77777777" w:rsidTr="009030B5">
        <w:tc>
          <w:tcPr>
            <w:tcW w:w="6648" w:type="dxa"/>
            <w:tcBorders>
              <w:right w:val="single" w:sz="12" w:space="0" w:color="auto"/>
            </w:tcBorders>
          </w:tcPr>
          <w:p w14:paraId="293C279F" w14:textId="77777777" w:rsidR="009030B5" w:rsidRPr="005D4F27" w:rsidRDefault="009030B5" w:rsidP="009030B5">
            <w:pPr>
              <w:rPr>
                <w:rFonts w:eastAsia="Calibri"/>
              </w:rPr>
            </w:pPr>
            <w:r w:rsidRPr="005D4F27">
              <w:rPr>
                <w:rFonts w:eastAsia="Calibri"/>
              </w:rPr>
              <w:t xml:space="preserve">2,4,6-Trinitrotoluol (TNT) </w:t>
            </w:r>
          </w:p>
        </w:tc>
        <w:tc>
          <w:tcPr>
            <w:tcW w:w="1842" w:type="dxa"/>
            <w:tcBorders>
              <w:left w:val="single" w:sz="12" w:space="0" w:color="auto"/>
            </w:tcBorders>
            <w:vAlign w:val="center"/>
          </w:tcPr>
          <w:p w14:paraId="03C8C3A0" w14:textId="77777777" w:rsidR="009030B5" w:rsidRPr="005D4F27" w:rsidRDefault="009030B5" w:rsidP="009030B5">
            <w:pPr>
              <w:jc w:val="center"/>
              <w:rPr>
                <w:rFonts w:eastAsia="Calibri"/>
              </w:rPr>
            </w:pPr>
            <w:r w:rsidRPr="005D4F27">
              <w:rPr>
                <w:rFonts w:eastAsia="Calibri"/>
              </w:rPr>
              <w:t>0,2</w:t>
            </w:r>
          </w:p>
        </w:tc>
      </w:tr>
      <w:tr w:rsidR="009030B5" w:rsidRPr="005D4F27" w14:paraId="16C78B1C" w14:textId="77777777" w:rsidTr="009030B5">
        <w:tc>
          <w:tcPr>
            <w:tcW w:w="6648" w:type="dxa"/>
            <w:tcBorders>
              <w:right w:val="single" w:sz="12" w:space="0" w:color="auto"/>
            </w:tcBorders>
          </w:tcPr>
          <w:p w14:paraId="16527E68" w14:textId="77777777" w:rsidR="009030B5" w:rsidRPr="005D4F27" w:rsidRDefault="009030B5" w:rsidP="009030B5">
            <w:pPr>
              <w:rPr>
                <w:rFonts w:eastAsia="Calibri"/>
              </w:rPr>
            </w:pPr>
            <w:r w:rsidRPr="005D4F27">
              <w:rPr>
                <w:rFonts w:eastAsia="Calibri"/>
              </w:rPr>
              <w:t>2,2‘, 4,4‘, 6,6‘-Hexanitrodiphenylamin (</w:t>
            </w:r>
            <w:proofErr w:type="spellStart"/>
            <w:r w:rsidRPr="005D4F27">
              <w:rPr>
                <w:rFonts w:eastAsia="Calibri"/>
              </w:rPr>
              <w:t>Hexyl</w:t>
            </w:r>
            <w:proofErr w:type="spellEnd"/>
            <w:r w:rsidRPr="005D4F27">
              <w:rPr>
                <w:rFonts w:eastAsia="Calibri"/>
              </w:rPr>
              <w:t>)</w:t>
            </w:r>
          </w:p>
        </w:tc>
        <w:tc>
          <w:tcPr>
            <w:tcW w:w="1842" w:type="dxa"/>
            <w:tcBorders>
              <w:left w:val="single" w:sz="12" w:space="0" w:color="auto"/>
            </w:tcBorders>
            <w:vAlign w:val="center"/>
          </w:tcPr>
          <w:p w14:paraId="75C80DD5" w14:textId="77777777" w:rsidR="009030B5" w:rsidRPr="005D4F27" w:rsidRDefault="009030B5" w:rsidP="009030B5">
            <w:pPr>
              <w:jc w:val="center"/>
              <w:rPr>
                <w:rFonts w:eastAsia="Calibri"/>
              </w:rPr>
            </w:pPr>
            <w:r w:rsidRPr="005D4F27">
              <w:rPr>
                <w:rFonts w:eastAsia="Calibri"/>
              </w:rPr>
              <w:t>2</w:t>
            </w:r>
          </w:p>
        </w:tc>
      </w:tr>
      <w:tr w:rsidR="009030B5" w:rsidRPr="005D4F27" w14:paraId="7062BF76" w14:textId="77777777" w:rsidTr="009030B5">
        <w:tc>
          <w:tcPr>
            <w:tcW w:w="6648" w:type="dxa"/>
            <w:tcBorders>
              <w:right w:val="single" w:sz="12" w:space="0" w:color="auto"/>
            </w:tcBorders>
          </w:tcPr>
          <w:p w14:paraId="003065DA" w14:textId="77777777" w:rsidR="009030B5" w:rsidRPr="005D4F27" w:rsidRDefault="009030B5" w:rsidP="009030B5">
            <w:pPr>
              <w:rPr>
                <w:rFonts w:eastAsia="Calibri"/>
              </w:rPr>
            </w:pPr>
            <w:r w:rsidRPr="005D4F27">
              <w:rPr>
                <w:rFonts w:eastAsia="Calibri"/>
              </w:rPr>
              <w:t>1,3,5-Trinitro-hexahydro-1,3,5-triazin (Hexogen)</w:t>
            </w:r>
          </w:p>
        </w:tc>
        <w:tc>
          <w:tcPr>
            <w:tcW w:w="1842" w:type="dxa"/>
            <w:tcBorders>
              <w:left w:val="single" w:sz="12" w:space="0" w:color="auto"/>
            </w:tcBorders>
            <w:vAlign w:val="center"/>
          </w:tcPr>
          <w:p w14:paraId="5BC003E8" w14:textId="77777777" w:rsidR="009030B5" w:rsidRPr="005D4F27" w:rsidRDefault="009030B5" w:rsidP="009030B5">
            <w:pPr>
              <w:jc w:val="center"/>
              <w:rPr>
                <w:rFonts w:eastAsia="Calibri"/>
              </w:rPr>
            </w:pPr>
            <w:r w:rsidRPr="005D4F27">
              <w:rPr>
                <w:rFonts w:eastAsia="Calibri"/>
              </w:rPr>
              <w:t>1</w:t>
            </w:r>
          </w:p>
        </w:tc>
      </w:tr>
      <w:tr w:rsidR="009030B5" w:rsidRPr="005D4F27" w14:paraId="5E1AA431" w14:textId="77777777" w:rsidTr="009030B5">
        <w:tc>
          <w:tcPr>
            <w:tcW w:w="6648" w:type="dxa"/>
            <w:tcBorders>
              <w:right w:val="single" w:sz="12" w:space="0" w:color="auto"/>
            </w:tcBorders>
          </w:tcPr>
          <w:p w14:paraId="1757F47A" w14:textId="77777777" w:rsidR="009030B5" w:rsidRPr="005D4F27" w:rsidRDefault="009030B5" w:rsidP="009030B5">
            <w:pPr>
              <w:rPr>
                <w:rFonts w:eastAsia="Calibri"/>
              </w:rPr>
            </w:pPr>
            <w:r w:rsidRPr="005D4F27">
              <w:rPr>
                <w:rFonts w:eastAsia="Calibri"/>
              </w:rPr>
              <w:t>Nitropenta (</w:t>
            </w:r>
            <w:proofErr w:type="spellStart"/>
            <w:r w:rsidRPr="005D4F27">
              <w:rPr>
                <w:rFonts w:eastAsia="Calibri"/>
              </w:rPr>
              <w:t>Pentaerythrityltetranitrat</w:t>
            </w:r>
            <w:proofErr w:type="spellEnd"/>
            <w:r w:rsidRPr="005D4F27">
              <w:rPr>
                <w:rFonts w:eastAsia="Calibri"/>
              </w:rPr>
              <w:t xml:space="preserve"> (PETN))</w:t>
            </w:r>
          </w:p>
        </w:tc>
        <w:tc>
          <w:tcPr>
            <w:tcW w:w="1842" w:type="dxa"/>
            <w:tcBorders>
              <w:left w:val="single" w:sz="12" w:space="0" w:color="auto"/>
            </w:tcBorders>
            <w:vAlign w:val="center"/>
          </w:tcPr>
          <w:p w14:paraId="244AA14C" w14:textId="77777777" w:rsidR="009030B5" w:rsidRPr="005D4F27" w:rsidRDefault="009030B5" w:rsidP="009030B5">
            <w:pPr>
              <w:jc w:val="center"/>
              <w:rPr>
                <w:rFonts w:eastAsia="Calibri"/>
              </w:rPr>
            </w:pPr>
            <w:r w:rsidRPr="005D4F27">
              <w:rPr>
                <w:rFonts w:eastAsia="Calibri"/>
              </w:rPr>
              <w:t>10</w:t>
            </w:r>
          </w:p>
        </w:tc>
      </w:tr>
      <w:tr w:rsidR="009030B5" w:rsidRPr="005D4F27" w14:paraId="4B9CABA0" w14:textId="77777777" w:rsidTr="009030B5">
        <w:tc>
          <w:tcPr>
            <w:tcW w:w="6648" w:type="dxa"/>
            <w:tcBorders>
              <w:right w:val="single" w:sz="12" w:space="0" w:color="auto"/>
            </w:tcBorders>
          </w:tcPr>
          <w:p w14:paraId="3F19E5DC" w14:textId="77777777" w:rsidR="009030B5" w:rsidRPr="005D4F27" w:rsidRDefault="009030B5" w:rsidP="009030B5">
            <w:pPr>
              <w:rPr>
                <w:rFonts w:eastAsia="Calibri"/>
              </w:rPr>
            </w:pPr>
            <w:proofErr w:type="spellStart"/>
            <w:r w:rsidRPr="005D4F27">
              <w:rPr>
                <w:rFonts w:eastAsia="Calibri"/>
                <w:color w:val="000000"/>
                <w:kern w:val="24"/>
              </w:rPr>
              <w:t>Perfluorbutansäure</w:t>
            </w:r>
            <w:proofErr w:type="spellEnd"/>
            <w:r w:rsidRPr="005D4F27">
              <w:rPr>
                <w:rFonts w:eastAsia="Calibri"/>
                <w:color w:val="000000"/>
                <w:kern w:val="24"/>
              </w:rPr>
              <w:t xml:space="preserve"> (PFBA)</w:t>
            </w:r>
          </w:p>
        </w:tc>
        <w:tc>
          <w:tcPr>
            <w:tcW w:w="1842" w:type="dxa"/>
            <w:tcBorders>
              <w:left w:val="single" w:sz="12" w:space="0" w:color="auto"/>
            </w:tcBorders>
            <w:vAlign w:val="center"/>
          </w:tcPr>
          <w:p w14:paraId="5F93FEA3" w14:textId="77777777" w:rsidR="009030B5" w:rsidRPr="005D4F27" w:rsidRDefault="009030B5" w:rsidP="009030B5">
            <w:pPr>
              <w:jc w:val="center"/>
              <w:rPr>
                <w:rFonts w:eastAsia="Calibri"/>
              </w:rPr>
            </w:pPr>
            <w:r w:rsidRPr="005D4F27">
              <w:rPr>
                <w:rFonts w:eastAsia="Calibri"/>
              </w:rPr>
              <w:t>10</w:t>
            </w:r>
          </w:p>
        </w:tc>
      </w:tr>
      <w:tr w:rsidR="009030B5" w:rsidRPr="005D4F27" w14:paraId="4A98BF9A" w14:textId="77777777" w:rsidTr="009030B5">
        <w:tc>
          <w:tcPr>
            <w:tcW w:w="6648" w:type="dxa"/>
            <w:tcBorders>
              <w:right w:val="single" w:sz="12" w:space="0" w:color="auto"/>
            </w:tcBorders>
          </w:tcPr>
          <w:p w14:paraId="5470EEFE" w14:textId="77777777" w:rsidR="009030B5" w:rsidRPr="005D4F27" w:rsidRDefault="009030B5" w:rsidP="009030B5">
            <w:pPr>
              <w:rPr>
                <w:rFonts w:eastAsia="Calibri"/>
              </w:rPr>
            </w:pPr>
            <w:proofErr w:type="spellStart"/>
            <w:r w:rsidRPr="005D4F27">
              <w:rPr>
                <w:rFonts w:eastAsia="Calibri"/>
                <w:color w:val="000000"/>
                <w:kern w:val="24"/>
              </w:rPr>
              <w:lastRenderedPageBreak/>
              <w:t>Perfluorhexansäure</w:t>
            </w:r>
            <w:proofErr w:type="spellEnd"/>
            <w:r w:rsidRPr="005D4F27">
              <w:rPr>
                <w:rFonts w:eastAsia="Calibri"/>
                <w:color w:val="000000"/>
                <w:kern w:val="24"/>
              </w:rPr>
              <w:t xml:space="preserve"> (</w:t>
            </w:r>
            <w:proofErr w:type="spellStart"/>
            <w:r w:rsidRPr="005D4F27">
              <w:rPr>
                <w:rFonts w:eastAsia="Calibri"/>
                <w:color w:val="000000"/>
                <w:kern w:val="24"/>
              </w:rPr>
              <w:t>PFHxA</w:t>
            </w:r>
            <w:proofErr w:type="spellEnd"/>
            <w:r w:rsidRPr="005D4F27">
              <w:rPr>
                <w:rFonts w:eastAsia="Calibri"/>
                <w:color w:val="000000"/>
                <w:kern w:val="24"/>
              </w:rPr>
              <w:t>)</w:t>
            </w:r>
          </w:p>
        </w:tc>
        <w:tc>
          <w:tcPr>
            <w:tcW w:w="1842" w:type="dxa"/>
            <w:tcBorders>
              <w:left w:val="single" w:sz="12" w:space="0" w:color="auto"/>
            </w:tcBorders>
            <w:vAlign w:val="center"/>
          </w:tcPr>
          <w:p w14:paraId="0B8D6643" w14:textId="77777777" w:rsidR="009030B5" w:rsidRPr="005D4F27" w:rsidRDefault="009030B5" w:rsidP="009030B5">
            <w:pPr>
              <w:jc w:val="center"/>
              <w:rPr>
                <w:rFonts w:eastAsia="Calibri"/>
              </w:rPr>
            </w:pPr>
            <w:r w:rsidRPr="005D4F27">
              <w:rPr>
                <w:rFonts w:eastAsia="Calibri"/>
              </w:rPr>
              <w:t>6</w:t>
            </w:r>
          </w:p>
        </w:tc>
      </w:tr>
      <w:tr w:rsidR="009030B5" w:rsidRPr="005D4F27" w14:paraId="5A106DA1" w14:textId="77777777" w:rsidTr="009030B5">
        <w:tc>
          <w:tcPr>
            <w:tcW w:w="6648" w:type="dxa"/>
            <w:tcBorders>
              <w:right w:val="single" w:sz="12" w:space="0" w:color="auto"/>
            </w:tcBorders>
          </w:tcPr>
          <w:p w14:paraId="60FB57AD" w14:textId="77777777" w:rsidR="009030B5" w:rsidRPr="005D4F27" w:rsidRDefault="009030B5" w:rsidP="009030B5">
            <w:pPr>
              <w:rPr>
                <w:rFonts w:eastAsia="Calibri"/>
              </w:rPr>
            </w:pPr>
            <w:proofErr w:type="spellStart"/>
            <w:r w:rsidRPr="005D4F27">
              <w:rPr>
                <w:rFonts w:eastAsia="Calibri"/>
                <w:color w:val="000000"/>
                <w:kern w:val="24"/>
              </w:rPr>
              <w:t>Perfluoroktansäure</w:t>
            </w:r>
            <w:proofErr w:type="spellEnd"/>
            <w:r w:rsidRPr="005D4F27">
              <w:rPr>
                <w:rFonts w:eastAsia="Calibri"/>
                <w:color w:val="000000"/>
                <w:kern w:val="24"/>
              </w:rPr>
              <w:t xml:space="preserve"> (PFOA)</w:t>
            </w:r>
          </w:p>
        </w:tc>
        <w:tc>
          <w:tcPr>
            <w:tcW w:w="1842" w:type="dxa"/>
            <w:tcBorders>
              <w:left w:val="single" w:sz="12" w:space="0" w:color="auto"/>
            </w:tcBorders>
            <w:vAlign w:val="center"/>
          </w:tcPr>
          <w:p w14:paraId="255F74CC" w14:textId="77777777" w:rsidR="009030B5" w:rsidRPr="005D4F27" w:rsidRDefault="009030B5" w:rsidP="009030B5">
            <w:pPr>
              <w:jc w:val="center"/>
              <w:rPr>
                <w:rFonts w:eastAsia="Calibri"/>
              </w:rPr>
            </w:pPr>
            <w:r w:rsidRPr="005D4F27">
              <w:rPr>
                <w:rFonts w:eastAsia="Calibri"/>
              </w:rPr>
              <w:t>0,1</w:t>
            </w:r>
          </w:p>
        </w:tc>
      </w:tr>
      <w:tr w:rsidR="009030B5" w:rsidRPr="005D4F27" w14:paraId="2BB7667B" w14:textId="77777777" w:rsidTr="009030B5">
        <w:tc>
          <w:tcPr>
            <w:tcW w:w="6648" w:type="dxa"/>
            <w:tcBorders>
              <w:right w:val="single" w:sz="12" w:space="0" w:color="auto"/>
            </w:tcBorders>
          </w:tcPr>
          <w:p w14:paraId="434AAA2E" w14:textId="77777777" w:rsidR="009030B5" w:rsidRPr="005D4F27" w:rsidRDefault="009030B5" w:rsidP="009030B5">
            <w:pPr>
              <w:rPr>
                <w:rFonts w:eastAsia="Calibri"/>
              </w:rPr>
            </w:pPr>
            <w:proofErr w:type="spellStart"/>
            <w:r w:rsidRPr="005D4F27">
              <w:rPr>
                <w:rFonts w:eastAsia="Calibri"/>
                <w:color w:val="000000"/>
                <w:kern w:val="24"/>
              </w:rPr>
              <w:t>Perfluornonansäure</w:t>
            </w:r>
            <w:proofErr w:type="spellEnd"/>
            <w:r w:rsidRPr="005D4F27">
              <w:rPr>
                <w:rFonts w:eastAsia="Calibri"/>
                <w:color w:val="000000"/>
                <w:kern w:val="24"/>
              </w:rPr>
              <w:t xml:space="preserve"> (PFNA)</w:t>
            </w:r>
          </w:p>
        </w:tc>
        <w:tc>
          <w:tcPr>
            <w:tcW w:w="1842" w:type="dxa"/>
            <w:tcBorders>
              <w:left w:val="single" w:sz="12" w:space="0" w:color="auto"/>
            </w:tcBorders>
            <w:vAlign w:val="center"/>
          </w:tcPr>
          <w:p w14:paraId="226F87BF" w14:textId="77777777" w:rsidR="009030B5" w:rsidRPr="005D4F27" w:rsidRDefault="009030B5" w:rsidP="009030B5">
            <w:pPr>
              <w:jc w:val="center"/>
              <w:rPr>
                <w:rFonts w:eastAsia="Calibri"/>
              </w:rPr>
            </w:pPr>
            <w:r w:rsidRPr="005D4F27">
              <w:rPr>
                <w:rFonts w:eastAsia="Calibri"/>
              </w:rPr>
              <w:t>0,06</w:t>
            </w:r>
          </w:p>
        </w:tc>
      </w:tr>
      <w:tr w:rsidR="009030B5" w:rsidRPr="005D4F27" w14:paraId="2685C03D" w14:textId="77777777" w:rsidTr="009030B5">
        <w:tc>
          <w:tcPr>
            <w:tcW w:w="6648" w:type="dxa"/>
            <w:tcBorders>
              <w:right w:val="single" w:sz="12" w:space="0" w:color="auto"/>
            </w:tcBorders>
          </w:tcPr>
          <w:p w14:paraId="35E34A16" w14:textId="77777777" w:rsidR="009030B5" w:rsidRPr="005D4F27" w:rsidRDefault="009030B5" w:rsidP="009030B5">
            <w:pPr>
              <w:rPr>
                <w:rFonts w:eastAsia="Calibri"/>
              </w:rPr>
            </w:pPr>
            <w:proofErr w:type="spellStart"/>
            <w:r w:rsidRPr="005D4F27">
              <w:rPr>
                <w:rFonts w:eastAsia="Calibri"/>
                <w:color w:val="000000"/>
                <w:kern w:val="24"/>
              </w:rPr>
              <w:t>Perfluorbutansulfonsäure</w:t>
            </w:r>
            <w:proofErr w:type="spellEnd"/>
            <w:r w:rsidRPr="005D4F27">
              <w:rPr>
                <w:rFonts w:eastAsia="Calibri"/>
                <w:color w:val="000000"/>
                <w:kern w:val="24"/>
              </w:rPr>
              <w:t xml:space="preserve"> (PFBS)</w:t>
            </w:r>
          </w:p>
        </w:tc>
        <w:tc>
          <w:tcPr>
            <w:tcW w:w="1842" w:type="dxa"/>
            <w:tcBorders>
              <w:left w:val="single" w:sz="12" w:space="0" w:color="auto"/>
            </w:tcBorders>
            <w:vAlign w:val="center"/>
          </w:tcPr>
          <w:p w14:paraId="6B9DF9D1" w14:textId="77777777" w:rsidR="009030B5" w:rsidRPr="005D4F27" w:rsidRDefault="009030B5" w:rsidP="009030B5">
            <w:pPr>
              <w:jc w:val="center"/>
              <w:rPr>
                <w:rFonts w:eastAsia="Calibri"/>
              </w:rPr>
            </w:pPr>
            <w:r w:rsidRPr="005D4F27">
              <w:rPr>
                <w:rFonts w:eastAsia="Calibri"/>
              </w:rPr>
              <w:t>6</w:t>
            </w:r>
          </w:p>
        </w:tc>
      </w:tr>
      <w:tr w:rsidR="009030B5" w:rsidRPr="005D4F27" w14:paraId="05687EA2" w14:textId="77777777" w:rsidTr="009030B5">
        <w:tc>
          <w:tcPr>
            <w:tcW w:w="6648" w:type="dxa"/>
            <w:tcBorders>
              <w:right w:val="single" w:sz="12" w:space="0" w:color="auto"/>
            </w:tcBorders>
          </w:tcPr>
          <w:p w14:paraId="742C9AA1" w14:textId="77777777" w:rsidR="009030B5" w:rsidRPr="005D4F27" w:rsidRDefault="009030B5" w:rsidP="009030B5">
            <w:pPr>
              <w:rPr>
                <w:rFonts w:eastAsia="Calibri"/>
              </w:rPr>
            </w:pPr>
            <w:proofErr w:type="spellStart"/>
            <w:r w:rsidRPr="005D4F27">
              <w:rPr>
                <w:rFonts w:eastAsia="Calibri"/>
                <w:color w:val="000000"/>
                <w:kern w:val="24"/>
              </w:rPr>
              <w:t>Perfluorhexansulfonsäure</w:t>
            </w:r>
            <w:proofErr w:type="spellEnd"/>
            <w:r w:rsidRPr="005D4F27">
              <w:rPr>
                <w:rFonts w:eastAsia="Calibri"/>
                <w:color w:val="000000"/>
                <w:kern w:val="24"/>
              </w:rPr>
              <w:t xml:space="preserve"> (</w:t>
            </w:r>
            <w:proofErr w:type="spellStart"/>
            <w:r w:rsidRPr="005D4F27">
              <w:rPr>
                <w:rFonts w:eastAsia="Calibri"/>
                <w:color w:val="000000"/>
                <w:kern w:val="24"/>
              </w:rPr>
              <w:t>PFHxS</w:t>
            </w:r>
            <w:proofErr w:type="spellEnd"/>
            <w:r w:rsidRPr="005D4F27">
              <w:rPr>
                <w:rFonts w:eastAsia="Calibri"/>
                <w:color w:val="000000"/>
                <w:kern w:val="24"/>
              </w:rPr>
              <w:t>)</w:t>
            </w:r>
          </w:p>
        </w:tc>
        <w:tc>
          <w:tcPr>
            <w:tcW w:w="1842" w:type="dxa"/>
            <w:tcBorders>
              <w:left w:val="single" w:sz="12" w:space="0" w:color="auto"/>
            </w:tcBorders>
            <w:vAlign w:val="center"/>
          </w:tcPr>
          <w:p w14:paraId="6E3514B6" w14:textId="77777777" w:rsidR="009030B5" w:rsidRPr="005D4F27" w:rsidRDefault="009030B5" w:rsidP="009030B5">
            <w:pPr>
              <w:jc w:val="center"/>
              <w:rPr>
                <w:rFonts w:eastAsia="Calibri"/>
              </w:rPr>
            </w:pPr>
            <w:r w:rsidRPr="005D4F27">
              <w:rPr>
                <w:rFonts w:eastAsia="Calibri"/>
              </w:rPr>
              <w:t>0,1</w:t>
            </w:r>
          </w:p>
        </w:tc>
      </w:tr>
      <w:tr w:rsidR="009030B5" w:rsidRPr="005D4F27" w14:paraId="62A38976" w14:textId="77777777" w:rsidTr="009030B5">
        <w:tc>
          <w:tcPr>
            <w:tcW w:w="6648" w:type="dxa"/>
            <w:tcBorders>
              <w:bottom w:val="single" w:sz="12" w:space="0" w:color="auto"/>
              <w:right w:val="single" w:sz="12" w:space="0" w:color="auto"/>
            </w:tcBorders>
          </w:tcPr>
          <w:p w14:paraId="14CED1B7" w14:textId="77777777" w:rsidR="009030B5" w:rsidRPr="005D4F27" w:rsidRDefault="009030B5" w:rsidP="009030B5">
            <w:pPr>
              <w:rPr>
                <w:rFonts w:eastAsia="Calibri"/>
              </w:rPr>
            </w:pPr>
            <w:proofErr w:type="spellStart"/>
            <w:r w:rsidRPr="005D4F27">
              <w:rPr>
                <w:rFonts w:eastAsia="Calibri"/>
                <w:color w:val="000000"/>
                <w:kern w:val="24"/>
              </w:rPr>
              <w:t>Perfluoroktansulfonsäure</w:t>
            </w:r>
            <w:proofErr w:type="spellEnd"/>
            <w:r w:rsidRPr="005D4F27">
              <w:rPr>
                <w:rFonts w:eastAsia="Calibri"/>
                <w:color w:val="000000"/>
                <w:kern w:val="24"/>
              </w:rPr>
              <w:t xml:space="preserve"> (PFOS)</w:t>
            </w:r>
          </w:p>
        </w:tc>
        <w:tc>
          <w:tcPr>
            <w:tcW w:w="1842" w:type="dxa"/>
            <w:tcBorders>
              <w:left w:val="single" w:sz="12" w:space="0" w:color="auto"/>
            </w:tcBorders>
            <w:vAlign w:val="center"/>
          </w:tcPr>
          <w:p w14:paraId="5D500A2F" w14:textId="77777777" w:rsidR="009030B5" w:rsidRPr="005D4F27" w:rsidRDefault="009030B5" w:rsidP="009030B5">
            <w:pPr>
              <w:jc w:val="center"/>
              <w:rPr>
                <w:rFonts w:eastAsia="Calibri"/>
              </w:rPr>
            </w:pPr>
            <w:r w:rsidRPr="005D4F27">
              <w:rPr>
                <w:rFonts w:eastAsia="Calibri"/>
              </w:rPr>
              <w:t>0,1</w:t>
            </w:r>
          </w:p>
        </w:tc>
      </w:tr>
    </w:tbl>
    <w:p w14:paraId="36DD4C49" w14:textId="77777777" w:rsidR="009030B5" w:rsidRPr="005D4F27" w:rsidRDefault="009030B5" w:rsidP="009030B5">
      <w:pPr>
        <w:rPr>
          <w:rFonts w:eastAsia="Calibri"/>
        </w:rPr>
      </w:pPr>
    </w:p>
    <w:p w14:paraId="62C44CE2" w14:textId="77777777" w:rsidR="009030B5" w:rsidRPr="005D4F27" w:rsidRDefault="009030B5" w:rsidP="009030B5">
      <w:pPr>
        <w:rPr>
          <w:rFonts w:eastAsia="Calibri"/>
        </w:rPr>
      </w:pPr>
      <w:r w:rsidRPr="005D4F27">
        <w:rPr>
          <w:rFonts w:eastAsia="Calibri"/>
          <w:vertAlign w:val="superscript"/>
        </w:rPr>
        <w:t>1)</w:t>
      </w:r>
      <w:r>
        <w:rPr>
          <w:rFonts w:eastAsia="Calibri"/>
          <w:vertAlign w:val="superscript"/>
        </w:rPr>
        <w:t xml:space="preserve"> </w:t>
      </w:r>
      <w:r w:rsidRPr="005D4F27">
        <w:rPr>
          <w:rFonts w:eastAsia="Calibri"/>
        </w:rPr>
        <w:t xml:space="preserve">Summe Benzol, </w:t>
      </w:r>
      <w:r>
        <w:rPr>
          <w:rFonts w:eastAsia="Calibri"/>
        </w:rPr>
        <w:t xml:space="preserve">Toluol, Ethylbenzol und </w:t>
      </w:r>
      <w:proofErr w:type="spellStart"/>
      <w:r>
        <w:rPr>
          <w:rFonts w:eastAsia="Calibri"/>
        </w:rPr>
        <w:t>Xylole</w:t>
      </w:r>
      <w:proofErr w:type="spellEnd"/>
      <w:r>
        <w:rPr>
          <w:rFonts w:eastAsia="Calibri"/>
        </w:rPr>
        <w:t>.</w:t>
      </w:r>
    </w:p>
    <w:p w14:paraId="1FC65511" w14:textId="77777777" w:rsidR="009030B5" w:rsidRPr="005D4F27" w:rsidRDefault="009030B5" w:rsidP="009030B5">
      <w:pPr>
        <w:ind w:left="227" w:hanging="227"/>
        <w:rPr>
          <w:rFonts w:eastAsia="Calibri"/>
        </w:rPr>
      </w:pPr>
      <w:r w:rsidRPr="005D4F27">
        <w:rPr>
          <w:rFonts w:eastAsia="Calibri"/>
          <w:vertAlign w:val="superscript"/>
        </w:rPr>
        <w:t>2)</w:t>
      </w:r>
      <w:r>
        <w:rPr>
          <w:rFonts w:eastAsia="Calibri"/>
          <w:vertAlign w:val="superscript"/>
        </w:rPr>
        <w:t xml:space="preserve"> </w:t>
      </w:r>
      <w:r w:rsidRPr="005D4F27">
        <w:rPr>
          <w:rFonts w:eastAsia="Calibri"/>
        </w:rPr>
        <w:t>Summe der Kohlenwasserstoffe, die zwischen n-Dekan (C 10) und n-Tetracontan (C 40) von der gaschromatogr</w:t>
      </w:r>
      <w:r>
        <w:rPr>
          <w:rFonts w:eastAsia="Calibri"/>
        </w:rPr>
        <w:t>aphischen Säule eluieren.</w:t>
      </w:r>
    </w:p>
    <w:p w14:paraId="16BA3449" w14:textId="77777777" w:rsidR="009030B5" w:rsidRPr="005D4F27" w:rsidRDefault="009030B5" w:rsidP="009030B5">
      <w:pPr>
        <w:rPr>
          <w:rFonts w:eastAsia="Calibri"/>
        </w:rPr>
      </w:pPr>
      <w:r w:rsidRPr="005D4F27">
        <w:rPr>
          <w:rFonts w:eastAsia="Calibri"/>
          <w:vertAlign w:val="superscript"/>
        </w:rPr>
        <w:t>3)</w:t>
      </w:r>
      <w:r>
        <w:rPr>
          <w:rFonts w:eastAsia="Calibri"/>
          <w:vertAlign w:val="superscript"/>
        </w:rPr>
        <w:t xml:space="preserve"> </w:t>
      </w:r>
      <w:r w:rsidRPr="005D4F27">
        <w:rPr>
          <w:rFonts w:eastAsia="Calibri"/>
        </w:rPr>
        <w:t xml:space="preserve">Summe leichtflüchtige Halogenkohlenwasserstoffe (LHKW): Summe der halogenierten C1- und C2-Kohlenwasserstoffe; einschließlich </w:t>
      </w:r>
      <w:proofErr w:type="spellStart"/>
      <w:r w:rsidRPr="005D4F27">
        <w:rPr>
          <w:rFonts w:eastAsia="Calibri"/>
        </w:rPr>
        <w:t>Trihalogenmethane</w:t>
      </w:r>
      <w:proofErr w:type="spellEnd"/>
      <w:r w:rsidRPr="005D4F27">
        <w:rPr>
          <w:rFonts w:eastAsia="Calibri"/>
        </w:rPr>
        <w:t xml:space="preserve">. Der Prüfwert für </w:t>
      </w:r>
      <w:proofErr w:type="spellStart"/>
      <w:r w:rsidRPr="005D4F27">
        <w:rPr>
          <w:rFonts w:eastAsia="Calibri"/>
        </w:rPr>
        <w:t>Chlorethen</w:t>
      </w:r>
      <w:proofErr w:type="spellEnd"/>
      <w:r w:rsidRPr="005D4F27">
        <w:rPr>
          <w:rFonts w:eastAsia="Calibri"/>
        </w:rPr>
        <w:t xml:space="preserve"> ist zusätzlich einzuhalten. </w:t>
      </w:r>
    </w:p>
    <w:p w14:paraId="00749676" w14:textId="5732B0E8" w:rsidR="009030B5" w:rsidRDefault="009030B5" w:rsidP="009030B5">
      <w:pPr>
        <w:rPr>
          <w:rFonts w:eastAsia="Calibri"/>
        </w:rPr>
      </w:pPr>
      <w:r w:rsidRPr="005D4F27">
        <w:rPr>
          <w:rFonts w:eastAsia="Calibri"/>
          <w:vertAlign w:val="superscript"/>
        </w:rPr>
        <w:t>4)</w:t>
      </w:r>
      <w:r>
        <w:rPr>
          <w:rFonts w:eastAsia="Calibri"/>
          <w:vertAlign w:val="superscript"/>
        </w:rPr>
        <w:t xml:space="preserve"> </w:t>
      </w:r>
      <w:r w:rsidRPr="005D4F27">
        <w:rPr>
          <w:rFonts w:eastAsia="Calibri"/>
        </w:rPr>
        <w:t>PAK</w:t>
      </w:r>
      <w:r w:rsidRPr="005D4F27">
        <w:rPr>
          <w:rFonts w:eastAsia="Calibri"/>
          <w:vertAlign w:val="subscript"/>
        </w:rPr>
        <w:t>15</w:t>
      </w:r>
      <w:r w:rsidRPr="005D4F27">
        <w:rPr>
          <w:rFonts w:eastAsia="Calibri"/>
        </w:rPr>
        <w:t>: PAK</w:t>
      </w:r>
      <w:r w:rsidRPr="005D4F27">
        <w:rPr>
          <w:rFonts w:eastAsia="Calibri"/>
          <w:vertAlign w:val="subscript"/>
        </w:rPr>
        <w:t>16</w:t>
      </w:r>
      <w:r w:rsidRPr="005D4F27">
        <w:rPr>
          <w:rFonts w:eastAsia="Calibri"/>
        </w:rPr>
        <w:t xml:space="preserve"> ohne Naphthalin und </w:t>
      </w:r>
      <w:proofErr w:type="spellStart"/>
      <w:r w:rsidRPr="005D4F27">
        <w:rPr>
          <w:rFonts w:eastAsia="Calibri"/>
        </w:rPr>
        <w:t>Methylnaphthaline</w:t>
      </w:r>
      <w:proofErr w:type="spellEnd"/>
      <w:r w:rsidRPr="005D4F27">
        <w:rPr>
          <w:rFonts w:eastAsia="Calibri"/>
        </w:rPr>
        <w:t>.</w:t>
      </w:r>
    </w:p>
    <w:p w14:paraId="4B53DC31" w14:textId="40F3EFF9" w:rsidR="009030B5" w:rsidRPr="009030B5" w:rsidRDefault="009030B5" w:rsidP="009030B5">
      <w:pPr>
        <w:pStyle w:val="berschrift1"/>
      </w:pPr>
      <w:r>
        <w:rPr>
          <w:rFonts w:eastAsia="Calibri"/>
        </w:rPr>
        <w:br w:type="page"/>
      </w:r>
      <w:r w:rsidRPr="008D0377">
        <w:lastRenderedPageBreak/>
        <w:t>Tabelle 4: Prüfwerte für den Wirkungspfad Boden-Mensch</w:t>
      </w:r>
    </w:p>
    <w:tbl>
      <w:tblPr>
        <w:tblW w:w="8901" w:type="dxa"/>
        <w:tblLayout w:type="fixed"/>
        <w:tblCellMar>
          <w:left w:w="119" w:type="dxa"/>
          <w:right w:w="119" w:type="dxa"/>
        </w:tblCellMar>
        <w:tblLook w:val="0000" w:firstRow="0" w:lastRow="0" w:firstColumn="0" w:lastColumn="0" w:noHBand="0" w:noVBand="0"/>
      </w:tblPr>
      <w:tblGrid>
        <w:gridCol w:w="2820"/>
        <w:gridCol w:w="1560"/>
        <w:gridCol w:w="1268"/>
        <w:gridCol w:w="1410"/>
        <w:gridCol w:w="1843"/>
      </w:tblGrid>
      <w:tr w:rsidR="009030B5" w:rsidRPr="005D4F27" w14:paraId="45BD2AE7" w14:textId="77777777" w:rsidTr="009030B5">
        <w:trPr>
          <w:tblHeader/>
        </w:trPr>
        <w:tc>
          <w:tcPr>
            <w:tcW w:w="2820" w:type="dxa"/>
            <w:tcBorders>
              <w:top w:val="single" w:sz="12" w:space="0" w:color="auto"/>
              <w:left w:val="single" w:sz="12" w:space="0" w:color="auto"/>
              <w:bottom w:val="single" w:sz="12" w:space="0" w:color="auto"/>
              <w:right w:val="single" w:sz="12" w:space="0" w:color="auto"/>
            </w:tcBorders>
            <w:shd w:val="clear" w:color="auto" w:fill="EEECE1"/>
          </w:tcPr>
          <w:p w14:paraId="7CC2C270" w14:textId="77777777" w:rsidR="009030B5" w:rsidRPr="005D4F27" w:rsidRDefault="009030B5" w:rsidP="009030B5">
            <w:pPr>
              <w:rPr>
                <w:rFonts w:eastAsia="Calibri"/>
                <w:b/>
                <w:lang w:val="nl-NL"/>
              </w:rPr>
            </w:pPr>
            <w:r w:rsidRPr="005D4F27">
              <w:rPr>
                <w:rFonts w:eastAsia="Calibri"/>
                <w:b/>
                <w:lang w:val="nl-NL"/>
              </w:rPr>
              <w:t>Stoff</w:t>
            </w:r>
          </w:p>
        </w:tc>
        <w:tc>
          <w:tcPr>
            <w:tcW w:w="1560" w:type="dxa"/>
            <w:tcBorders>
              <w:top w:val="single" w:sz="12" w:space="0" w:color="auto"/>
              <w:left w:val="single" w:sz="12" w:space="0" w:color="auto"/>
              <w:bottom w:val="single" w:sz="12" w:space="0" w:color="auto"/>
              <w:right w:val="nil"/>
            </w:tcBorders>
            <w:shd w:val="clear" w:color="auto" w:fill="EEECE1"/>
          </w:tcPr>
          <w:p w14:paraId="56AA436A" w14:textId="77777777" w:rsidR="009030B5" w:rsidRPr="005D4F27" w:rsidRDefault="009030B5" w:rsidP="009030B5">
            <w:pPr>
              <w:rPr>
                <w:rFonts w:eastAsia="Calibri"/>
                <w:b/>
              </w:rPr>
            </w:pPr>
            <w:r w:rsidRPr="005D4F27">
              <w:rPr>
                <w:rFonts w:eastAsia="Calibri"/>
                <w:b/>
              </w:rPr>
              <w:t>Kinderspiel-flächen</w:t>
            </w:r>
          </w:p>
        </w:tc>
        <w:tc>
          <w:tcPr>
            <w:tcW w:w="1268" w:type="dxa"/>
            <w:tcBorders>
              <w:top w:val="single" w:sz="12" w:space="0" w:color="auto"/>
              <w:left w:val="single" w:sz="6" w:space="0" w:color="auto"/>
              <w:bottom w:val="single" w:sz="12" w:space="0" w:color="auto"/>
              <w:right w:val="nil"/>
            </w:tcBorders>
            <w:shd w:val="clear" w:color="auto" w:fill="EEECE1"/>
          </w:tcPr>
          <w:p w14:paraId="5CE915BE" w14:textId="77777777" w:rsidR="009030B5" w:rsidRPr="005D4F27" w:rsidRDefault="009030B5" w:rsidP="009030B5">
            <w:pPr>
              <w:rPr>
                <w:rFonts w:eastAsia="Calibri"/>
                <w:b/>
              </w:rPr>
            </w:pPr>
            <w:r w:rsidRPr="005D4F27">
              <w:rPr>
                <w:rFonts w:eastAsia="Calibri"/>
                <w:b/>
              </w:rPr>
              <w:t>Wohn</w:t>
            </w:r>
            <w:r w:rsidRPr="005D4F27">
              <w:rPr>
                <w:rFonts w:eastAsia="Calibri"/>
                <w:b/>
              </w:rPr>
              <w:softHyphen/>
              <w:t>gebiete</w:t>
            </w:r>
          </w:p>
        </w:tc>
        <w:tc>
          <w:tcPr>
            <w:tcW w:w="1410" w:type="dxa"/>
            <w:tcBorders>
              <w:top w:val="single" w:sz="12" w:space="0" w:color="auto"/>
              <w:left w:val="single" w:sz="6" w:space="0" w:color="auto"/>
              <w:bottom w:val="single" w:sz="12" w:space="0" w:color="auto"/>
              <w:right w:val="nil"/>
            </w:tcBorders>
            <w:shd w:val="clear" w:color="auto" w:fill="EEECE1"/>
          </w:tcPr>
          <w:p w14:paraId="74F40ADD" w14:textId="77777777" w:rsidR="009030B5" w:rsidRPr="005D4F27" w:rsidRDefault="009030B5" w:rsidP="009030B5">
            <w:pPr>
              <w:rPr>
                <w:rFonts w:eastAsia="Calibri"/>
                <w:b/>
              </w:rPr>
            </w:pPr>
            <w:r w:rsidRPr="005D4F27">
              <w:rPr>
                <w:rFonts w:eastAsia="Calibri"/>
                <w:b/>
              </w:rPr>
              <w:t>Park- und Freizeit</w:t>
            </w:r>
            <w:r w:rsidRPr="005D4F27">
              <w:rPr>
                <w:rFonts w:eastAsia="Calibri"/>
                <w:b/>
              </w:rPr>
              <w:softHyphen/>
              <w:t>anlagen</w:t>
            </w:r>
          </w:p>
        </w:tc>
        <w:tc>
          <w:tcPr>
            <w:tcW w:w="1843" w:type="dxa"/>
            <w:tcBorders>
              <w:top w:val="single" w:sz="12" w:space="0" w:color="auto"/>
              <w:left w:val="single" w:sz="6" w:space="0" w:color="auto"/>
              <w:bottom w:val="single" w:sz="12" w:space="0" w:color="auto"/>
              <w:right w:val="single" w:sz="12" w:space="0" w:color="auto"/>
            </w:tcBorders>
            <w:shd w:val="clear" w:color="auto" w:fill="EEECE1"/>
          </w:tcPr>
          <w:p w14:paraId="5151AF41" w14:textId="77777777" w:rsidR="009030B5" w:rsidRPr="005D4F27" w:rsidRDefault="009030B5" w:rsidP="009030B5">
            <w:pPr>
              <w:rPr>
                <w:rFonts w:eastAsia="Calibri"/>
                <w:b/>
              </w:rPr>
            </w:pPr>
            <w:r w:rsidRPr="005D4F27">
              <w:rPr>
                <w:rFonts w:eastAsia="Calibri"/>
                <w:b/>
              </w:rPr>
              <w:t>Industrie- und Gewerbe</w:t>
            </w:r>
            <w:r w:rsidRPr="005D4F27">
              <w:rPr>
                <w:rFonts w:eastAsia="Calibri"/>
                <w:b/>
              </w:rPr>
              <w:softHyphen/>
              <w:t>grundstücke</w:t>
            </w:r>
          </w:p>
        </w:tc>
      </w:tr>
      <w:tr w:rsidR="009030B5" w:rsidRPr="005D4F27" w14:paraId="7D6F9114" w14:textId="77777777" w:rsidTr="009030B5">
        <w:trPr>
          <w:tblHeader/>
        </w:trPr>
        <w:tc>
          <w:tcPr>
            <w:tcW w:w="2820" w:type="dxa"/>
            <w:tcBorders>
              <w:top w:val="single" w:sz="12" w:space="0" w:color="auto"/>
              <w:left w:val="single" w:sz="12" w:space="0" w:color="auto"/>
              <w:bottom w:val="single" w:sz="12" w:space="0" w:color="auto"/>
              <w:right w:val="single" w:sz="12" w:space="0" w:color="auto"/>
            </w:tcBorders>
            <w:shd w:val="clear" w:color="auto" w:fill="EEECE1"/>
          </w:tcPr>
          <w:p w14:paraId="0523B50A" w14:textId="77777777" w:rsidR="009030B5" w:rsidRPr="005D4F27" w:rsidRDefault="009030B5" w:rsidP="009030B5">
            <w:pPr>
              <w:rPr>
                <w:rFonts w:eastAsia="Calibri"/>
                <w:b/>
                <w:lang w:val="nl-NL"/>
              </w:rPr>
            </w:pPr>
          </w:p>
        </w:tc>
        <w:tc>
          <w:tcPr>
            <w:tcW w:w="6081" w:type="dxa"/>
            <w:gridSpan w:val="4"/>
            <w:tcBorders>
              <w:top w:val="single" w:sz="12" w:space="0" w:color="auto"/>
              <w:left w:val="single" w:sz="12" w:space="0" w:color="auto"/>
              <w:bottom w:val="single" w:sz="12" w:space="0" w:color="auto"/>
              <w:right w:val="single" w:sz="12" w:space="0" w:color="auto"/>
            </w:tcBorders>
            <w:shd w:val="clear" w:color="auto" w:fill="EEECE1"/>
          </w:tcPr>
          <w:p w14:paraId="45E5014C" w14:textId="77777777" w:rsidR="009030B5" w:rsidRPr="005D4F27" w:rsidRDefault="009030B5" w:rsidP="009030B5">
            <w:pPr>
              <w:jc w:val="center"/>
              <w:rPr>
                <w:rFonts w:eastAsia="Calibri"/>
              </w:rPr>
            </w:pPr>
            <w:r w:rsidRPr="005D4F27">
              <w:rPr>
                <w:rFonts w:eastAsia="Calibri"/>
              </w:rPr>
              <w:t>[mg/kg]</w:t>
            </w:r>
          </w:p>
        </w:tc>
      </w:tr>
      <w:tr w:rsidR="009030B5" w:rsidRPr="005D4F27" w14:paraId="687491B0" w14:textId="77777777" w:rsidTr="009030B5">
        <w:tc>
          <w:tcPr>
            <w:tcW w:w="2820" w:type="dxa"/>
            <w:tcBorders>
              <w:top w:val="single" w:sz="12" w:space="0" w:color="auto"/>
              <w:left w:val="single" w:sz="12" w:space="0" w:color="auto"/>
              <w:bottom w:val="single" w:sz="6" w:space="0" w:color="auto"/>
              <w:right w:val="single" w:sz="12" w:space="0" w:color="auto"/>
            </w:tcBorders>
            <w:vAlign w:val="center"/>
          </w:tcPr>
          <w:p w14:paraId="3C1DAF9E" w14:textId="77777777" w:rsidR="009030B5" w:rsidRPr="005D4F27" w:rsidRDefault="009030B5" w:rsidP="009030B5">
            <w:pPr>
              <w:rPr>
                <w:rFonts w:eastAsia="Calibri"/>
              </w:rPr>
            </w:pPr>
            <w:r w:rsidRPr="005D4F27">
              <w:rPr>
                <w:rFonts w:eastAsia="Calibri"/>
              </w:rPr>
              <w:t>Antimon</w:t>
            </w:r>
          </w:p>
        </w:tc>
        <w:tc>
          <w:tcPr>
            <w:tcW w:w="1560" w:type="dxa"/>
            <w:tcBorders>
              <w:top w:val="single" w:sz="12" w:space="0" w:color="auto"/>
              <w:left w:val="single" w:sz="12" w:space="0" w:color="auto"/>
              <w:bottom w:val="nil"/>
              <w:right w:val="nil"/>
            </w:tcBorders>
            <w:vAlign w:val="center"/>
          </w:tcPr>
          <w:p w14:paraId="59E703E8" w14:textId="77777777" w:rsidR="009030B5" w:rsidRPr="005D4F27" w:rsidRDefault="009030B5" w:rsidP="009030B5">
            <w:pPr>
              <w:jc w:val="center"/>
              <w:rPr>
                <w:rFonts w:eastAsia="Calibri"/>
              </w:rPr>
            </w:pPr>
            <w:r w:rsidRPr="005D4F27">
              <w:rPr>
                <w:rFonts w:eastAsia="Calibri"/>
              </w:rPr>
              <w:t>50</w:t>
            </w:r>
          </w:p>
        </w:tc>
        <w:tc>
          <w:tcPr>
            <w:tcW w:w="1268" w:type="dxa"/>
            <w:tcBorders>
              <w:top w:val="single" w:sz="12" w:space="0" w:color="auto"/>
              <w:left w:val="single" w:sz="6" w:space="0" w:color="auto"/>
              <w:bottom w:val="nil"/>
              <w:right w:val="nil"/>
            </w:tcBorders>
            <w:vAlign w:val="center"/>
          </w:tcPr>
          <w:p w14:paraId="0E8DCE60" w14:textId="77777777" w:rsidR="009030B5" w:rsidRPr="005D4F27" w:rsidRDefault="009030B5" w:rsidP="009030B5">
            <w:pPr>
              <w:jc w:val="center"/>
              <w:rPr>
                <w:rFonts w:eastAsia="Calibri"/>
              </w:rPr>
            </w:pPr>
            <w:r w:rsidRPr="005D4F27">
              <w:rPr>
                <w:rFonts w:eastAsia="Calibri"/>
              </w:rPr>
              <w:t>100</w:t>
            </w:r>
          </w:p>
        </w:tc>
        <w:tc>
          <w:tcPr>
            <w:tcW w:w="1410" w:type="dxa"/>
            <w:tcBorders>
              <w:top w:val="single" w:sz="12" w:space="0" w:color="auto"/>
              <w:left w:val="single" w:sz="6" w:space="0" w:color="auto"/>
              <w:bottom w:val="nil"/>
              <w:right w:val="nil"/>
            </w:tcBorders>
            <w:vAlign w:val="center"/>
          </w:tcPr>
          <w:p w14:paraId="7132EC59" w14:textId="77777777" w:rsidR="009030B5" w:rsidRPr="005D4F27" w:rsidRDefault="009030B5" w:rsidP="009030B5">
            <w:pPr>
              <w:jc w:val="center"/>
              <w:rPr>
                <w:rFonts w:eastAsia="Calibri"/>
              </w:rPr>
            </w:pPr>
            <w:r w:rsidRPr="005D4F27">
              <w:rPr>
                <w:rFonts w:eastAsia="Calibri"/>
              </w:rPr>
              <w:t>250</w:t>
            </w:r>
          </w:p>
        </w:tc>
        <w:tc>
          <w:tcPr>
            <w:tcW w:w="1843" w:type="dxa"/>
            <w:tcBorders>
              <w:top w:val="single" w:sz="12" w:space="0" w:color="auto"/>
              <w:left w:val="single" w:sz="6" w:space="0" w:color="auto"/>
              <w:bottom w:val="single" w:sz="6" w:space="0" w:color="auto"/>
              <w:right w:val="single" w:sz="12" w:space="0" w:color="auto"/>
            </w:tcBorders>
            <w:vAlign w:val="center"/>
          </w:tcPr>
          <w:p w14:paraId="49A20A5E" w14:textId="77777777" w:rsidR="009030B5" w:rsidRPr="005D4F27" w:rsidRDefault="009030B5" w:rsidP="009030B5">
            <w:pPr>
              <w:jc w:val="center"/>
              <w:rPr>
                <w:rFonts w:eastAsia="Calibri"/>
              </w:rPr>
            </w:pPr>
            <w:r w:rsidRPr="005D4F27">
              <w:rPr>
                <w:rFonts w:eastAsia="Calibri"/>
              </w:rPr>
              <w:t>250</w:t>
            </w:r>
          </w:p>
        </w:tc>
      </w:tr>
      <w:tr w:rsidR="009030B5" w:rsidRPr="005D4F27" w14:paraId="1DF0D956" w14:textId="77777777" w:rsidTr="009030B5">
        <w:tc>
          <w:tcPr>
            <w:tcW w:w="2820" w:type="dxa"/>
            <w:tcBorders>
              <w:top w:val="single" w:sz="6" w:space="0" w:color="auto"/>
              <w:left w:val="single" w:sz="12" w:space="0" w:color="auto"/>
              <w:bottom w:val="single" w:sz="6" w:space="0" w:color="auto"/>
              <w:right w:val="single" w:sz="12" w:space="0" w:color="auto"/>
            </w:tcBorders>
          </w:tcPr>
          <w:p w14:paraId="5B05E919" w14:textId="77777777" w:rsidR="009030B5" w:rsidRPr="005D4F27" w:rsidRDefault="009030B5" w:rsidP="009030B5">
            <w:pPr>
              <w:rPr>
                <w:rFonts w:eastAsia="Calibri"/>
              </w:rPr>
            </w:pPr>
            <w:r w:rsidRPr="005D4F27">
              <w:rPr>
                <w:rFonts w:eastAsia="Calibri"/>
              </w:rPr>
              <w:t>Arsen</w:t>
            </w:r>
          </w:p>
        </w:tc>
        <w:tc>
          <w:tcPr>
            <w:tcW w:w="1560" w:type="dxa"/>
            <w:tcBorders>
              <w:top w:val="single" w:sz="6" w:space="0" w:color="auto"/>
              <w:left w:val="single" w:sz="12" w:space="0" w:color="auto"/>
              <w:bottom w:val="nil"/>
              <w:right w:val="nil"/>
            </w:tcBorders>
            <w:vAlign w:val="center"/>
          </w:tcPr>
          <w:p w14:paraId="0CCC4DF6" w14:textId="77777777" w:rsidR="009030B5" w:rsidRPr="005D4F27" w:rsidRDefault="009030B5" w:rsidP="009030B5">
            <w:pPr>
              <w:jc w:val="center"/>
              <w:rPr>
                <w:rFonts w:eastAsia="Calibri"/>
              </w:rPr>
            </w:pPr>
            <w:r w:rsidRPr="005D4F27">
              <w:rPr>
                <w:rFonts w:eastAsia="Calibri"/>
              </w:rPr>
              <w:t>25</w:t>
            </w:r>
          </w:p>
        </w:tc>
        <w:tc>
          <w:tcPr>
            <w:tcW w:w="1268" w:type="dxa"/>
            <w:tcBorders>
              <w:top w:val="single" w:sz="6" w:space="0" w:color="auto"/>
              <w:left w:val="single" w:sz="6" w:space="0" w:color="auto"/>
              <w:bottom w:val="nil"/>
              <w:right w:val="nil"/>
            </w:tcBorders>
            <w:vAlign w:val="center"/>
          </w:tcPr>
          <w:p w14:paraId="14D77CBC" w14:textId="77777777" w:rsidR="009030B5" w:rsidRPr="005D4F27" w:rsidRDefault="009030B5" w:rsidP="009030B5">
            <w:pPr>
              <w:jc w:val="center"/>
              <w:rPr>
                <w:rFonts w:eastAsia="Calibri"/>
              </w:rPr>
            </w:pPr>
            <w:r w:rsidRPr="005D4F27">
              <w:rPr>
                <w:rFonts w:eastAsia="Calibri"/>
              </w:rPr>
              <w:t>50</w:t>
            </w:r>
          </w:p>
        </w:tc>
        <w:tc>
          <w:tcPr>
            <w:tcW w:w="1410" w:type="dxa"/>
            <w:tcBorders>
              <w:top w:val="single" w:sz="6" w:space="0" w:color="auto"/>
              <w:left w:val="single" w:sz="6" w:space="0" w:color="auto"/>
              <w:bottom w:val="nil"/>
              <w:right w:val="nil"/>
            </w:tcBorders>
            <w:vAlign w:val="center"/>
          </w:tcPr>
          <w:p w14:paraId="29D8EBC6" w14:textId="77777777" w:rsidR="009030B5" w:rsidRPr="005D4F27" w:rsidRDefault="009030B5" w:rsidP="009030B5">
            <w:pPr>
              <w:jc w:val="center"/>
              <w:rPr>
                <w:rFonts w:eastAsia="Calibri"/>
              </w:rPr>
            </w:pPr>
            <w:r w:rsidRPr="005D4F27">
              <w:rPr>
                <w:rFonts w:eastAsia="Calibri"/>
              </w:rPr>
              <w:t>125</w:t>
            </w:r>
          </w:p>
        </w:tc>
        <w:tc>
          <w:tcPr>
            <w:tcW w:w="1843" w:type="dxa"/>
            <w:tcBorders>
              <w:top w:val="single" w:sz="6" w:space="0" w:color="auto"/>
              <w:left w:val="single" w:sz="6" w:space="0" w:color="auto"/>
              <w:bottom w:val="single" w:sz="6" w:space="0" w:color="auto"/>
              <w:right w:val="single" w:sz="12" w:space="0" w:color="auto"/>
            </w:tcBorders>
            <w:vAlign w:val="center"/>
          </w:tcPr>
          <w:p w14:paraId="01D9DC9B" w14:textId="77777777" w:rsidR="009030B5" w:rsidRPr="005D4F27" w:rsidRDefault="009030B5" w:rsidP="009030B5">
            <w:pPr>
              <w:jc w:val="center"/>
              <w:rPr>
                <w:rFonts w:eastAsia="Calibri"/>
              </w:rPr>
            </w:pPr>
            <w:r w:rsidRPr="005D4F27">
              <w:rPr>
                <w:rFonts w:eastAsia="Calibri"/>
              </w:rPr>
              <w:t>140</w:t>
            </w:r>
          </w:p>
        </w:tc>
      </w:tr>
      <w:tr w:rsidR="009030B5" w:rsidRPr="005D4F27" w14:paraId="1967ABFE" w14:textId="77777777" w:rsidTr="009030B5">
        <w:tc>
          <w:tcPr>
            <w:tcW w:w="2820" w:type="dxa"/>
            <w:tcBorders>
              <w:top w:val="single" w:sz="6" w:space="0" w:color="auto"/>
              <w:left w:val="single" w:sz="12" w:space="0" w:color="auto"/>
              <w:bottom w:val="single" w:sz="6" w:space="0" w:color="auto"/>
              <w:right w:val="single" w:sz="12" w:space="0" w:color="auto"/>
            </w:tcBorders>
          </w:tcPr>
          <w:p w14:paraId="3BCE8678" w14:textId="77777777" w:rsidR="009030B5" w:rsidRPr="005D4F27" w:rsidRDefault="009030B5" w:rsidP="009030B5">
            <w:pPr>
              <w:rPr>
                <w:rFonts w:eastAsia="Calibri"/>
              </w:rPr>
            </w:pPr>
            <w:r w:rsidRPr="005D4F27">
              <w:rPr>
                <w:rFonts w:eastAsia="Calibri"/>
              </w:rPr>
              <w:t>Blei</w:t>
            </w:r>
          </w:p>
        </w:tc>
        <w:tc>
          <w:tcPr>
            <w:tcW w:w="1560" w:type="dxa"/>
            <w:tcBorders>
              <w:top w:val="single" w:sz="6" w:space="0" w:color="auto"/>
              <w:left w:val="single" w:sz="12" w:space="0" w:color="auto"/>
              <w:bottom w:val="nil"/>
              <w:right w:val="nil"/>
            </w:tcBorders>
            <w:vAlign w:val="center"/>
          </w:tcPr>
          <w:p w14:paraId="7D098C59" w14:textId="77777777" w:rsidR="009030B5" w:rsidRPr="005D4F27" w:rsidRDefault="009030B5" w:rsidP="009030B5">
            <w:pPr>
              <w:jc w:val="center"/>
              <w:rPr>
                <w:rFonts w:eastAsia="Calibri"/>
              </w:rPr>
            </w:pPr>
            <w:r w:rsidRPr="005D4F27">
              <w:rPr>
                <w:rFonts w:eastAsia="Calibri"/>
              </w:rPr>
              <w:t>200</w:t>
            </w:r>
          </w:p>
        </w:tc>
        <w:tc>
          <w:tcPr>
            <w:tcW w:w="1268" w:type="dxa"/>
            <w:tcBorders>
              <w:top w:val="single" w:sz="6" w:space="0" w:color="auto"/>
              <w:left w:val="single" w:sz="6" w:space="0" w:color="auto"/>
              <w:bottom w:val="nil"/>
              <w:right w:val="nil"/>
            </w:tcBorders>
            <w:vAlign w:val="center"/>
          </w:tcPr>
          <w:p w14:paraId="725A1B9B" w14:textId="77777777" w:rsidR="009030B5" w:rsidRPr="005D4F27" w:rsidRDefault="009030B5" w:rsidP="009030B5">
            <w:pPr>
              <w:jc w:val="center"/>
              <w:rPr>
                <w:rFonts w:eastAsia="Calibri"/>
              </w:rPr>
            </w:pPr>
            <w:r w:rsidRPr="005D4F27">
              <w:rPr>
                <w:rFonts w:eastAsia="Calibri"/>
              </w:rPr>
              <w:t>400</w:t>
            </w:r>
          </w:p>
        </w:tc>
        <w:tc>
          <w:tcPr>
            <w:tcW w:w="1410" w:type="dxa"/>
            <w:tcBorders>
              <w:top w:val="single" w:sz="6" w:space="0" w:color="auto"/>
              <w:left w:val="single" w:sz="6" w:space="0" w:color="auto"/>
              <w:bottom w:val="nil"/>
              <w:right w:val="nil"/>
            </w:tcBorders>
            <w:vAlign w:val="center"/>
          </w:tcPr>
          <w:p w14:paraId="05E1EB18" w14:textId="77777777" w:rsidR="009030B5" w:rsidRPr="005D4F27" w:rsidRDefault="009030B5" w:rsidP="009030B5">
            <w:pPr>
              <w:jc w:val="center"/>
              <w:rPr>
                <w:rFonts w:eastAsia="Calibri"/>
              </w:rPr>
            </w:pPr>
            <w:r w:rsidRPr="005D4F27">
              <w:rPr>
                <w:rFonts w:eastAsia="Calibri"/>
              </w:rPr>
              <w:t>1 000</w:t>
            </w:r>
          </w:p>
        </w:tc>
        <w:tc>
          <w:tcPr>
            <w:tcW w:w="1843" w:type="dxa"/>
            <w:tcBorders>
              <w:top w:val="single" w:sz="6" w:space="0" w:color="auto"/>
              <w:left w:val="single" w:sz="6" w:space="0" w:color="auto"/>
              <w:bottom w:val="single" w:sz="6" w:space="0" w:color="auto"/>
              <w:right w:val="single" w:sz="12" w:space="0" w:color="auto"/>
            </w:tcBorders>
            <w:vAlign w:val="center"/>
          </w:tcPr>
          <w:p w14:paraId="4704ACD8" w14:textId="77777777" w:rsidR="009030B5" w:rsidRPr="005D4F27" w:rsidRDefault="009030B5" w:rsidP="009030B5">
            <w:pPr>
              <w:jc w:val="center"/>
              <w:rPr>
                <w:rFonts w:eastAsia="Calibri"/>
              </w:rPr>
            </w:pPr>
            <w:r w:rsidRPr="005D4F27">
              <w:rPr>
                <w:rFonts w:eastAsia="Calibri"/>
              </w:rPr>
              <w:t>2 000</w:t>
            </w:r>
          </w:p>
        </w:tc>
      </w:tr>
      <w:tr w:rsidR="009030B5" w:rsidRPr="005D4F27" w14:paraId="2C7F82D1" w14:textId="77777777" w:rsidTr="009030B5">
        <w:tc>
          <w:tcPr>
            <w:tcW w:w="2820" w:type="dxa"/>
            <w:tcBorders>
              <w:top w:val="single" w:sz="6" w:space="0" w:color="auto"/>
              <w:left w:val="single" w:sz="12" w:space="0" w:color="auto"/>
              <w:bottom w:val="single" w:sz="6" w:space="0" w:color="auto"/>
              <w:right w:val="single" w:sz="12" w:space="0" w:color="auto"/>
            </w:tcBorders>
          </w:tcPr>
          <w:p w14:paraId="393DFABA" w14:textId="77777777" w:rsidR="009030B5" w:rsidRPr="005D4F27" w:rsidRDefault="009030B5" w:rsidP="009030B5">
            <w:pPr>
              <w:rPr>
                <w:rFonts w:eastAsia="Calibri"/>
              </w:rPr>
            </w:pPr>
            <w:r w:rsidRPr="005D4F27">
              <w:rPr>
                <w:rFonts w:eastAsia="Calibri"/>
              </w:rPr>
              <w:t>Cadmium</w:t>
            </w:r>
          </w:p>
        </w:tc>
        <w:tc>
          <w:tcPr>
            <w:tcW w:w="1560" w:type="dxa"/>
            <w:tcBorders>
              <w:top w:val="single" w:sz="6" w:space="0" w:color="auto"/>
              <w:left w:val="single" w:sz="12" w:space="0" w:color="auto"/>
              <w:bottom w:val="nil"/>
              <w:right w:val="nil"/>
            </w:tcBorders>
            <w:vAlign w:val="center"/>
          </w:tcPr>
          <w:p w14:paraId="19C8880A" w14:textId="77777777" w:rsidR="009030B5" w:rsidRPr="005D4F27" w:rsidRDefault="009030B5" w:rsidP="009030B5">
            <w:pPr>
              <w:jc w:val="center"/>
              <w:rPr>
                <w:rFonts w:eastAsia="Calibri"/>
              </w:rPr>
            </w:pPr>
            <w:r w:rsidRPr="005D4F27">
              <w:rPr>
                <w:rFonts w:eastAsia="Calibri"/>
              </w:rPr>
              <w:t>10</w:t>
            </w:r>
            <w:r w:rsidRPr="005D4F27">
              <w:rPr>
                <w:rFonts w:eastAsia="Calibri"/>
                <w:vertAlign w:val="superscript"/>
              </w:rPr>
              <w:t>1)</w:t>
            </w:r>
          </w:p>
        </w:tc>
        <w:tc>
          <w:tcPr>
            <w:tcW w:w="1268" w:type="dxa"/>
            <w:tcBorders>
              <w:top w:val="single" w:sz="6" w:space="0" w:color="auto"/>
              <w:left w:val="single" w:sz="6" w:space="0" w:color="auto"/>
              <w:bottom w:val="nil"/>
              <w:right w:val="nil"/>
            </w:tcBorders>
            <w:vAlign w:val="center"/>
          </w:tcPr>
          <w:p w14:paraId="3D17B2A3" w14:textId="77777777" w:rsidR="009030B5" w:rsidRPr="005D4F27" w:rsidRDefault="009030B5" w:rsidP="009030B5">
            <w:pPr>
              <w:jc w:val="center"/>
              <w:rPr>
                <w:rFonts w:eastAsia="Calibri"/>
              </w:rPr>
            </w:pPr>
            <w:r w:rsidRPr="005D4F27">
              <w:rPr>
                <w:rFonts w:eastAsia="Calibri"/>
              </w:rPr>
              <w:t>20</w:t>
            </w:r>
            <w:r w:rsidRPr="005D4F27">
              <w:rPr>
                <w:rFonts w:eastAsia="Calibri"/>
                <w:vertAlign w:val="superscript"/>
              </w:rPr>
              <w:t>1)</w:t>
            </w:r>
          </w:p>
        </w:tc>
        <w:tc>
          <w:tcPr>
            <w:tcW w:w="1410" w:type="dxa"/>
            <w:tcBorders>
              <w:top w:val="single" w:sz="6" w:space="0" w:color="auto"/>
              <w:left w:val="single" w:sz="6" w:space="0" w:color="auto"/>
              <w:bottom w:val="nil"/>
              <w:right w:val="nil"/>
            </w:tcBorders>
            <w:vAlign w:val="center"/>
          </w:tcPr>
          <w:p w14:paraId="512CEA3C" w14:textId="77777777" w:rsidR="009030B5" w:rsidRPr="005D4F27" w:rsidRDefault="009030B5" w:rsidP="009030B5">
            <w:pPr>
              <w:jc w:val="center"/>
              <w:rPr>
                <w:rFonts w:eastAsia="Calibri"/>
              </w:rPr>
            </w:pPr>
            <w:r w:rsidRPr="005D4F27">
              <w:rPr>
                <w:rFonts w:eastAsia="Calibri"/>
              </w:rPr>
              <w:t>50</w:t>
            </w:r>
          </w:p>
        </w:tc>
        <w:tc>
          <w:tcPr>
            <w:tcW w:w="1843" w:type="dxa"/>
            <w:tcBorders>
              <w:top w:val="single" w:sz="6" w:space="0" w:color="auto"/>
              <w:left w:val="single" w:sz="6" w:space="0" w:color="auto"/>
              <w:bottom w:val="single" w:sz="6" w:space="0" w:color="auto"/>
              <w:right w:val="single" w:sz="12" w:space="0" w:color="auto"/>
            </w:tcBorders>
            <w:vAlign w:val="center"/>
          </w:tcPr>
          <w:p w14:paraId="4322E387" w14:textId="77777777" w:rsidR="009030B5" w:rsidRPr="005D4F27" w:rsidRDefault="009030B5" w:rsidP="009030B5">
            <w:pPr>
              <w:jc w:val="center"/>
              <w:rPr>
                <w:rFonts w:eastAsia="Calibri"/>
              </w:rPr>
            </w:pPr>
            <w:r w:rsidRPr="005D4F27">
              <w:rPr>
                <w:rFonts w:eastAsia="Calibri"/>
              </w:rPr>
              <w:t>60</w:t>
            </w:r>
          </w:p>
        </w:tc>
      </w:tr>
      <w:tr w:rsidR="009030B5" w:rsidRPr="005D4F27" w14:paraId="3D8A7EA1" w14:textId="77777777" w:rsidTr="009030B5">
        <w:tc>
          <w:tcPr>
            <w:tcW w:w="2820" w:type="dxa"/>
            <w:tcBorders>
              <w:top w:val="single" w:sz="6" w:space="0" w:color="auto"/>
              <w:left w:val="single" w:sz="12" w:space="0" w:color="auto"/>
              <w:bottom w:val="single" w:sz="6" w:space="0" w:color="auto"/>
              <w:right w:val="single" w:sz="12" w:space="0" w:color="auto"/>
            </w:tcBorders>
          </w:tcPr>
          <w:p w14:paraId="32CA5E6C" w14:textId="77777777" w:rsidR="009030B5" w:rsidRPr="005D4F27" w:rsidRDefault="009030B5" w:rsidP="009030B5">
            <w:pPr>
              <w:rPr>
                <w:rFonts w:eastAsia="Calibri"/>
              </w:rPr>
            </w:pPr>
            <w:r w:rsidRPr="005D4F27">
              <w:rPr>
                <w:rFonts w:eastAsia="Calibri"/>
              </w:rPr>
              <w:t>Cyanide</w:t>
            </w:r>
          </w:p>
        </w:tc>
        <w:tc>
          <w:tcPr>
            <w:tcW w:w="1560" w:type="dxa"/>
            <w:tcBorders>
              <w:top w:val="single" w:sz="6" w:space="0" w:color="auto"/>
              <w:left w:val="single" w:sz="12" w:space="0" w:color="auto"/>
              <w:bottom w:val="nil"/>
              <w:right w:val="nil"/>
            </w:tcBorders>
            <w:vAlign w:val="center"/>
          </w:tcPr>
          <w:p w14:paraId="18952E8D" w14:textId="77777777" w:rsidR="009030B5" w:rsidRPr="005D4F27" w:rsidRDefault="009030B5" w:rsidP="009030B5">
            <w:pPr>
              <w:jc w:val="center"/>
              <w:rPr>
                <w:rFonts w:eastAsia="Calibri"/>
              </w:rPr>
            </w:pPr>
            <w:r w:rsidRPr="005D4F27">
              <w:rPr>
                <w:rFonts w:eastAsia="Calibri"/>
              </w:rPr>
              <w:t>50</w:t>
            </w:r>
          </w:p>
        </w:tc>
        <w:tc>
          <w:tcPr>
            <w:tcW w:w="1268" w:type="dxa"/>
            <w:tcBorders>
              <w:top w:val="single" w:sz="6" w:space="0" w:color="auto"/>
              <w:left w:val="single" w:sz="6" w:space="0" w:color="auto"/>
              <w:bottom w:val="nil"/>
              <w:right w:val="nil"/>
            </w:tcBorders>
            <w:vAlign w:val="center"/>
          </w:tcPr>
          <w:p w14:paraId="2E279E7B" w14:textId="77777777" w:rsidR="009030B5" w:rsidRPr="005D4F27" w:rsidRDefault="009030B5" w:rsidP="009030B5">
            <w:pPr>
              <w:jc w:val="center"/>
              <w:rPr>
                <w:rFonts w:eastAsia="Calibri"/>
              </w:rPr>
            </w:pPr>
            <w:r w:rsidRPr="005D4F27">
              <w:rPr>
                <w:rFonts w:eastAsia="Calibri"/>
              </w:rPr>
              <w:t>50</w:t>
            </w:r>
          </w:p>
        </w:tc>
        <w:tc>
          <w:tcPr>
            <w:tcW w:w="1410" w:type="dxa"/>
            <w:tcBorders>
              <w:top w:val="single" w:sz="6" w:space="0" w:color="auto"/>
              <w:left w:val="single" w:sz="6" w:space="0" w:color="auto"/>
              <w:bottom w:val="nil"/>
              <w:right w:val="nil"/>
            </w:tcBorders>
            <w:vAlign w:val="center"/>
          </w:tcPr>
          <w:p w14:paraId="40F7A48F" w14:textId="77777777" w:rsidR="009030B5" w:rsidRPr="005D4F27" w:rsidRDefault="009030B5" w:rsidP="009030B5">
            <w:pPr>
              <w:jc w:val="center"/>
              <w:rPr>
                <w:rFonts w:eastAsia="Calibri"/>
              </w:rPr>
            </w:pPr>
            <w:r w:rsidRPr="005D4F27">
              <w:rPr>
                <w:rFonts w:eastAsia="Calibri"/>
              </w:rPr>
              <w:t>50</w:t>
            </w:r>
          </w:p>
        </w:tc>
        <w:tc>
          <w:tcPr>
            <w:tcW w:w="1843" w:type="dxa"/>
            <w:tcBorders>
              <w:top w:val="single" w:sz="6" w:space="0" w:color="auto"/>
              <w:left w:val="single" w:sz="6" w:space="0" w:color="auto"/>
              <w:bottom w:val="single" w:sz="6" w:space="0" w:color="auto"/>
              <w:right w:val="single" w:sz="12" w:space="0" w:color="auto"/>
            </w:tcBorders>
            <w:vAlign w:val="center"/>
          </w:tcPr>
          <w:p w14:paraId="7770CD8C" w14:textId="77777777" w:rsidR="009030B5" w:rsidRPr="005D4F27" w:rsidRDefault="009030B5" w:rsidP="009030B5">
            <w:pPr>
              <w:jc w:val="center"/>
              <w:rPr>
                <w:rFonts w:eastAsia="Calibri"/>
              </w:rPr>
            </w:pPr>
            <w:r w:rsidRPr="005D4F27">
              <w:rPr>
                <w:rFonts w:eastAsia="Calibri"/>
              </w:rPr>
              <w:t>100</w:t>
            </w:r>
          </w:p>
        </w:tc>
      </w:tr>
      <w:tr w:rsidR="009030B5" w:rsidRPr="005D4F27" w14:paraId="03633397" w14:textId="77777777" w:rsidTr="009030B5">
        <w:tc>
          <w:tcPr>
            <w:tcW w:w="2820" w:type="dxa"/>
            <w:tcBorders>
              <w:top w:val="single" w:sz="6" w:space="0" w:color="auto"/>
              <w:left w:val="single" w:sz="12" w:space="0" w:color="auto"/>
              <w:bottom w:val="single" w:sz="6" w:space="0" w:color="auto"/>
              <w:right w:val="single" w:sz="12" w:space="0" w:color="auto"/>
            </w:tcBorders>
          </w:tcPr>
          <w:p w14:paraId="0528A941" w14:textId="77777777" w:rsidR="009030B5" w:rsidRPr="005D4F27" w:rsidRDefault="009030B5" w:rsidP="009030B5">
            <w:pPr>
              <w:rPr>
                <w:rFonts w:eastAsia="Calibri"/>
              </w:rPr>
            </w:pPr>
            <w:r w:rsidRPr="005D4F27">
              <w:rPr>
                <w:rFonts w:eastAsia="Calibri"/>
              </w:rPr>
              <w:t xml:space="preserve">Chrom </w:t>
            </w:r>
            <w:r w:rsidRPr="005D4F27">
              <w:rPr>
                <w:rFonts w:eastAsia="Calibri"/>
                <w:vertAlign w:val="subscript"/>
              </w:rPr>
              <w:t>gesamt</w:t>
            </w:r>
            <w:r w:rsidRPr="005D4F27">
              <w:rPr>
                <w:rFonts w:eastAsia="Calibri"/>
              </w:rPr>
              <w:t xml:space="preserve"> </w:t>
            </w:r>
            <w:r w:rsidRPr="005D4F27">
              <w:rPr>
                <w:rFonts w:eastAsia="Calibri"/>
                <w:vertAlign w:val="superscript"/>
              </w:rPr>
              <w:t>2)</w:t>
            </w:r>
          </w:p>
        </w:tc>
        <w:tc>
          <w:tcPr>
            <w:tcW w:w="1560" w:type="dxa"/>
            <w:tcBorders>
              <w:top w:val="single" w:sz="6" w:space="0" w:color="auto"/>
              <w:left w:val="single" w:sz="12" w:space="0" w:color="auto"/>
              <w:bottom w:val="nil"/>
              <w:right w:val="nil"/>
            </w:tcBorders>
            <w:vAlign w:val="center"/>
          </w:tcPr>
          <w:p w14:paraId="03F1D006" w14:textId="77777777" w:rsidR="009030B5" w:rsidRPr="005D4F27" w:rsidRDefault="009030B5" w:rsidP="009030B5">
            <w:pPr>
              <w:jc w:val="center"/>
              <w:rPr>
                <w:rFonts w:eastAsia="Calibri"/>
              </w:rPr>
            </w:pPr>
            <w:r w:rsidRPr="005D4F27">
              <w:rPr>
                <w:rFonts w:eastAsia="Calibri"/>
              </w:rPr>
              <w:t>200</w:t>
            </w:r>
          </w:p>
        </w:tc>
        <w:tc>
          <w:tcPr>
            <w:tcW w:w="1268" w:type="dxa"/>
            <w:tcBorders>
              <w:top w:val="single" w:sz="6" w:space="0" w:color="auto"/>
              <w:left w:val="single" w:sz="6" w:space="0" w:color="auto"/>
              <w:bottom w:val="nil"/>
              <w:right w:val="nil"/>
            </w:tcBorders>
            <w:vAlign w:val="center"/>
          </w:tcPr>
          <w:p w14:paraId="6EC62C80" w14:textId="77777777" w:rsidR="009030B5" w:rsidRPr="005D4F27" w:rsidRDefault="009030B5" w:rsidP="009030B5">
            <w:pPr>
              <w:jc w:val="center"/>
              <w:rPr>
                <w:rFonts w:eastAsia="Calibri"/>
              </w:rPr>
            </w:pPr>
            <w:r w:rsidRPr="005D4F27">
              <w:rPr>
                <w:rFonts w:eastAsia="Calibri"/>
              </w:rPr>
              <w:t>400</w:t>
            </w:r>
          </w:p>
        </w:tc>
        <w:tc>
          <w:tcPr>
            <w:tcW w:w="1410" w:type="dxa"/>
            <w:tcBorders>
              <w:top w:val="single" w:sz="6" w:space="0" w:color="auto"/>
              <w:left w:val="single" w:sz="6" w:space="0" w:color="auto"/>
              <w:bottom w:val="nil"/>
              <w:right w:val="nil"/>
            </w:tcBorders>
            <w:vAlign w:val="center"/>
          </w:tcPr>
          <w:p w14:paraId="43A61ECA" w14:textId="77777777" w:rsidR="009030B5" w:rsidRPr="005D4F27" w:rsidRDefault="009030B5" w:rsidP="009030B5">
            <w:pPr>
              <w:jc w:val="center"/>
              <w:rPr>
                <w:rFonts w:eastAsia="Calibri"/>
              </w:rPr>
            </w:pPr>
            <w:r w:rsidRPr="005D4F27">
              <w:rPr>
                <w:rFonts w:eastAsia="Calibri"/>
              </w:rPr>
              <w:t>400</w:t>
            </w:r>
          </w:p>
        </w:tc>
        <w:tc>
          <w:tcPr>
            <w:tcW w:w="1843" w:type="dxa"/>
            <w:tcBorders>
              <w:top w:val="single" w:sz="6" w:space="0" w:color="auto"/>
              <w:left w:val="single" w:sz="6" w:space="0" w:color="auto"/>
              <w:bottom w:val="single" w:sz="6" w:space="0" w:color="auto"/>
              <w:right w:val="single" w:sz="12" w:space="0" w:color="auto"/>
            </w:tcBorders>
            <w:vAlign w:val="center"/>
          </w:tcPr>
          <w:p w14:paraId="56F801A0" w14:textId="77777777" w:rsidR="009030B5" w:rsidRPr="005D4F27" w:rsidRDefault="009030B5" w:rsidP="009030B5">
            <w:pPr>
              <w:jc w:val="center"/>
              <w:rPr>
                <w:rFonts w:eastAsia="Calibri"/>
              </w:rPr>
            </w:pPr>
            <w:r w:rsidRPr="005D4F27">
              <w:rPr>
                <w:rFonts w:eastAsia="Calibri"/>
              </w:rPr>
              <w:t>200</w:t>
            </w:r>
          </w:p>
        </w:tc>
      </w:tr>
      <w:tr w:rsidR="009030B5" w:rsidRPr="005D4F27" w14:paraId="3074C5D9" w14:textId="77777777" w:rsidTr="009030B5">
        <w:tc>
          <w:tcPr>
            <w:tcW w:w="2820" w:type="dxa"/>
            <w:tcBorders>
              <w:top w:val="single" w:sz="6" w:space="0" w:color="auto"/>
              <w:left w:val="single" w:sz="12" w:space="0" w:color="auto"/>
              <w:bottom w:val="single" w:sz="6" w:space="0" w:color="auto"/>
              <w:right w:val="single" w:sz="12" w:space="0" w:color="auto"/>
            </w:tcBorders>
          </w:tcPr>
          <w:p w14:paraId="0FBEE0E1" w14:textId="77777777" w:rsidR="009030B5" w:rsidRPr="005D4F27" w:rsidRDefault="009030B5" w:rsidP="009030B5">
            <w:pPr>
              <w:rPr>
                <w:rFonts w:eastAsia="Calibri"/>
              </w:rPr>
            </w:pPr>
            <w:r w:rsidRPr="005D4F27">
              <w:rPr>
                <w:rFonts w:eastAsia="Calibri"/>
              </w:rPr>
              <w:t xml:space="preserve">Chrom </w:t>
            </w:r>
            <w:r w:rsidRPr="005D4F27">
              <w:rPr>
                <w:rFonts w:eastAsia="Calibri"/>
                <w:vertAlign w:val="subscript"/>
              </w:rPr>
              <w:t>VI</w:t>
            </w:r>
            <w:r w:rsidRPr="005D4F27">
              <w:rPr>
                <w:rFonts w:eastAsia="Calibri"/>
              </w:rPr>
              <w:t xml:space="preserve"> </w:t>
            </w:r>
            <w:r w:rsidRPr="005D4F27">
              <w:rPr>
                <w:rFonts w:eastAsia="Calibri"/>
                <w:vertAlign w:val="superscript"/>
              </w:rPr>
              <w:t>2)</w:t>
            </w:r>
          </w:p>
        </w:tc>
        <w:tc>
          <w:tcPr>
            <w:tcW w:w="1560" w:type="dxa"/>
            <w:tcBorders>
              <w:top w:val="single" w:sz="6" w:space="0" w:color="auto"/>
              <w:left w:val="single" w:sz="12" w:space="0" w:color="auto"/>
              <w:bottom w:val="nil"/>
              <w:right w:val="nil"/>
            </w:tcBorders>
            <w:vAlign w:val="center"/>
          </w:tcPr>
          <w:p w14:paraId="28C5D3FB" w14:textId="77777777" w:rsidR="009030B5" w:rsidRPr="005D4F27" w:rsidRDefault="009030B5" w:rsidP="009030B5">
            <w:pPr>
              <w:jc w:val="center"/>
              <w:rPr>
                <w:rFonts w:eastAsia="Calibri"/>
              </w:rPr>
            </w:pPr>
            <w:r w:rsidRPr="005D4F27">
              <w:rPr>
                <w:rFonts w:eastAsia="Calibri"/>
              </w:rPr>
              <w:t>130</w:t>
            </w:r>
          </w:p>
        </w:tc>
        <w:tc>
          <w:tcPr>
            <w:tcW w:w="1268" w:type="dxa"/>
            <w:tcBorders>
              <w:top w:val="single" w:sz="6" w:space="0" w:color="auto"/>
              <w:left w:val="single" w:sz="6" w:space="0" w:color="auto"/>
              <w:bottom w:val="nil"/>
              <w:right w:val="nil"/>
            </w:tcBorders>
            <w:vAlign w:val="center"/>
          </w:tcPr>
          <w:p w14:paraId="48621F85" w14:textId="77777777" w:rsidR="009030B5" w:rsidRPr="005D4F27" w:rsidRDefault="009030B5" w:rsidP="009030B5">
            <w:pPr>
              <w:jc w:val="center"/>
              <w:rPr>
                <w:rFonts w:eastAsia="Calibri"/>
              </w:rPr>
            </w:pPr>
            <w:r w:rsidRPr="005D4F27">
              <w:rPr>
                <w:rFonts w:eastAsia="Calibri"/>
              </w:rPr>
              <w:t>250</w:t>
            </w:r>
          </w:p>
        </w:tc>
        <w:tc>
          <w:tcPr>
            <w:tcW w:w="1410" w:type="dxa"/>
            <w:tcBorders>
              <w:top w:val="single" w:sz="6" w:space="0" w:color="auto"/>
              <w:left w:val="single" w:sz="6" w:space="0" w:color="auto"/>
              <w:bottom w:val="nil"/>
              <w:right w:val="nil"/>
            </w:tcBorders>
            <w:vAlign w:val="center"/>
          </w:tcPr>
          <w:p w14:paraId="77601B43" w14:textId="77777777" w:rsidR="009030B5" w:rsidRPr="005D4F27" w:rsidRDefault="009030B5" w:rsidP="009030B5">
            <w:pPr>
              <w:jc w:val="center"/>
              <w:rPr>
                <w:rFonts w:eastAsia="Calibri"/>
              </w:rPr>
            </w:pPr>
            <w:r w:rsidRPr="005D4F27">
              <w:rPr>
                <w:rFonts w:eastAsia="Calibri"/>
              </w:rPr>
              <w:t>250</w:t>
            </w:r>
          </w:p>
        </w:tc>
        <w:tc>
          <w:tcPr>
            <w:tcW w:w="1843" w:type="dxa"/>
            <w:tcBorders>
              <w:top w:val="single" w:sz="6" w:space="0" w:color="auto"/>
              <w:left w:val="single" w:sz="6" w:space="0" w:color="auto"/>
              <w:bottom w:val="single" w:sz="6" w:space="0" w:color="auto"/>
              <w:right w:val="single" w:sz="12" w:space="0" w:color="auto"/>
            </w:tcBorders>
            <w:vAlign w:val="center"/>
          </w:tcPr>
          <w:p w14:paraId="3D02D366" w14:textId="77777777" w:rsidR="009030B5" w:rsidRPr="005D4F27" w:rsidRDefault="009030B5" w:rsidP="009030B5">
            <w:pPr>
              <w:jc w:val="center"/>
              <w:rPr>
                <w:rFonts w:eastAsia="Calibri"/>
              </w:rPr>
            </w:pPr>
            <w:r w:rsidRPr="005D4F27">
              <w:rPr>
                <w:rFonts w:eastAsia="Calibri"/>
              </w:rPr>
              <w:t>130</w:t>
            </w:r>
          </w:p>
        </w:tc>
      </w:tr>
      <w:tr w:rsidR="009030B5" w:rsidRPr="005D4F27" w14:paraId="116CFB00" w14:textId="77777777" w:rsidTr="009030B5">
        <w:tc>
          <w:tcPr>
            <w:tcW w:w="2820" w:type="dxa"/>
            <w:tcBorders>
              <w:top w:val="single" w:sz="6" w:space="0" w:color="auto"/>
              <w:left w:val="single" w:sz="12" w:space="0" w:color="auto"/>
              <w:bottom w:val="single" w:sz="6" w:space="0" w:color="auto"/>
              <w:right w:val="single" w:sz="12" w:space="0" w:color="auto"/>
            </w:tcBorders>
          </w:tcPr>
          <w:p w14:paraId="0AD6EEDA" w14:textId="77777777" w:rsidR="009030B5" w:rsidRPr="005D4F27" w:rsidRDefault="009030B5" w:rsidP="009030B5">
            <w:pPr>
              <w:rPr>
                <w:rFonts w:eastAsia="Calibri"/>
              </w:rPr>
            </w:pPr>
            <w:r w:rsidRPr="005D4F27">
              <w:rPr>
                <w:rFonts w:eastAsia="Calibri"/>
              </w:rPr>
              <w:t>Kobalt</w:t>
            </w:r>
          </w:p>
        </w:tc>
        <w:tc>
          <w:tcPr>
            <w:tcW w:w="1560" w:type="dxa"/>
            <w:tcBorders>
              <w:top w:val="single" w:sz="6" w:space="0" w:color="auto"/>
              <w:left w:val="single" w:sz="12" w:space="0" w:color="auto"/>
              <w:bottom w:val="nil"/>
              <w:right w:val="nil"/>
            </w:tcBorders>
            <w:vAlign w:val="center"/>
          </w:tcPr>
          <w:p w14:paraId="7295CC93" w14:textId="77777777" w:rsidR="009030B5" w:rsidRPr="005D4F27" w:rsidRDefault="009030B5" w:rsidP="009030B5">
            <w:pPr>
              <w:jc w:val="center"/>
              <w:rPr>
                <w:rFonts w:eastAsia="Calibri"/>
              </w:rPr>
            </w:pPr>
            <w:r w:rsidRPr="005D4F27">
              <w:rPr>
                <w:rFonts w:eastAsia="Calibri"/>
              </w:rPr>
              <w:t>300</w:t>
            </w:r>
          </w:p>
        </w:tc>
        <w:tc>
          <w:tcPr>
            <w:tcW w:w="1268" w:type="dxa"/>
            <w:tcBorders>
              <w:top w:val="single" w:sz="6" w:space="0" w:color="auto"/>
              <w:left w:val="single" w:sz="6" w:space="0" w:color="auto"/>
              <w:bottom w:val="nil"/>
              <w:right w:val="nil"/>
            </w:tcBorders>
            <w:vAlign w:val="center"/>
          </w:tcPr>
          <w:p w14:paraId="77D62A1F" w14:textId="77777777" w:rsidR="009030B5" w:rsidRPr="005D4F27" w:rsidRDefault="009030B5" w:rsidP="009030B5">
            <w:pPr>
              <w:jc w:val="center"/>
              <w:rPr>
                <w:rFonts w:eastAsia="Calibri"/>
              </w:rPr>
            </w:pPr>
            <w:r w:rsidRPr="005D4F27">
              <w:rPr>
                <w:rFonts w:eastAsia="Calibri"/>
              </w:rPr>
              <w:t>600</w:t>
            </w:r>
          </w:p>
        </w:tc>
        <w:tc>
          <w:tcPr>
            <w:tcW w:w="1410" w:type="dxa"/>
            <w:tcBorders>
              <w:top w:val="single" w:sz="6" w:space="0" w:color="auto"/>
              <w:left w:val="single" w:sz="6" w:space="0" w:color="auto"/>
              <w:bottom w:val="nil"/>
              <w:right w:val="nil"/>
            </w:tcBorders>
            <w:vAlign w:val="center"/>
          </w:tcPr>
          <w:p w14:paraId="6E1AD7E0" w14:textId="77777777" w:rsidR="009030B5" w:rsidRPr="005D4F27" w:rsidRDefault="009030B5" w:rsidP="009030B5">
            <w:pPr>
              <w:jc w:val="center"/>
              <w:rPr>
                <w:rFonts w:eastAsia="Calibri"/>
              </w:rPr>
            </w:pPr>
            <w:r w:rsidRPr="005D4F27">
              <w:rPr>
                <w:rFonts w:eastAsia="Calibri"/>
              </w:rPr>
              <w:t>600</w:t>
            </w:r>
          </w:p>
        </w:tc>
        <w:tc>
          <w:tcPr>
            <w:tcW w:w="1843" w:type="dxa"/>
            <w:tcBorders>
              <w:top w:val="single" w:sz="6" w:space="0" w:color="auto"/>
              <w:left w:val="single" w:sz="6" w:space="0" w:color="auto"/>
              <w:bottom w:val="single" w:sz="6" w:space="0" w:color="auto"/>
              <w:right w:val="single" w:sz="12" w:space="0" w:color="auto"/>
            </w:tcBorders>
            <w:vAlign w:val="center"/>
          </w:tcPr>
          <w:p w14:paraId="16D8ACE1" w14:textId="77777777" w:rsidR="009030B5" w:rsidRPr="005D4F27" w:rsidRDefault="009030B5" w:rsidP="009030B5">
            <w:pPr>
              <w:jc w:val="center"/>
              <w:rPr>
                <w:rFonts w:eastAsia="Calibri"/>
              </w:rPr>
            </w:pPr>
            <w:r w:rsidRPr="005D4F27">
              <w:rPr>
                <w:rFonts w:eastAsia="Calibri"/>
              </w:rPr>
              <w:t>300</w:t>
            </w:r>
          </w:p>
        </w:tc>
      </w:tr>
      <w:tr w:rsidR="009030B5" w:rsidRPr="005D4F27" w14:paraId="3C4B7565" w14:textId="77777777" w:rsidTr="009030B5">
        <w:tc>
          <w:tcPr>
            <w:tcW w:w="2820" w:type="dxa"/>
            <w:tcBorders>
              <w:top w:val="single" w:sz="6" w:space="0" w:color="auto"/>
              <w:left w:val="single" w:sz="12" w:space="0" w:color="auto"/>
              <w:bottom w:val="single" w:sz="6" w:space="0" w:color="auto"/>
              <w:right w:val="single" w:sz="12" w:space="0" w:color="auto"/>
            </w:tcBorders>
          </w:tcPr>
          <w:p w14:paraId="1CE5D883" w14:textId="77777777" w:rsidR="009030B5" w:rsidRPr="005D4F27" w:rsidRDefault="009030B5" w:rsidP="009030B5">
            <w:pPr>
              <w:rPr>
                <w:rFonts w:eastAsia="Calibri"/>
              </w:rPr>
            </w:pPr>
            <w:r w:rsidRPr="005D4F27">
              <w:rPr>
                <w:rFonts w:eastAsia="Calibri"/>
              </w:rPr>
              <w:t>Nickel</w:t>
            </w:r>
          </w:p>
        </w:tc>
        <w:tc>
          <w:tcPr>
            <w:tcW w:w="1560" w:type="dxa"/>
            <w:tcBorders>
              <w:top w:val="single" w:sz="6" w:space="0" w:color="auto"/>
              <w:left w:val="single" w:sz="12" w:space="0" w:color="auto"/>
              <w:bottom w:val="nil"/>
              <w:right w:val="nil"/>
            </w:tcBorders>
            <w:vAlign w:val="center"/>
          </w:tcPr>
          <w:p w14:paraId="38AFE531" w14:textId="77777777" w:rsidR="009030B5" w:rsidRPr="005D4F27" w:rsidRDefault="009030B5" w:rsidP="009030B5">
            <w:pPr>
              <w:jc w:val="center"/>
              <w:rPr>
                <w:rFonts w:eastAsia="Calibri"/>
              </w:rPr>
            </w:pPr>
            <w:r w:rsidRPr="005D4F27">
              <w:rPr>
                <w:rFonts w:eastAsia="Calibri"/>
              </w:rPr>
              <w:t>70</w:t>
            </w:r>
          </w:p>
        </w:tc>
        <w:tc>
          <w:tcPr>
            <w:tcW w:w="1268" w:type="dxa"/>
            <w:tcBorders>
              <w:top w:val="single" w:sz="6" w:space="0" w:color="auto"/>
              <w:left w:val="single" w:sz="6" w:space="0" w:color="auto"/>
              <w:bottom w:val="nil"/>
              <w:right w:val="nil"/>
            </w:tcBorders>
            <w:vAlign w:val="center"/>
          </w:tcPr>
          <w:p w14:paraId="4EF86D34" w14:textId="77777777" w:rsidR="009030B5" w:rsidRPr="005D4F27" w:rsidRDefault="009030B5" w:rsidP="009030B5">
            <w:pPr>
              <w:jc w:val="center"/>
              <w:rPr>
                <w:rFonts w:eastAsia="Calibri"/>
              </w:rPr>
            </w:pPr>
            <w:r w:rsidRPr="005D4F27">
              <w:rPr>
                <w:rFonts w:eastAsia="Calibri"/>
              </w:rPr>
              <w:t>140</w:t>
            </w:r>
          </w:p>
        </w:tc>
        <w:tc>
          <w:tcPr>
            <w:tcW w:w="1410" w:type="dxa"/>
            <w:tcBorders>
              <w:top w:val="single" w:sz="6" w:space="0" w:color="auto"/>
              <w:left w:val="single" w:sz="6" w:space="0" w:color="auto"/>
              <w:bottom w:val="nil"/>
              <w:right w:val="nil"/>
            </w:tcBorders>
            <w:vAlign w:val="center"/>
          </w:tcPr>
          <w:p w14:paraId="2B824D04" w14:textId="77777777" w:rsidR="009030B5" w:rsidRPr="005D4F27" w:rsidRDefault="009030B5" w:rsidP="009030B5">
            <w:pPr>
              <w:jc w:val="center"/>
              <w:rPr>
                <w:rFonts w:eastAsia="Calibri"/>
              </w:rPr>
            </w:pPr>
            <w:r w:rsidRPr="005D4F27">
              <w:rPr>
                <w:rFonts w:eastAsia="Calibri"/>
              </w:rPr>
              <w:t>350</w:t>
            </w:r>
          </w:p>
        </w:tc>
        <w:tc>
          <w:tcPr>
            <w:tcW w:w="1843" w:type="dxa"/>
            <w:tcBorders>
              <w:top w:val="single" w:sz="6" w:space="0" w:color="auto"/>
              <w:left w:val="single" w:sz="6" w:space="0" w:color="auto"/>
              <w:bottom w:val="single" w:sz="6" w:space="0" w:color="auto"/>
              <w:right w:val="single" w:sz="12" w:space="0" w:color="auto"/>
            </w:tcBorders>
            <w:vAlign w:val="center"/>
          </w:tcPr>
          <w:p w14:paraId="40D16639" w14:textId="77777777" w:rsidR="009030B5" w:rsidRPr="005D4F27" w:rsidRDefault="009030B5" w:rsidP="009030B5">
            <w:pPr>
              <w:jc w:val="center"/>
              <w:rPr>
                <w:rFonts w:eastAsia="Calibri"/>
              </w:rPr>
            </w:pPr>
            <w:r w:rsidRPr="005D4F27">
              <w:rPr>
                <w:rFonts w:eastAsia="Calibri"/>
              </w:rPr>
              <w:t>900</w:t>
            </w:r>
          </w:p>
        </w:tc>
      </w:tr>
      <w:tr w:rsidR="009030B5" w:rsidRPr="005D4F27" w14:paraId="10A33171" w14:textId="77777777" w:rsidTr="009030B5">
        <w:tc>
          <w:tcPr>
            <w:tcW w:w="2820" w:type="dxa"/>
            <w:tcBorders>
              <w:top w:val="single" w:sz="6" w:space="0" w:color="auto"/>
              <w:left w:val="single" w:sz="12" w:space="0" w:color="auto"/>
              <w:bottom w:val="single" w:sz="6" w:space="0" w:color="auto"/>
              <w:right w:val="single" w:sz="12" w:space="0" w:color="auto"/>
            </w:tcBorders>
          </w:tcPr>
          <w:p w14:paraId="35E3719E" w14:textId="77777777" w:rsidR="009030B5" w:rsidRPr="005D4F27" w:rsidRDefault="009030B5" w:rsidP="009030B5">
            <w:pPr>
              <w:rPr>
                <w:rFonts w:eastAsia="Calibri"/>
              </w:rPr>
            </w:pPr>
            <w:r w:rsidRPr="005D4F27">
              <w:rPr>
                <w:rFonts w:eastAsia="Calibri"/>
              </w:rPr>
              <w:t>Quecksilber</w:t>
            </w:r>
          </w:p>
        </w:tc>
        <w:tc>
          <w:tcPr>
            <w:tcW w:w="1560" w:type="dxa"/>
            <w:tcBorders>
              <w:top w:val="single" w:sz="6" w:space="0" w:color="auto"/>
              <w:left w:val="single" w:sz="12" w:space="0" w:color="auto"/>
              <w:bottom w:val="nil"/>
              <w:right w:val="nil"/>
            </w:tcBorders>
            <w:vAlign w:val="center"/>
          </w:tcPr>
          <w:p w14:paraId="718A90A3" w14:textId="77777777" w:rsidR="009030B5" w:rsidRPr="005D4F27" w:rsidRDefault="009030B5" w:rsidP="009030B5">
            <w:pPr>
              <w:jc w:val="center"/>
              <w:rPr>
                <w:rFonts w:eastAsia="Calibri"/>
              </w:rPr>
            </w:pPr>
            <w:r w:rsidRPr="005D4F27">
              <w:rPr>
                <w:rFonts w:eastAsia="Calibri"/>
              </w:rPr>
              <w:t>10</w:t>
            </w:r>
          </w:p>
        </w:tc>
        <w:tc>
          <w:tcPr>
            <w:tcW w:w="1268" w:type="dxa"/>
            <w:tcBorders>
              <w:top w:val="single" w:sz="6" w:space="0" w:color="auto"/>
              <w:left w:val="single" w:sz="6" w:space="0" w:color="auto"/>
              <w:bottom w:val="nil"/>
              <w:right w:val="nil"/>
            </w:tcBorders>
            <w:vAlign w:val="center"/>
          </w:tcPr>
          <w:p w14:paraId="6BDBC00A" w14:textId="77777777" w:rsidR="009030B5" w:rsidRPr="005D4F27" w:rsidRDefault="009030B5" w:rsidP="009030B5">
            <w:pPr>
              <w:jc w:val="center"/>
              <w:rPr>
                <w:rFonts w:eastAsia="Calibri"/>
              </w:rPr>
            </w:pPr>
            <w:r w:rsidRPr="005D4F27">
              <w:rPr>
                <w:rFonts w:eastAsia="Calibri"/>
              </w:rPr>
              <w:t>20</w:t>
            </w:r>
          </w:p>
        </w:tc>
        <w:tc>
          <w:tcPr>
            <w:tcW w:w="1410" w:type="dxa"/>
            <w:tcBorders>
              <w:top w:val="single" w:sz="6" w:space="0" w:color="auto"/>
              <w:left w:val="single" w:sz="6" w:space="0" w:color="auto"/>
              <w:bottom w:val="nil"/>
              <w:right w:val="nil"/>
            </w:tcBorders>
            <w:vAlign w:val="center"/>
          </w:tcPr>
          <w:p w14:paraId="68631F2A" w14:textId="77777777" w:rsidR="009030B5" w:rsidRPr="005D4F27" w:rsidRDefault="009030B5" w:rsidP="009030B5">
            <w:pPr>
              <w:jc w:val="center"/>
              <w:rPr>
                <w:rFonts w:eastAsia="Calibri"/>
              </w:rPr>
            </w:pPr>
            <w:r w:rsidRPr="005D4F27">
              <w:rPr>
                <w:rFonts w:eastAsia="Calibri"/>
              </w:rPr>
              <w:t>50</w:t>
            </w:r>
          </w:p>
        </w:tc>
        <w:tc>
          <w:tcPr>
            <w:tcW w:w="1843" w:type="dxa"/>
            <w:tcBorders>
              <w:top w:val="single" w:sz="6" w:space="0" w:color="auto"/>
              <w:left w:val="single" w:sz="6" w:space="0" w:color="auto"/>
              <w:bottom w:val="single" w:sz="6" w:space="0" w:color="auto"/>
              <w:right w:val="single" w:sz="12" w:space="0" w:color="auto"/>
            </w:tcBorders>
            <w:vAlign w:val="center"/>
          </w:tcPr>
          <w:p w14:paraId="3DAF7EE0" w14:textId="77777777" w:rsidR="009030B5" w:rsidRPr="005D4F27" w:rsidRDefault="009030B5" w:rsidP="009030B5">
            <w:pPr>
              <w:jc w:val="center"/>
              <w:rPr>
                <w:rFonts w:eastAsia="Calibri"/>
              </w:rPr>
            </w:pPr>
            <w:r w:rsidRPr="005D4F27">
              <w:rPr>
                <w:rFonts w:eastAsia="Calibri"/>
              </w:rPr>
              <w:t>100</w:t>
            </w:r>
          </w:p>
        </w:tc>
      </w:tr>
      <w:tr w:rsidR="009030B5" w:rsidRPr="005D4F27" w14:paraId="28D730F9" w14:textId="77777777" w:rsidTr="009030B5">
        <w:tc>
          <w:tcPr>
            <w:tcW w:w="2820" w:type="dxa"/>
            <w:tcBorders>
              <w:top w:val="single" w:sz="6" w:space="0" w:color="auto"/>
              <w:left w:val="single" w:sz="12" w:space="0" w:color="auto"/>
              <w:bottom w:val="single" w:sz="6" w:space="0" w:color="auto"/>
              <w:right w:val="single" w:sz="12" w:space="0" w:color="auto"/>
            </w:tcBorders>
          </w:tcPr>
          <w:p w14:paraId="5FAC7C43" w14:textId="77777777" w:rsidR="009030B5" w:rsidRPr="005D4F27" w:rsidRDefault="009030B5" w:rsidP="009030B5">
            <w:pPr>
              <w:rPr>
                <w:rFonts w:eastAsia="Calibri"/>
              </w:rPr>
            </w:pPr>
            <w:r w:rsidRPr="005D4F27">
              <w:rPr>
                <w:rFonts w:eastAsia="Calibri"/>
              </w:rPr>
              <w:t>Thallium</w:t>
            </w:r>
          </w:p>
        </w:tc>
        <w:tc>
          <w:tcPr>
            <w:tcW w:w="1560" w:type="dxa"/>
            <w:tcBorders>
              <w:top w:val="single" w:sz="6" w:space="0" w:color="auto"/>
              <w:left w:val="single" w:sz="12" w:space="0" w:color="auto"/>
              <w:bottom w:val="nil"/>
              <w:right w:val="nil"/>
            </w:tcBorders>
            <w:vAlign w:val="center"/>
          </w:tcPr>
          <w:p w14:paraId="772809BA" w14:textId="77777777" w:rsidR="009030B5" w:rsidRPr="005D4F27" w:rsidRDefault="009030B5" w:rsidP="009030B5">
            <w:pPr>
              <w:jc w:val="center"/>
              <w:rPr>
                <w:rFonts w:eastAsia="Calibri"/>
                <w:lang w:val="it-IT"/>
              </w:rPr>
            </w:pPr>
            <w:r w:rsidRPr="005D4F27">
              <w:rPr>
                <w:rFonts w:eastAsia="Calibri"/>
                <w:lang w:val="it-IT"/>
              </w:rPr>
              <w:t>5</w:t>
            </w:r>
          </w:p>
        </w:tc>
        <w:tc>
          <w:tcPr>
            <w:tcW w:w="1268" w:type="dxa"/>
            <w:tcBorders>
              <w:top w:val="single" w:sz="6" w:space="0" w:color="auto"/>
              <w:left w:val="single" w:sz="6" w:space="0" w:color="auto"/>
              <w:bottom w:val="nil"/>
              <w:right w:val="nil"/>
            </w:tcBorders>
            <w:vAlign w:val="center"/>
          </w:tcPr>
          <w:p w14:paraId="560A1A48" w14:textId="77777777" w:rsidR="009030B5" w:rsidRPr="005D4F27" w:rsidRDefault="009030B5" w:rsidP="009030B5">
            <w:pPr>
              <w:jc w:val="center"/>
              <w:rPr>
                <w:rFonts w:eastAsia="Calibri"/>
                <w:lang w:val="it-IT"/>
              </w:rPr>
            </w:pPr>
            <w:r w:rsidRPr="005D4F27">
              <w:rPr>
                <w:rFonts w:eastAsia="Calibri"/>
                <w:lang w:val="it-IT"/>
              </w:rPr>
              <w:t>10</w:t>
            </w:r>
          </w:p>
        </w:tc>
        <w:tc>
          <w:tcPr>
            <w:tcW w:w="1410" w:type="dxa"/>
            <w:tcBorders>
              <w:top w:val="single" w:sz="6" w:space="0" w:color="auto"/>
              <w:left w:val="single" w:sz="6" w:space="0" w:color="auto"/>
              <w:bottom w:val="nil"/>
              <w:right w:val="nil"/>
            </w:tcBorders>
            <w:vAlign w:val="center"/>
          </w:tcPr>
          <w:p w14:paraId="5C9F23C8" w14:textId="77777777" w:rsidR="009030B5" w:rsidRPr="005D4F27" w:rsidRDefault="009030B5" w:rsidP="009030B5">
            <w:pPr>
              <w:jc w:val="center"/>
              <w:rPr>
                <w:rFonts w:eastAsia="Calibri"/>
                <w:lang w:val="it-IT"/>
              </w:rPr>
            </w:pPr>
            <w:r w:rsidRPr="005D4F27">
              <w:rPr>
                <w:rFonts w:eastAsia="Calibri"/>
                <w:lang w:val="it-IT"/>
              </w:rPr>
              <w:t>25</w:t>
            </w:r>
          </w:p>
        </w:tc>
        <w:tc>
          <w:tcPr>
            <w:tcW w:w="1843" w:type="dxa"/>
            <w:tcBorders>
              <w:top w:val="single" w:sz="6" w:space="0" w:color="auto"/>
              <w:left w:val="single" w:sz="6" w:space="0" w:color="auto"/>
              <w:bottom w:val="single" w:sz="6" w:space="0" w:color="auto"/>
              <w:right w:val="single" w:sz="12" w:space="0" w:color="auto"/>
            </w:tcBorders>
            <w:vAlign w:val="center"/>
          </w:tcPr>
          <w:p w14:paraId="602C9183" w14:textId="77777777" w:rsidR="009030B5" w:rsidRPr="005D4F27" w:rsidRDefault="009030B5" w:rsidP="009030B5">
            <w:pPr>
              <w:jc w:val="center"/>
              <w:rPr>
                <w:rFonts w:eastAsia="Calibri"/>
                <w:lang w:val="it-IT"/>
              </w:rPr>
            </w:pPr>
            <w:r w:rsidRPr="005D4F27">
              <w:rPr>
                <w:rFonts w:eastAsia="Calibri"/>
                <w:lang w:val="it-IT"/>
              </w:rPr>
              <w:t>-</w:t>
            </w:r>
          </w:p>
        </w:tc>
      </w:tr>
      <w:tr w:rsidR="009030B5" w:rsidRPr="005D4F27" w14:paraId="7212EC98" w14:textId="77777777" w:rsidTr="009030B5">
        <w:tc>
          <w:tcPr>
            <w:tcW w:w="2820" w:type="dxa"/>
            <w:tcBorders>
              <w:top w:val="single" w:sz="6" w:space="0" w:color="auto"/>
              <w:left w:val="single" w:sz="12" w:space="0" w:color="auto"/>
              <w:bottom w:val="single" w:sz="6" w:space="0" w:color="auto"/>
              <w:right w:val="single" w:sz="12" w:space="0" w:color="auto"/>
            </w:tcBorders>
          </w:tcPr>
          <w:p w14:paraId="627E86E3" w14:textId="77777777" w:rsidR="009030B5" w:rsidRPr="005D4F27" w:rsidRDefault="009030B5" w:rsidP="009030B5">
            <w:pPr>
              <w:rPr>
                <w:rFonts w:eastAsia="Calibri"/>
                <w:lang w:val="it-IT"/>
              </w:rPr>
            </w:pPr>
            <w:r w:rsidRPr="005D4F27">
              <w:rPr>
                <w:rFonts w:eastAsia="Calibri"/>
                <w:lang w:val="it-IT"/>
              </w:rPr>
              <w:t>Aldrin</w:t>
            </w:r>
          </w:p>
        </w:tc>
        <w:tc>
          <w:tcPr>
            <w:tcW w:w="1560" w:type="dxa"/>
            <w:tcBorders>
              <w:top w:val="single" w:sz="6" w:space="0" w:color="auto"/>
              <w:left w:val="single" w:sz="12" w:space="0" w:color="auto"/>
              <w:bottom w:val="nil"/>
              <w:right w:val="nil"/>
            </w:tcBorders>
            <w:vAlign w:val="center"/>
          </w:tcPr>
          <w:p w14:paraId="2B09A8C7" w14:textId="77777777" w:rsidR="009030B5" w:rsidRPr="005D4F27" w:rsidRDefault="009030B5" w:rsidP="009030B5">
            <w:pPr>
              <w:jc w:val="center"/>
              <w:rPr>
                <w:rFonts w:eastAsia="Calibri"/>
                <w:lang w:val="it-IT"/>
              </w:rPr>
            </w:pPr>
            <w:r w:rsidRPr="005D4F27">
              <w:rPr>
                <w:rFonts w:eastAsia="Calibri"/>
                <w:lang w:val="it-IT"/>
              </w:rPr>
              <w:t>2</w:t>
            </w:r>
          </w:p>
        </w:tc>
        <w:tc>
          <w:tcPr>
            <w:tcW w:w="1268" w:type="dxa"/>
            <w:tcBorders>
              <w:top w:val="single" w:sz="6" w:space="0" w:color="auto"/>
              <w:left w:val="single" w:sz="6" w:space="0" w:color="auto"/>
              <w:bottom w:val="nil"/>
              <w:right w:val="nil"/>
            </w:tcBorders>
            <w:vAlign w:val="center"/>
          </w:tcPr>
          <w:p w14:paraId="2C9CACDE" w14:textId="77777777" w:rsidR="009030B5" w:rsidRPr="005D4F27" w:rsidRDefault="009030B5" w:rsidP="009030B5">
            <w:pPr>
              <w:jc w:val="center"/>
              <w:rPr>
                <w:rFonts w:eastAsia="Calibri"/>
                <w:lang w:val="it-IT"/>
              </w:rPr>
            </w:pPr>
            <w:r w:rsidRPr="005D4F27">
              <w:rPr>
                <w:rFonts w:eastAsia="Calibri"/>
                <w:lang w:val="it-IT"/>
              </w:rPr>
              <w:t>4</w:t>
            </w:r>
          </w:p>
        </w:tc>
        <w:tc>
          <w:tcPr>
            <w:tcW w:w="1410" w:type="dxa"/>
            <w:tcBorders>
              <w:top w:val="single" w:sz="6" w:space="0" w:color="auto"/>
              <w:left w:val="single" w:sz="6" w:space="0" w:color="auto"/>
              <w:bottom w:val="nil"/>
              <w:right w:val="nil"/>
            </w:tcBorders>
            <w:vAlign w:val="center"/>
          </w:tcPr>
          <w:p w14:paraId="11A07A92" w14:textId="77777777" w:rsidR="009030B5" w:rsidRPr="005D4F27" w:rsidRDefault="009030B5" w:rsidP="009030B5">
            <w:pPr>
              <w:jc w:val="center"/>
              <w:rPr>
                <w:rFonts w:eastAsia="Calibri"/>
                <w:lang w:val="it-IT"/>
              </w:rPr>
            </w:pPr>
            <w:r w:rsidRPr="005D4F27">
              <w:rPr>
                <w:rFonts w:eastAsia="Calibri"/>
                <w:lang w:val="it-IT"/>
              </w:rPr>
              <w:t>10</w:t>
            </w:r>
          </w:p>
        </w:tc>
        <w:tc>
          <w:tcPr>
            <w:tcW w:w="1843" w:type="dxa"/>
            <w:tcBorders>
              <w:top w:val="single" w:sz="6" w:space="0" w:color="auto"/>
              <w:left w:val="single" w:sz="6" w:space="0" w:color="auto"/>
              <w:bottom w:val="single" w:sz="6" w:space="0" w:color="auto"/>
              <w:right w:val="single" w:sz="12" w:space="0" w:color="auto"/>
            </w:tcBorders>
            <w:vAlign w:val="center"/>
          </w:tcPr>
          <w:p w14:paraId="548AF62D" w14:textId="77777777" w:rsidR="009030B5" w:rsidRPr="005D4F27" w:rsidRDefault="009030B5" w:rsidP="009030B5">
            <w:pPr>
              <w:jc w:val="center"/>
              <w:rPr>
                <w:rFonts w:eastAsia="Calibri"/>
                <w:lang w:val="it-IT"/>
              </w:rPr>
            </w:pPr>
            <w:r w:rsidRPr="005D4F27">
              <w:rPr>
                <w:rFonts w:eastAsia="Calibri"/>
                <w:lang w:val="it-IT"/>
              </w:rPr>
              <w:t>-</w:t>
            </w:r>
          </w:p>
        </w:tc>
      </w:tr>
      <w:tr w:rsidR="009030B5" w:rsidRPr="005D4F27" w14:paraId="6185ADE6" w14:textId="77777777" w:rsidTr="009030B5">
        <w:tc>
          <w:tcPr>
            <w:tcW w:w="2820" w:type="dxa"/>
            <w:tcBorders>
              <w:top w:val="single" w:sz="6" w:space="0" w:color="auto"/>
              <w:left w:val="single" w:sz="12" w:space="0" w:color="auto"/>
              <w:bottom w:val="single" w:sz="6" w:space="0" w:color="auto"/>
              <w:right w:val="single" w:sz="12" w:space="0" w:color="auto"/>
            </w:tcBorders>
          </w:tcPr>
          <w:p w14:paraId="5B0B71A9" w14:textId="77777777" w:rsidR="009030B5" w:rsidRPr="005D4F27" w:rsidRDefault="009030B5" w:rsidP="009030B5">
            <w:pPr>
              <w:rPr>
                <w:rFonts w:eastAsia="Calibri"/>
                <w:lang w:val="it-IT"/>
              </w:rPr>
            </w:pPr>
            <w:r w:rsidRPr="005D4F27">
              <w:rPr>
                <w:rFonts w:eastAsia="Calibri"/>
                <w:lang w:val="it-IT"/>
              </w:rPr>
              <w:t>2,4-Dinitrotoluol</w:t>
            </w:r>
          </w:p>
        </w:tc>
        <w:tc>
          <w:tcPr>
            <w:tcW w:w="1560" w:type="dxa"/>
            <w:tcBorders>
              <w:top w:val="single" w:sz="6" w:space="0" w:color="auto"/>
              <w:left w:val="single" w:sz="12" w:space="0" w:color="auto"/>
              <w:bottom w:val="nil"/>
              <w:right w:val="nil"/>
            </w:tcBorders>
            <w:vAlign w:val="center"/>
          </w:tcPr>
          <w:p w14:paraId="611456B4" w14:textId="77777777" w:rsidR="009030B5" w:rsidRPr="005D4F27" w:rsidRDefault="009030B5" w:rsidP="009030B5">
            <w:pPr>
              <w:jc w:val="center"/>
              <w:rPr>
                <w:rFonts w:eastAsia="Calibri"/>
                <w:lang w:val="it-IT"/>
              </w:rPr>
            </w:pPr>
            <w:r w:rsidRPr="005D4F27">
              <w:rPr>
                <w:rFonts w:eastAsia="Calibri"/>
                <w:lang w:val="it-IT"/>
              </w:rPr>
              <w:t>3</w:t>
            </w:r>
          </w:p>
        </w:tc>
        <w:tc>
          <w:tcPr>
            <w:tcW w:w="1268" w:type="dxa"/>
            <w:tcBorders>
              <w:top w:val="single" w:sz="6" w:space="0" w:color="auto"/>
              <w:left w:val="single" w:sz="6" w:space="0" w:color="auto"/>
              <w:bottom w:val="nil"/>
              <w:right w:val="nil"/>
            </w:tcBorders>
            <w:vAlign w:val="center"/>
          </w:tcPr>
          <w:p w14:paraId="644F3053" w14:textId="77777777" w:rsidR="009030B5" w:rsidRPr="005D4F27" w:rsidRDefault="009030B5" w:rsidP="009030B5">
            <w:pPr>
              <w:jc w:val="center"/>
              <w:rPr>
                <w:rFonts w:eastAsia="Calibri"/>
                <w:lang w:val="it-IT"/>
              </w:rPr>
            </w:pPr>
            <w:r w:rsidRPr="005D4F27">
              <w:rPr>
                <w:rFonts w:eastAsia="Calibri"/>
                <w:lang w:val="it-IT"/>
              </w:rPr>
              <w:t>6</w:t>
            </w:r>
          </w:p>
        </w:tc>
        <w:tc>
          <w:tcPr>
            <w:tcW w:w="1410" w:type="dxa"/>
            <w:tcBorders>
              <w:top w:val="single" w:sz="6" w:space="0" w:color="auto"/>
              <w:left w:val="single" w:sz="6" w:space="0" w:color="auto"/>
              <w:bottom w:val="nil"/>
              <w:right w:val="nil"/>
            </w:tcBorders>
            <w:vAlign w:val="center"/>
          </w:tcPr>
          <w:p w14:paraId="4CFDC06F" w14:textId="77777777" w:rsidR="009030B5" w:rsidRPr="005D4F27" w:rsidRDefault="009030B5" w:rsidP="009030B5">
            <w:pPr>
              <w:jc w:val="center"/>
              <w:rPr>
                <w:rFonts w:eastAsia="Calibri"/>
                <w:lang w:val="it-IT"/>
              </w:rPr>
            </w:pPr>
            <w:r w:rsidRPr="005D4F27">
              <w:rPr>
                <w:rFonts w:eastAsia="Calibri"/>
                <w:lang w:val="it-IT"/>
              </w:rPr>
              <w:t>15</w:t>
            </w:r>
          </w:p>
        </w:tc>
        <w:tc>
          <w:tcPr>
            <w:tcW w:w="1843" w:type="dxa"/>
            <w:tcBorders>
              <w:top w:val="single" w:sz="6" w:space="0" w:color="auto"/>
              <w:left w:val="single" w:sz="6" w:space="0" w:color="auto"/>
              <w:bottom w:val="single" w:sz="6" w:space="0" w:color="auto"/>
              <w:right w:val="single" w:sz="12" w:space="0" w:color="auto"/>
            </w:tcBorders>
            <w:vAlign w:val="center"/>
          </w:tcPr>
          <w:p w14:paraId="3DCC4BD3" w14:textId="77777777" w:rsidR="009030B5" w:rsidRPr="005D4F27" w:rsidRDefault="009030B5" w:rsidP="009030B5">
            <w:pPr>
              <w:jc w:val="center"/>
              <w:rPr>
                <w:rFonts w:eastAsia="Calibri"/>
                <w:lang w:val="it-IT"/>
              </w:rPr>
            </w:pPr>
            <w:r w:rsidRPr="005D4F27">
              <w:rPr>
                <w:rFonts w:eastAsia="Calibri"/>
                <w:lang w:val="it-IT"/>
              </w:rPr>
              <w:t>50</w:t>
            </w:r>
          </w:p>
        </w:tc>
      </w:tr>
      <w:tr w:rsidR="009030B5" w:rsidRPr="005D4F27" w14:paraId="090E3FC9" w14:textId="77777777" w:rsidTr="009030B5">
        <w:tc>
          <w:tcPr>
            <w:tcW w:w="2820" w:type="dxa"/>
            <w:tcBorders>
              <w:top w:val="single" w:sz="6" w:space="0" w:color="auto"/>
              <w:left w:val="single" w:sz="12" w:space="0" w:color="auto"/>
              <w:bottom w:val="single" w:sz="6" w:space="0" w:color="auto"/>
              <w:right w:val="single" w:sz="12" w:space="0" w:color="auto"/>
            </w:tcBorders>
          </w:tcPr>
          <w:p w14:paraId="606D3EFF" w14:textId="77777777" w:rsidR="009030B5" w:rsidRPr="005D4F27" w:rsidRDefault="009030B5" w:rsidP="009030B5">
            <w:pPr>
              <w:rPr>
                <w:rFonts w:eastAsia="Calibri"/>
                <w:lang w:val="it-IT"/>
              </w:rPr>
            </w:pPr>
            <w:r w:rsidRPr="005D4F27">
              <w:rPr>
                <w:rFonts w:eastAsia="Calibri"/>
                <w:lang w:val="it-IT"/>
              </w:rPr>
              <w:t>2,6-Dinitrotoluol</w:t>
            </w:r>
          </w:p>
        </w:tc>
        <w:tc>
          <w:tcPr>
            <w:tcW w:w="1560" w:type="dxa"/>
            <w:tcBorders>
              <w:top w:val="single" w:sz="6" w:space="0" w:color="auto"/>
              <w:left w:val="single" w:sz="12" w:space="0" w:color="auto"/>
              <w:bottom w:val="nil"/>
              <w:right w:val="nil"/>
            </w:tcBorders>
            <w:vAlign w:val="center"/>
          </w:tcPr>
          <w:p w14:paraId="5A16B2CC" w14:textId="77777777" w:rsidR="009030B5" w:rsidRPr="005D4F27" w:rsidRDefault="009030B5" w:rsidP="009030B5">
            <w:pPr>
              <w:jc w:val="center"/>
              <w:rPr>
                <w:rFonts w:eastAsia="Calibri"/>
                <w:lang w:val="it-IT"/>
              </w:rPr>
            </w:pPr>
            <w:r w:rsidRPr="005D4F27">
              <w:rPr>
                <w:rFonts w:eastAsia="Calibri"/>
                <w:lang w:val="it-IT"/>
              </w:rPr>
              <w:t>0,2</w:t>
            </w:r>
          </w:p>
        </w:tc>
        <w:tc>
          <w:tcPr>
            <w:tcW w:w="1268" w:type="dxa"/>
            <w:tcBorders>
              <w:top w:val="single" w:sz="6" w:space="0" w:color="auto"/>
              <w:left w:val="single" w:sz="6" w:space="0" w:color="auto"/>
              <w:bottom w:val="nil"/>
              <w:right w:val="nil"/>
            </w:tcBorders>
            <w:vAlign w:val="center"/>
          </w:tcPr>
          <w:p w14:paraId="33D6271C" w14:textId="77777777" w:rsidR="009030B5" w:rsidRPr="005D4F27" w:rsidRDefault="009030B5" w:rsidP="009030B5">
            <w:pPr>
              <w:jc w:val="center"/>
              <w:rPr>
                <w:rFonts w:eastAsia="Calibri"/>
                <w:lang w:val="it-IT"/>
              </w:rPr>
            </w:pPr>
            <w:r w:rsidRPr="005D4F27">
              <w:rPr>
                <w:rFonts w:eastAsia="Calibri"/>
                <w:lang w:val="it-IT"/>
              </w:rPr>
              <w:t>0,4</w:t>
            </w:r>
          </w:p>
        </w:tc>
        <w:tc>
          <w:tcPr>
            <w:tcW w:w="1410" w:type="dxa"/>
            <w:tcBorders>
              <w:top w:val="single" w:sz="6" w:space="0" w:color="auto"/>
              <w:left w:val="single" w:sz="6" w:space="0" w:color="auto"/>
              <w:bottom w:val="nil"/>
              <w:right w:val="nil"/>
            </w:tcBorders>
            <w:vAlign w:val="center"/>
          </w:tcPr>
          <w:p w14:paraId="39A71F56" w14:textId="77777777" w:rsidR="009030B5" w:rsidRPr="005D4F27" w:rsidRDefault="009030B5" w:rsidP="009030B5">
            <w:pPr>
              <w:jc w:val="center"/>
              <w:rPr>
                <w:rFonts w:eastAsia="Calibri"/>
                <w:lang w:val="it-IT"/>
              </w:rPr>
            </w:pPr>
            <w:r w:rsidRPr="005D4F27">
              <w:rPr>
                <w:rFonts w:eastAsia="Calibri"/>
                <w:lang w:val="it-IT"/>
              </w:rPr>
              <w:t>1</w:t>
            </w:r>
          </w:p>
        </w:tc>
        <w:tc>
          <w:tcPr>
            <w:tcW w:w="1843" w:type="dxa"/>
            <w:tcBorders>
              <w:top w:val="single" w:sz="6" w:space="0" w:color="auto"/>
              <w:left w:val="single" w:sz="6" w:space="0" w:color="auto"/>
              <w:bottom w:val="single" w:sz="6" w:space="0" w:color="auto"/>
              <w:right w:val="single" w:sz="12" w:space="0" w:color="auto"/>
            </w:tcBorders>
            <w:vAlign w:val="center"/>
          </w:tcPr>
          <w:p w14:paraId="5B69E8A1" w14:textId="77777777" w:rsidR="009030B5" w:rsidRPr="005D4F27" w:rsidRDefault="009030B5" w:rsidP="009030B5">
            <w:pPr>
              <w:jc w:val="center"/>
              <w:rPr>
                <w:rFonts w:eastAsia="Calibri"/>
                <w:lang w:val="it-IT"/>
              </w:rPr>
            </w:pPr>
            <w:r w:rsidRPr="005D4F27">
              <w:rPr>
                <w:rFonts w:eastAsia="Calibri"/>
                <w:lang w:val="it-IT"/>
              </w:rPr>
              <w:t>5</w:t>
            </w:r>
          </w:p>
        </w:tc>
      </w:tr>
      <w:tr w:rsidR="009030B5" w:rsidRPr="005D4F27" w14:paraId="5DB5A385" w14:textId="77777777" w:rsidTr="009030B5">
        <w:tc>
          <w:tcPr>
            <w:tcW w:w="2820" w:type="dxa"/>
            <w:tcBorders>
              <w:top w:val="single" w:sz="6" w:space="0" w:color="auto"/>
              <w:left w:val="single" w:sz="12" w:space="0" w:color="auto"/>
              <w:bottom w:val="single" w:sz="6" w:space="0" w:color="auto"/>
              <w:right w:val="single" w:sz="12" w:space="0" w:color="auto"/>
            </w:tcBorders>
          </w:tcPr>
          <w:p w14:paraId="02B1A697" w14:textId="77777777" w:rsidR="009030B5" w:rsidRPr="005D4F27" w:rsidRDefault="009030B5" w:rsidP="009030B5">
            <w:pPr>
              <w:rPr>
                <w:rFonts w:eastAsia="Calibri"/>
                <w:lang w:val="it-IT"/>
              </w:rPr>
            </w:pPr>
            <w:r w:rsidRPr="005D4F27">
              <w:rPr>
                <w:rFonts w:eastAsia="Calibri"/>
                <w:lang w:val="it-IT"/>
              </w:rPr>
              <w:t>DDT (</w:t>
            </w:r>
            <w:proofErr w:type="spellStart"/>
            <w:r w:rsidRPr="005D4F27">
              <w:rPr>
                <w:rFonts w:eastAsia="Calibri"/>
                <w:lang w:val="it-IT"/>
              </w:rPr>
              <w:t>Dichlordiphenyl</w:t>
            </w:r>
            <w:r w:rsidRPr="005D4F27">
              <w:rPr>
                <w:rFonts w:eastAsia="Calibri"/>
                <w:lang w:val="it-IT"/>
              </w:rPr>
              <w:softHyphen/>
              <w:t>trichlorethan</w:t>
            </w:r>
            <w:proofErr w:type="spellEnd"/>
            <w:r w:rsidRPr="005D4F27">
              <w:rPr>
                <w:rFonts w:eastAsia="Calibri"/>
                <w:lang w:val="it-IT"/>
              </w:rPr>
              <w:t>)</w:t>
            </w:r>
          </w:p>
        </w:tc>
        <w:tc>
          <w:tcPr>
            <w:tcW w:w="1560" w:type="dxa"/>
            <w:tcBorders>
              <w:top w:val="single" w:sz="6" w:space="0" w:color="auto"/>
              <w:left w:val="single" w:sz="12" w:space="0" w:color="auto"/>
              <w:bottom w:val="nil"/>
              <w:right w:val="nil"/>
            </w:tcBorders>
            <w:vAlign w:val="center"/>
          </w:tcPr>
          <w:p w14:paraId="7450948B" w14:textId="77777777" w:rsidR="009030B5" w:rsidRPr="005D4F27" w:rsidRDefault="009030B5" w:rsidP="009030B5">
            <w:pPr>
              <w:jc w:val="center"/>
              <w:rPr>
                <w:rFonts w:eastAsia="Calibri"/>
              </w:rPr>
            </w:pPr>
            <w:r w:rsidRPr="005D4F27">
              <w:rPr>
                <w:rFonts w:eastAsia="Calibri"/>
              </w:rPr>
              <w:t>40</w:t>
            </w:r>
          </w:p>
        </w:tc>
        <w:tc>
          <w:tcPr>
            <w:tcW w:w="1268" w:type="dxa"/>
            <w:tcBorders>
              <w:top w:val="single" w:sz="6" w:space="0" w:color="auto"/>
              <w:left w:val="single" w:sz="6" w:space="0" w:color="auto"/>
              <w:bottom w:val="nil"/>
              <w:right w:val="nil"/>
            </w:tcBorders>
            <w:vAlign w:val="center"/>
          </w:tcPr>
          <w:p w14:paraId="525F8059" w14:textId="77777777" w:rsidR="009030B5" w:rsidRPr="005D4F27" w:rsidRDefault="009030B5" w:rsidP="009030B5">
            <w:pPr>
              <w:jc w:val="center"/>
              <w:rPr>
                <w:rFonts w:eastAsia="Calibri"/>
              </w:rPr>
            </w:pPr>
            <w:r w:rsidRPr="005D4F27">
              <w:rPr>
                <w:rFonts w:eastAsia="Calibri"/>
              </w:rPr>
              <w:t>80</w:t>
            </w:r>
          </w:p>
        </w:tc>
        <w:tc>
          <w:tcPr>
            <w:tcW w:w="1410" w:type="dxa"/>
            <w:tcBorders>
              <w:top w:val="single" w:sz="6" w:space="0" w:color="auto"/>
              <w:left w:val="single" w:sz="6" w:space="0" w:color="auto"/>
              <w:bottom w:val="nil"/>
              <w:right w:val="nil"/>
            </w:tcBorders>
            <w:vAlign w:val="center"/>
          </w:tcPr>
          <w:p w14:paraId="34CBBDCF" w14:textId="77777777" w:rsidR="009030B5" w:rsidRPr="005D4F27" w:rsidRDefault="009030B5" w:rsidP="009030B5">
            <w:pPr>
              <w:jc w:val="center"/>
              <w:rPr>
                <w:rFonts w:eastAsia="Calibri"/>
              </w:rPr>
            </w:pPr>
            <w:r w:rsidRPr="005D4F27">
              <w:rPr>
                <w:rFonts w:eastAsia="Calibri"/>
              </w:rPr>
              <w:t>200</w:t>
            </w:r>
          </w:p>
        </w:tc>
        <w:tc>
          <w:tcPr>
            <w:tcW w:w="1843" w:type="dxa"/>
            <w:tcBorders>
              <w:top w:val="single" w:sz="6" w:space="0" w:color="auto"/>
              <w:left w:val="single" w:sz="6" w:space="0" w:color="auto"/>
              <w:bottom w:val="single" w:sz="6" w:space="0" w:color="auto"/>
              <w:right w:val="single" w:sz="12" w:space="0" w:color="auto"/>
            </w:tcBorders>
            <w:vAlign w:val="center"/>
          </w:tcPr>
          <w:p w14:paraId="073D821F" w14:textId="77777777" w:rsidR="009030B5" w:rsidRPr="005D4F27" w:rsidRDefault="009030B5" w:rsidP="009030B5">
            <w:pPr>
              <w:jc w:val="center"/>
              <w:rPr>
                <w:rFonts w:eastAsia="Calibri"/>
              </w:rPr>
            </w:pPr>
            <w:r w:rsidRPr="005D4F27">
              <w:rPr>
                <w:rFonts w:eastAsia="Calibri"/>
              </w:rPr>
              <w:t>400</w:t>
            </w:r>
          </w:p>
        </w:tc>
      </w:tr>
      <w:tr w:rsidR="009030B5" w:rsidRPr="005D4F27" w14:paraId="64210F4D" w14:textId="77777777" w:rsidTr="009030B5">
        <w:tc>
          <w:tcPr>
            <w:tcW w:w="2820" w:type="dxa"/>
            <w:tcBorders>
              <w:top w:val="single" w:sz="6" w:space="0" w:color="auto"/>
              <w:left w:val="single" w:sz="12" w:space="0" w:color="auto"/>
              <w:bottom w:val="single" w:sz="6" w:space="0" w:color="auto"/>
              <w:right w:val="single" w:sz="12" w:space="0" w:color="auto"/>
            </w:tcBorders>
          </w:tcPr>
          <w:p w14:paraId="1C4F115E" w14:textId="77777777" w:rsidR="009030B5" w:rsidRPr="005D4F27" w:rsidRDefault="009030B5" w:rsidP="009030B5">
            <w:pPr>
              <w:rPr>
                <w:rFonts w:eastAsia="Calibri"/>
              </w:rPr>
            </w:pPr>
            <w:r w:rsidRPr="005D4F27">
              <w:rPr>
                <w:rFonts w:eastAsia="Calibri"/>
              </w:rPr>
              <w:t>Hexachlorbenzol</w:t>
            </w:r>
          </w:p>
        </w:tc>
        <w:tc>
          <w:tcPr>
            <w:tcW w:w="1560" w:type="dxa"/>
            <w:tcBorders>
              <w:top w:val="single" w:sz="6" w:space="0" w:color="auto"/>
              <w:left w:val="single" w:sz="12" w:space="0" w:color="auto"/>
              <w:bottom w:val="nil"/>
              <w:right w:val="nil"/>
            </w:tcBorders>
            <w:vAlign w:val="center"/>
          </w:tcPr>
          <w:p w14:paraId="2059F3C7" w14:textId="77777777" w:rsidR="009030B5" w:rsidRPr="005D4F27" w:rsidRDefault="009030B5" w:rsidP="009030B5">
            <w:pPr>
              <w:jc w:val="center"/>
              <w:rPr>
                <w:rFonts w:eastAsia="Calibri"/>
              </w:rPr>
            </w:pPr>
            <w:r w:rsidRPr="005D4F27">
              <w:rPr>
                <w:rFonts w:eastAsia="Calibri"/>
              </w:rPr>
              <w:t>4</w:t>
            </w:r>
          </w:p>
        </w:tc>
        <w:tc>
          <w:tcPr>
            <w:tcW w:w="1268" w:type="dxa"/>
            <w:tcBorders>
              <w:top w:val="single" w:sz="6" w:space="0" w:color="auto"/>
              <w:left w:val="single" w:sz="6" w:space="0" w:color="auto"/>
              <w:bottom w:val="nil"/>
              <w:right w:val="nil"/>
            </w:tcBorders>
            <w:vAlign w:val="center"/>
          </w:tcPr>
          <w:p w14:paraId="35E9EEB6" w14:textId="77777777" w:rsidR="009030B5" w:rsidRPr="005D4F27" w:rsidRDefault="009030B5" w:rsidP="009030B5">
            <w:pPr>
              <w:jc w:val="center"/>
              <w:rPr>
                <w:rFonts w:eastAsia="Calibri"/>
              </w:rPr>
            </w:pPr>
            <w:r w:rsidRPr="005D4F27">
              <w:rPr>
                <w:rFonts w:eastAsia="Calibri"/>
              </w:rPr>
              <w:t>8</w:t>
            </w:r>
          </w:p>
        </w:tc>
        <w:tc>
          <w:tcPr>
            <w:tcW w:w="1410" w:type="dxa"/>
            <w:tcBorders>
              <w:top w:val="single" w:sz="6" w:space="0" w:color="auto"/>
              <w:left w:val="single" w:sz="6" w:space="0" w:color="auto"/>
              <w:bottom w:val="nil"/>
              <w:right w:val="nil"/>
            </w:tcBorders>
            <w:vAlign w:val="center"/>
          </w:tcPr>
          <w:p w14:paraId="6A7798A7" w14:textId="77777777" w:rsidR="009030B5" w:rsidRPr="005D4F27" w:rsidRDefault="009030B5" w:rsidP="009030B5">
            <w:pPr>
              <w:jc w:val="center"/>
              <w:rPr>
                <w:rFonts w:eastAsia="Calibri"/>
              </w:rPr>
            </w:pPr>
            <w:r w:rsidRPr="005D4F27">
              <w:rPr>
                <w:rFonts w:eastAsia="Calibri"/>
              </w:rPr>
              <w:t>20</w:t>
            </w:r>
          </w:p>
        </w:tc>
        <w:tc>
          <w:tcPr>
            <w:tcW w:w="1843" w:type="dxa"/>
            <w:tcBorders>
              <w:top w:val="single" w:sz="6" w:space="0" w:color="auto"/>
              <w:left w:val="single" w:sz="6" w:space="0" w:color="auto"/>
              <w:bottom w:val="single" w:sz="6" w:space="0" w:color="auto"/>
              <w:right w:val="single" w:sz="12" w:space="0" w:color="auto"/>
            </w:tcBorders>
            <w:vAlign w:val="center"/>
          </w:tcPr>
          <w:p w14:paraId="09282506" w14:textId="77777777" w:rsidR="009030B5" w:rsidRPr="005D4F27" w:rsidRDefault="009030B5" w:rsidP="009030B5">
            <w:pPr>
              <w:jc w:val="center"/>
              <w:rPr>
                <w:rFonts w:eastAsia="Calibri"/>
              </w:rPr>
            </w:pPr>
            <w:r w:rsidRPr="005D4F27">
              <w:rPr>
                <w:rFonts w:eastAsia="Calibri"/>
              </w:rPr>
              <w:t>200</w:t>
            </w:r>
          </w:p>
        </w:tc>
      </w:tr>
      <w:tr w:rsidR="009030B5" w:rsidRPr="005D4F27" w14:paraId="04041C3B" w14:textId="77777777" w:rsidTr="009030B5">
        <w:tc>
          <w:tcPr>
            <w:tcW w:w="2820" w:type="dxa"/>
            <w:tcBorders>
              <w:top w:val="single" w:sz="6" w:space="0" w:color="auto"/>
              <w:left w:val="single" w:sz="12" w:space="0" w:color="auto"/>
              <w:bottom w:val="nil"/>
              <w:right w:val="single" w:sz="12" w:space="0" w:color="auto"/>
            </w:tcBorders>
          </w:tcPr>
          <w:p w14:paraId="6354D8AF" w14:textId="77777777" w:rsidR="009030B5" w:rsidRPr="005D4F27" w:rsidRDefault="009030B5" w:rsidP="009030B5">
            <w:pPr>
              <w:rPr>
                <w:rFonts w:eastAsia="Calibri"/>
              </w:rPr>
            </w:pPr>
            <w:proofErr w:type="spellStart"/>
            <w:r w:rsidRPr="005D4F27">
              <w:rPr>
                <w:rFonts w:eastAsia="Calibri"/>
              </w:rPr>
              <w:t>Hexachlorcyclohexan</w:t>
            </w:r>
            <w:proofErr w:type="spellEnd"/>
            <w:r w:rsidRPr="005D4F27">
              <w:rPr>
                <w:rFonts w:eastAsia="Calibri"/>
              </w:rPr>
              <w:t xml:space="preserve"> (HCH-Gemisch oder </w:t>
            </w:r>
            <w:r w:rsidRPr="005D4F27">
              <w:rPr>
                <w:rFonts w:eastAsia="Calibri"/>
              </w:rPr>
              <w:sym w:font="Symbol" w:char="F062"/>
            </w:r>
            <w:r w:rsidRPr="005D4F27">
              <w:rPr>
                <w:rFonts w:eastAsia="Calibri"/>
              </w:rPr>
              <w:t>-HCH)</w:t>
            </w:r>
          </w:p>
        </w:tc>
        <w:tc>
          <w:tcPr>
            <w:tcW w:w="1560" w:type="dxa"/>
            <w:tcBorders>
              <w:top w:val="single" w:sz="6" w:space="0" w:color="auto"/>
              <w:left w:val="single" w:sz="12" w:space="0" w:color="auto"/>
              <w:bottom w:val="nil"/>
              <w:right w:val="nil"/>
            </w:tcBorders>
            <w:vAlign w:val="center"/>
          </w:tcPr>
          <w:p w14:paraId="49099800" w14:textId="77777777" w:rsidR="009030B5" w:rsidRPr="005D4F27" w:rsidRDefault="009030B5" w:rsidP="009030B5">
            <w:pPr>
              <w:jc w:val="center"/>
              <w:rPr>
                <w:rFonts w:eastAsia="Calibri"/>
              </w:rPr>
            </w:pPr>
            <w:r w:rsidRPr="005D4F27">
              <w:rPr>
                <w:rFonts w:eastAsia="Calibri"/>
              </w:rPr>
              <w:t>5</w:t>
            </w:r>
          </w:p>
        </w:tc>
        <w:tc>
          <w:tcPr>
            <w:tcW w:w="1268" w:type="dxa"/>
            <w:tcBorders>
              <w:top w:val="single" w:sz="6" w:space="0" w:color="auto"/>
              <w:left w:val="single" w:sz="6" w:space="0" w:color="auto"/>
              <w:bottom w:val="nil"/>
              <w:right w:val="nil"/>
            </w:tcBorders>
            <w:vAlign w:val="center"/>
          </w:tcPr>
          <w:p w14:paraId="10191D75" w14:textId="77777777" w:rsidR="009030B5" w:rsidRPr="005D4F27" w:rsidRDefault="009030B5" w:rsidP="009030B5">
            <w:pPr>
              <w:jc w:val="center"/>
              <w:rPr>
                <w:rFonts w:eastAsia="Calibri"/>
              </w:rPr>
            </w:pPr>
            <w:r w:rsidRPr="005D4F27">
              <w:rPr>
                <w:rFonts w:eastAsia="Calibri"/>
              </w:rPr>
              <w:t>10</w:t>
            </w:r>
          </w:p>
        </w:tc>
        <w:tc>
          <w:tcPr>
            <w:tcW w:w="1410" w:type="dxa"/>
            <w:tcBorders>
              <w:top w:val="single" w:sz="6" w:space="0" w:color="auto"/>
              <w:left w:val="single" w:sz="6" w:space="0" w:color="auto"/>
              <w:bottom w:val="nil"/>
              <w:right w:val="nil"/>
            </w:tcBorders>
            <w:vAlign w:val="center"/>
          </w:tcPr>
          <w:p w14:paraId="2E8BC2BC" w14:textId="77777777" w:rsidR="009030B5" w:rsidRPr="005D4F27" w:rsidRDefault="009030B5" w:rsidP="009030B5">
            <w:pPr>
              <w:jc w:val="center"/>
              <w:rPr>
                <w:rFonts w:eastAsia="Calibri"/>
              </w:rPr>
            </w:pPr>
            <w:r w:rsidRPr="005D4F27">
              <w:rPr>
                <w:rFonts w:eastAsia="Calibri"/>
              </w:rPr>
              <w:t>25</w:t>
            </w:r>
          </w:p>
        </w:tc>
        <w:tc>
          <w:tcPr>
            <w:tcW w:w="1843" w:type="dxa"/>
            <w:tcBorders>
              <w:top w:val="single" w:sz="6" w:space="0" w:color="auto"/>
              <w:left w:val="single" w:sz="6" w:space="0" w:color="auto"/>
              <w:bottom w:val="single" w:sz="6" w:space="0" w:color="auto"/>
              <w:right w:val="single" w:sz="12" w:space="0" w:color="auto"/>
            </w:tcBorders>
            <w:vAlign w:val="center"/>
          </w:tcPr>
          <w:p w14:paraId="42BA66BC" w14:textId="77777777" w:rsidR="009030B5" w:rsidRPr="005D4F27" w:rsidRDefault="009030B5" w:rsidP="009030B5">
            <w:pPr>
              <w:jc w:val="center"/>
              <w:rPr>
                <w:rFonts w:eastAsia="Calibri"/>
              </w:rPr>
            </w:pPr>
            <w:r w:rsidRPr="005D4F27">
              <w:rPr>
                <w:rFonts w:eastAsia="Calibri"/>
              </w:rPr>
              <w:t>400</w:t>
            </w:r>
          </w:p>
        </w:tc>
      </w:tr>
      <w:tr w:rsidR="009030B5" w:rsidRPr="005D4F27" w14:paraId="27858059" w14:textId="77777777" w:rsidTr="009030B5">
        <w:tc>
          <w:tcPr>
            <w:tcW w:w="2820" w:type="dxa"/>
            <w:tcBorders>
              <w:top w:val="single" w:sz="6" w:space="0" w:color="auto"/>
              <w:left w:val="single" w:sz="12" w:space="0" w:color="auto"/>
              <w:bottom w:val="nil"/>
              <w:right w:val="single" w:sz="12" w:space="0" w:color="auto"/>
            </w:tcBorders>
          </w:tcPr>
          <w:p w14:paraId="2CBBC66C" w14:textId="77777777" w:rsidR="009030B5" w:rsidRPr="005D4F27" w:rsidRDefault="009030B5" w:rsidP="009030B5">
            <w:pPr>
              <w:rPr>
                <w:rFonts w:eastAsia="Calibri"/>
              </w:rPr>
            </w:pPr>
            <w:r w:rsidRPr="005D4F27">
              <w:rPr>
                <w:rFonts w:eastAsia="Calibri"/>
              </w:rPr>
              <w:t>2,2‘, 4,4‘, 6,6‘-Hexa-nitrodiphenylamin (</w:t>
            </w:r>
            <w:proofErr w:type="spellStart"/>
            <w:r w:rsidRPr="005D4F27">
              <w:rPr>
                <w:rFonts w:eastAsia="Calibri"/>
              </w:rPr>
              <w:t>Hexyl</w:t>
            </w:r>
            <w:proofErr w:type="spellEnd"/>
            <w:r w:rsidRPr="005D4F27">
              <w:rPr>
                <w:rFonts w:eastAsia="Calibri"/>
              </w:rPr>
              <w:t>)</w:t>
            </w:r>
          </w:p>
        </w:tc>
        <w:tc>
          <w:tcPr>
            <w:tcW w:w="1560" w:type="dxa"/>
            <w:tcBorders>
              <w:top w:val="single" w:sz="6" w:space="0" w:color="auto"/>
              <w:left w:val="single" w:sz="12" w:space="0" w:color="auto"/>
              <w:bottom w:val="nil"/>
              <w:right w:val="nil"/>
            </w:tcBorders>
            <w:vAlign w:val="center"/>
          </w:tcPr>
          <w:p w14:paraId="3AB7DF8C" w14:textId="77777777" w:rsidR="009030B5" w:rsidRPr="005D4F27" w:rsidRDefault="009030B5" w:rsidP="009030B5">
            <w:pPr>
              <w:jc w:val="center"/>
              <w:rPr>
                <w:rFonts w:eastAsia="Calibri"/>
              </w:rPr>
            </w:pPr>
            <w:r w:rsidRPr="005D4F27">
              <w:rPr>
                <w:rFonts w:eastAsia="Calibri"/>
              </w:rPr>
              <w:t>150</w:t>
            </w:r>
          </w:p>
        </w:tc>
        <w:tc>
          <w:tcPr>
            <w:tcW w:w="1268" w:type="dxa"/>
            <w:tcBorders>
              <w:top w:val="single" w:sz="6" w:space="0" w:color="auto"/>
              <w:left w:val="single" w:sz="6" w:space="0" w:color="auto"/>
              <w:bottom w:val="nil"/>
              <w:right w:val="nil"/>
            </w:tcBorders>
            <w:vAlign w:val="center"/>
          </w:tcPr>
          <w:p w14:paraId="3B07CE2F" w14:textId="77777777" w:rsidR="009030B5" w:rsidRPr="005D4F27" w:rsidRDefault="009030B5" w:rsidP="009030B5">
            <w:pPr>
              <w:jc w:val="center"/>
              <w:rPr>
                <w:rFonts w:eastAsia="Calibri"/>
              </w:rPr>
            </w:pPr>
            <w:r w:rsidRPr="005D4F27">
              <w:rPr>
                <w:rFonts w:eastAsia="Calibri"/>
              </w:rPr>
              <w:t>300</w:t>
            </w:r>
          </w:p>
        </w:tc>
        <w:tc>
          <w:tcPr>
            <w:tcW w:w="1410" w:type="dxa"/>
            <w:tcBorders>
              <w:top w:val="single" w:sz="6" w:space="0" w:color="auto"/>
              <w:left w:val="single" w:sz="6" w:space="0" w:color="auto"/>
              <w:bottom w:val="nil"/>
              <w:right w:val="nil"/>
            </w:tcBorders>
            <w:vAlign w:val="center"/>
          </w:tcPr>
          <w:p w14:paraId="357DB020" w14:textId="77777777" w:rsidR="009030B5" w:rsidRPr="005D4F27" w:rsidRDefault="009030B5" w:rsidP="009030B5">
            <w:pPr>
              <w:jc w:val="center"/>
              <w:rPr>
                <w:rFonts w:eastAsia="Calibri"/>
              </w:rPr>
            </w:pPr>
            <w:r w:rsidRPr="005D4F27">
              <w:rPr>
                <w:rFonts w:eastAsia="Calibri"/>
              </w:rPr>
              <w:t>750</w:t>
            </w:r>
          </w:p>
        </w:tc>
        <w:tc>
          <w:tcPr>
            <w:tcW w:w="1843" w:type="dxa"/>
            <w:tcBorders>
              <w:top w:val="single" w:sz="6" w:space="0" w:color="auto"/>
              <w:left w:val="single" w:sz="6" w:space="0" w:color="auto"/>
              <w:bottom w:val="single" w:sz="6" w:space="0" w:color="auto"/>
              <w:right w:val="single" w:sz="12" w:space="0" w:color="auto"/>
            </w:tcBorders>
            <w:vAlign w:val="center"/>
          </w:tcPr>
          <w:p w14:paraId="31DA874E" w14:textId="77777777" w:rsidR="009030B5" w:rsidRPr="005D4F27" w:rsidRDefault="009030B5" w:rsidP="009030B5">
            <w:pPr>
              <w:jc w:val="center"/>
              <w:rPr>
                <w:rFonts w:eastAsia="Calibri"/>
              </w:rPr>
            </w:pPr>
            <w:r w:rsidRPr="005D4F27">
              <w:rPr>
                <w:rFonts w:eastAsia="Calibri"/>
              </w:rPr>
              <w:t>1 500</w:t>
            </w:r>
          </w:p>
        </w:tc>
      </w:tr>
      <w:tr w:rsidR="009030B5" w:rsidRPr="005D4F27" w14:paraId="44EE5E92" w14:textId="77777777" w:rsidTr="009030B5">
        <w:tc>
          <w:tcPr>
            <w:tcW w:w="2820" w:type="dxa"/>
            <w:tcBorders>
              <w:top w:val="single" w:sz="6" w:space="0" w:color="auto"/>
              <w:left w:val="single" w:sz="12" w:space="0" w:color="auto"/>
              <w:bottom w:val="nil"/>
              <w:right w:val="single" w:sz="12" w:space="0" w:color="auto"/>
            </w:tcBorders>
          </w:tcPr>
          <w:p w14:paraId="479994F9" w14:textId="77777777" w:rsidR="009030B5" w:rsidRPr="005D4F27" w:rsidRDefault="009030B5" w:rsidP="009030B5">
            <w:pPr>
              <w:rPr>
                <w:rFonts w:eastAsia="Calibri"/>
              </w:rPr>
            </w:pPr>
            <w:r w:rsidRPr="005D4F27">
              <w:rPr>
                <w:rFonts w:eastAsia="Calibri"/>
              </w:rPr>
              <w:t>1,3,5-Trinitro-hexahydro-1,3, 5-triazin (Hexogen)</w:t>
            </w:r>
          </w:p>
        </w:tc>
        <w:tc>
          <w:tcPr>
            <w:tcW w:w="1560" w:type="dxa"/>
            <w:tcBorders>
              <w:top w:val="single" w:sz="6" w:space="0" w:color="auto"/>
              <w:left w:val="single" w:sz="12" w:space="0" w:color="auto"/>
              <w:bottom w:val="nil"/>
              <w:right w:val="nil"/>
            </w:tcBorders>
            <w:vAlign w:val="center"/>
          </w:tcPr>
          <w:p w14:paraId="69F4E899" w14:textId="77777777" w:rsidR="009030B5" w:rsidRPr="005D4F27" w:rsidRDefault="009030B5" w:rsidP="009030B5">
            <w:pPr>
              <w:jc w:val="center"/>
              <w:rPr>
                <w:rFonts w:eastAsia="Calibri"/>
              </w:rPr>
            </w:pPr>
            <w:r w:rsidRPr="005D4F27">
              <w:rPr>
                <w:rFonts w:eastAsia="Calibri"/>
              </w:rPr>
              <w:t>100</w:t>
            </w:r>
          </w:p>
        </w:tc>
        <w:tc>
          <w:tcPr>
            <w:tcW w:w="1268" w:type="dxa"/>
            <w:tcBorders>
              <w:top w:val="single" w:sz="6" w:space="0" w:color="auto"/>
              <w:left w:val="single" w:sz="6" w:space="0" w:color="auto"/>
              <w:bottom w:val="nil"/>
              <w:right w:val="nil"/>
            </w:tcBorders>
            <w:vAlign w:val="center"/>
          </w:tcPr>
          <w:p w14:paraId="738C351B" w14:textId="77777777" w:rsidR="009030B5" w:rsidRPr="005D4F27" w:rsidRDefault="009030B5" w:rsidP="009030B5">
            <w:pPr>
              <w:jc w:val="center"/>
              <w:rPr>
                <w:rFonts w:eastAsia="Calibri"/>
              </w:rPr>
            </w:pPr>
            <w:r w:rsidRPr="005D4F27">
              <w:rPr>
                <w:rFonts w:eastAsia="Calibri"/>
              </w:rPr>
              <w:t>200</w:t>
            </w:r>
          </w:p>
        </w:tc>
        <w:tc>
          <w:tcPr>
            <w:tcW w:w="1410" w:type="dxa"/>
            <w:tcBorders>
              <w:top w:val="single" w:sz="6" w:space="0" w:color="auto"/>
              <w:left w:val="single" w:sz="6" w:space="0" w:color="auto"/>
              <w:bottom w:val="nil"/>
              <w:right w:val="nil"/>
            </w:tcBorders>
            <w:vAlign w:val="center"/>
          </w:tcPr>
          <w:p w14:paraId="64DE52DA" w14:textId="77777777" w:rsidR="009030B5" w:rsidRPr="005D4F27" w:rsidRDefault="009030B5" w:rsidP="009030B5">
            <w:pPr>
              <w:jc w:val="center"/>
              <w:rPr>
                <w:rFonts w:eastAsia="Calibri"/>
              </w:rPr>
            </w:pPr>
            <w:r w:rsidRPr="005D4F27">
              <w:rPr>
                <w:rFonts w:eastAsia="Calibri"/>
              </w:rPr>
              <w:t>500</w:t>
            </w:r>
          </w:p>
        </w:tc>
        <w:tc>
          <w:tcPr>
            <w:tcW w:w="1843" w:type="dxa"/>
            <w:tcBorders>
              <w:top w:val="single" w:sz="6" w:space="0" w:color="auto"/>
              <w:left w:val="single" w:sz="6" w:space="0" w:color="auto"/>
              <w:bottom w:val="single" w:sz="6" w:space="0" w:color="auto"/>
              <w:right w:val="single" w:sz="12" w:space="0" w:color="auto"/>
            </w:tcBorders>
            <w:vAlign w:val="center"/>
          </w:tcPr>
          <w:p w14:paraId="401D73C0" w14:textId="77777777" w:rsidR="009030B5" w:rsidRPr="005D4F27" w:rsidRDefault="009030B5" w:rsidP="009030B5">
            <w:pPr>
              <w:jc w:val="center"/>
              <w:rPr>
                <w:rFonts w:eastAsia="Calibri"/>
              </w:rPr>
            </w:pPr>
            <w:r w:rsidRPr="005D4F27">
              <w:rPr>
                <w:rFonts w:eastAsia="Calibri"/>
              </w:rPr>
              <w:t>1 000</w:t>
            </w:r>
          </w:p>
        </w:tc>
      </w:tr>
      <w:tr w:rsidR="009030B5" w:rsidRPr="005D4F27" w14:paraId="493C6C77" w14:textId="77777777" w:rsidTr="009030B5">
        <w:tc>
          <w:tcPr>
            <w:tcW w:w="2820" w:type="dxa"/>
            <w:tcBorders>
              <w:top w:val="single" w:sz="6" w:space="0" w:color="auto"/>
              <w:left w:val="single" w:sz="12" w:space="0" w:color="auto"/>
              <w:bottom w:val="nil"/>
              <w:right w:val="single" w:sz="12" w:space="0" w:color="auto"/>
            </w:tcBorders>
          </w:tcPr>
          <w:p w14:paraId="07AEEE5E" w14:textId="77777777" w:rsidR="009030B5" w:rsidRPr="005D4F27" w:rsidRDefault="009030B5" w:rsidP="009030B5">
            <w:pPr>
              <w:rPr>
                <w:rFonts w:eastAsia="Calibri"/>
              </w:rPr>
            </w:pPr>
            <w:r w:rsidRPr="005D4F27">
              <w:rPr>
                <w:rFonts w:eastAsia="Calibri"/>
              </w:rPr>
              <w:t>Nitropenta</w:t>
            </w:r>
          </w:p>
        </w:tc>
        <w:tc>
          <w:tcPr>
            <w:tcW w:w="1560" w:type="dxa"/>
            <w:tcBorders>
              <w:top w:val="single" w:sz="6" w:space="0" w:color="auto"/>
              <w:left w:val="single" w:sz="12" w:space="0" w:color="auto"/>
              <w:bottom w:val="nil"/>
              <w:right w:val="nil"/>
            </w:tcBorders>
            <w:vAlign w:val="center"/>
          </w:tcPr>
          <w:p w14:paraId="5CFB5221" w14:textId="77777777" w:rsidR="009030B5" w:rsidRPr="005D4F27" w:rsidRDefault="009030B5" w:rsidP="009030B5">
            <w:pPr>
              <w:jc w:val="center"/>
              <w:rPr>
                <w:rFonts w:eastAsia="Calibri"/>
              </w:rPr>
            </w:pPr>
            <w:r w:rsidRPr="005D4F27">
              <w:rPr>
                <w:rFonts w:eastAsia="Calibri"/>
              </w:rPr>
              <w:t>500</w:t>
            </w:r>
          </w:p>
        </w:tc>
        <w:tc>
          <w:tcPr>
            <w:tcW w:w="1268" w:type="dxa"/>
            <w:tcBorders>
              <w:top w:val="single" w:sz="6" w:space="0" w:color="auto"/>
              <w:left w:val="single" w:sz="6" w:space="0" w:color="auto"/>
              <w:bottom w:val="nil"/>
              <w:right w:val="nil"/>
            </w:tcBorders>
            <w:vAlign w:val="center"/>
          </w:tcPr>
          <w:p w14:paraId="308AAEDB" w14:textId="77777777" w:rsidR="009030B5" w:rsidRPr="005D4F27" w:rsidRDefault="009030B5" w:rsidP="009030B5">
            <w:pPr>
              <w:jc w:val="center"/>
              <w:rPr>
                <w:rFonts w:eastAsia="Calibri"/>
              </w:rPr>
            </w:pPr>
            <w:r w:rsidRPr="005D4F27">
              <w:rPr>
                <w:rFonts w:eastAsia="Calibri"/>
              </w:rPr>
              <w:t>1 000</w:t>
            </w:r>
          </w:p>
        </w:tc>
        <w:tc>
          <w:tcPr>
            <w:tcW w:w="1410" w:type="dxa"/>
            <w:tcBorders>
              <w:top w:val="single" w:sz="6" w:space="0" w:color="auto"/>
              <w:left w:val="single" w:sz="6" w:space="0" w:color="auto"/>
              <w:bottom w:val="nil"/>
              <w:right w:val="nil"/>
            </w:tcBorders>
            <w:vAlign w:val="center"/>
          </w:tcPr>
          <w:p w14:paraId="5362CC7E" w14:textId="77777777" w:rsidR="009030B5" w:rsidRPr="005D4F27" w:rsidRDefault="009030B5" w:rsidP="009030B5">
            <w:pPr>
              <w:jc w:val="center"/>
              <w:rPr>
                <w:rFonts w:eastAsia="Calibri"/>
              </w:rPr>
            </w:pPr>
            <w:r w:rsidRPr="005D4F27">
              <w:rPr>
                <w:rFonts w:eastAsia="Calibri"/>
              </w:rPr>
              <w:t>2 500</w:t>
            </w:r>
          </w:p>
        </w:tc>
        <w:tc>
          <w:tcPr>
            <w:tcW w:w="1843" w:type="dxa"/>
            <w:tcBorders>
              <w:top w:val="single" w:sz="6" w:space="0" w:color="auto"/>
              <w:left w:val="single" w:sz="6" w:space="0" w:color="auto"/>
              <w:bottom w:val="single" w:sz="6" w:space="0" w:color="auto"/>
              <w:right w:val="single" w:sz="12" w:space="0" w:color="auto"/>
            </w:tcBorders>
            <w:vAlign w:val="center"/>
          </w:tcPr>
          <w:p w14:paraId="104BDBD0" w14:textId="77777777" w:rsidR="009030B5" w:rsidRPr="005D4F27" w:rsidRDefault="009030B5" w:rsidP="009030B5">
            <w:pPr>
              <w:jc w:val="center"/>
              <w:rPr>
                <w:rFonts w:eastAsia="Calibri"/>
              </w:rPr>
            </w:pPr>
            <w:r w:rsidRPr="005D4F27">
              <w:rPr>
                <w:rFonts w:eastAsia="Calibri"/>
              </w:rPr>
              <w:t>5 000</w:t>
            </w:r>
          </w:p>
        </w:tc>
      </w:tr>
      <w:tr w:rsidR="009030B5" w:rsidRPr="005D4F27" w:rsidDel="00C04E52" w14:paraId="76A023FA" w14:textId="77777777" w:rsidTr="009030B5">
        <w:tc>
          <w:tcPr>
            <w:tcW w:w="2820" w:type="dxa"/>
            <w:tcBorders>
              <w:top w:val="single" w:sz="6" w:space="0" w:color="auto"/>
              <w:left w:val="single" w:sz="12" w:space="0" w:color="auto"/>
              <w:bottom w:val="single" w:sz="4" w:space="0" w:color="auto"/>
              <w:right w:val="single" w:sz="12" w:space="0" w:color="auto"/>
            </w:tcBorders>
          </w:tcPr>
          <w:p w14:paraId="2E19EA06" w14:textId="77777777" w:rsidR="009030B5" w:rsidRPr="005D4F27" w:rsidDel="00C04E52" w:rsidRDefault="009030B5" w:rsidP="009030B5">
            <w:pPr>
              <w:rPr>
                <w:rFonts w:eastAsia="Calibri"/>
              </w:rPr>
            </w:pPr>
            <w:proofErr w:type="spellStart"/>
            <w:r w:rsidRPr="005D4F27" w:rsidDel="00C04E52">
              <w:rPr>
                <w:rFonts w:eastAsia="Calibri"/>
              </w:rPr>
              <w:t>Pentachlorphenol</w:t>
            </w:r>
            <w:proofErr w:type="spellEnd"/>
          </w:p>
        </w:tc>
        <w:tc>
          <w:tcPr>
            <w:tcW w:w="1560" w:type="dxa"/>
            <w:tcBorders>
              <w:top w:val="single" w:sz="6" w:space="0" w:color="auto"/>
              <w:left w:val="single" w:sz="12" w:space="0" w:color="auto"/>
              <w:bottom w:val="single" w:sz="4" w:space="0" w:color="auto"/>
              <w:right w:val="nil"/>
            </w:tcBorders>
            <w:vAlign w:val="center"/>
          </w:tcPr>
          <w:p w14:paraId="3333A506" w14:textId="77777777" w:rsidR="009030B5" w:rsidRPr="005D4F27" w:rsidDel="00C04E52" w:rsidRDefault="009030B5" w:rsidP="009030B5">
            <w:pPr>
              <w:jc w:val="center"/>
              <w:rPr>
                <w:rFonts w:eastAsia="Calibri"/>
              </w:rPr>
            </w:pPr>
            <w:r w:rsidRPr="005D4F27" w:rsidDel="00C04E52">
              <w:rPr>
                <w:rFonts w:eastAsia="Calibri"/>
              </w:rPr>
              <w:t>50</w:t>
            </w:r>
          </w:p>
        </w:tc>
        <w:tc>
          <w:tcPr>
            <w:tcW w:w="1268" w:type="dxa"/>
            <w:tcBorders>
              <w:top w:val="single" w:sz="6" w:space="0" w:color="auto"/>
              <w:left w:val="single" w:sz="6" w:space="0" w:color="auto"/>
              <w:bottom w:val="single" w:sz="4" w:space="0" w:color="auto"/>
              <w:right w:val="nil"/>
            </w:tcBorders>
            <w:vAlign w:val="center"/>
          </w:tcPr>
          <w:p w14:paraId="5F4E9D89" w14:textId="77777777" w:rsidR="009030B5" w:rsidRPr="005D4F27" w:rsidDel="00C04E52" w:rsidRDefault="009030B5" w:rsidP="009030B5">
            <w:pPr>
              <w:jc w:val="center"/>
              <w:rPr>
                <w:rFonts w:eastAsia="Calibri"/>
              </w:rPr>
            </w:pPr>
            <w:r w:rsidRPr="005D4F27" w:rsidDel="00C04E52">
              <w:rPr>
                <w:rFonts w:eastAsia="Calibri"/>
              </w:rPr>
              <w:t>100</w:t>
            </w:r>
          </w:p>
        </w:tc>
        <w:tc>
          <w:tcPr>
            <w:tcW w:w="1410" w:type="dxa"/>
            <w:tcBorders>
              <w:top w:val="single" w:sz="6" w:space="0" w:color="auto"/>
              <w:left w:val="single" w:sz="6" w:space="0" w:color="auto"/>
              <w:bottom w:val="single" w:sz="4" w:space="0" w:color="auto"/>
              <w:right w:val="nil"/>
            </w:tcBorders>
            <w:vAlign w:val="center"/>
          </w:tcPr>
          <w:p w14:paraId="65FE801C" w14:textId="77777777" w:rsidR="009030B5" w:rsidRPr="005D4F27" w:rsidDel="00C04E52" w:rsidRDefault="009030B5" w:rsidP="009030B5">
            <w:pPr>
              <w:jc w:val="center"/>
              <w:rPr>
                <w:rFonts w:eastAsia="Calibri"/>
              </w:rPr>
            </w:pPr>
            <w:r w:rsidRPr="005D4F27" w:rsidDel="00C04E52">
              <w:rPr>
                <w:rFonts w:eastAsia="Calibri"/>
              </w:rPr>
              <w:t>250</w:t>
            </w:r>
          </w:p>
        </w:tc>
        <w:tc>
          <w:tcPr>
            <w:tcW w:w="1843" w:type="dxa"/>
            <w:tcBorders>
              <w:top w:val="single" w:sz="6" w:space="0" w:color="auto"/>
              <w:left w:val="single" w:sz="6" w:space="0" w:color="auto"/>
              <w:bottom w:val="single" w:sz="4" w:space="0" w:color="auto"/>
              <w:right w:val="single" w:sz="12" w:space="0" w:color="auto"/>
            </w:tcBorders>
            <w:vAlign w:val="center"/>
          </w:tcPr>
          <w:p w14:paraId="6F85AF3A" w14:textId="77777777" w:rsidR="009030B5" w:rsidRPr="005D4F27" w:rsidDel="00C04E52" w:rsidRDefault="009030B5" w:rsidP="009030B5">
            <w:pPr>
              <w:jc w:val="center"/>
              <w:rPr>
                <w:rFonts w:eastAsia="Calibri"/>
              </w:rPr>
            </w:pPr>
            <w:r w:rsidRPr="005D4F27" w:rsidDel="00C04E52">
              <w:rPr>
                <w:rFonts w:eastAsia="Calibri"/>
              </w:rPr>
              <w:t>500</w:t>
            </w:r>
          </w:p>
        </w:tc>
      </w:tr>
      <w:tr w:rsidR="009030B5" w:rsidRPr="005D4F27" w14:paraId="7994A21F" w14:textId="77777777" w:rsidTr="009030B5">
        <w:tc>
          <w:tcPr>
            <w:tcW w:w="2820" w:type="dxa"/>
            <w:tcBorders>
              <w:top w:val="single" w:sz="4" w:space="0" w:color="auto"/>
              <w:left w:val="single" w:sz="4" w:space="0" w:color="auto"/>
              <w:bottom w:val="single" w:sz="4" w:space="0" w:color="auto"/>
              <w:right w:val="single" w:sz="4" w:space="0" w:color="auto"/>
            </w:tcBorders>
          </w:tcPr>
          <w:p w14:paraId="78911AD6" w14:textId="77777777" w:rsidR="009030B5" w:rsidRPr="005D4F27" w:rsidRDefault="009030B5" w:rsidP="009030B5">
            <w:pPr>
              <w:rPr>
                <w:rFonts w:eastAsia="Calibri"/>
              </w:rPr>
            </w:pPr>
            <w:r w:rsidRPr="005D4F27">
              <w:rPr>
                <w:rFonts w:eastAsia="Calibri"/>
              </w:rPr>
              <w:lastRenderedPageBreak/>
              <w:t>Polyzyklische Aromati</w:t>
            </w:r>
            <w:r w:rsidRPr="005D4F27">
              <w:rPr>
                <w:rFonts w:eastAsia="Calibri"/>
              </w:rPr>
              <w:softHyphen/>
              <w:t>sche Kohlenwasserstoffe (</w:t>
            </w:r>
            <w:r w:rsidRPr="003D697C">
              <w:rPr>
                <w:rFonts w:eastAsia="Calibri"/>
              </w:rPr>
              <w:t>PAK</w:t>
            </w:r>
            <w:proofErr w:type="gramStart"/>
            <w:r w:rsidRPr="003D697C">
              <w:rPr>
                <w:rFonts w:eastAsia="Calibri"/>
              </w:rPr>
              <w:t>16 )</w:t>
            </w:r>
            <w:proofErr w:type="gramEnd"/>
            <w:r w:rsidRPr="003D697C">
              <w:rPr>
                <w:rFonts w:eastAsia="Calibri"/>
              </w:rPr>
              <w:t xml:space="preserve"> vertreten durch Benzo(a)</w:t>
            </w:r>
            <w:proofErr w:type="spellStart"/>
            <w:r w:rsidRPr="003D697C">
              <w:rPr>
                <w:rFonts w:eastAsia="Calibri"/>
              </w:rPr>
              <w:t>pyren</w:t>
            </w:r>
            <w:proofErr w:type="spellEnd"/>
            <w:r w:rsidRPr="003D697C">
              <w:rPr>
                <w:rFonts w:eastAsia="Calibri"/>
              </w:rPr>
              <w:t xml:space="preserve"> 3)</w:t>
            </w:r>
          </w:p>
        </w:tc>
        <w:tc>
          <w:tcPr>
            <w:tcW w:w="1560" w:type="dxa"/>
            <w:tcBorders>
              <w:top w:val="single" w:sz="4" w:space="0" w:color="auto"/>
              <w:left w:val="single" w:sz="4" w:space="0" w:color="auto"/>
              <w:bottom w:val="single" w:sz="4" w:space="0" w:color="auto"/>
              <w:right w:val="single" w:sz="4" w:space="0" w:color="auto"/>
            </w:tcBorders>
            <w:vAlign w:val="center"/>
          </w:tcPr>
          <w:p w14:paraId="71BF8F08" w14:textId="77777777" w:rsidR="009030B5" w:rsidRPr="005D4F27" w:rsidRDefault="009030B5" w:rsidP="009030B5">
            <w:pPr>
              <w:jc w:val="center"/>
              <w:rPr>
                <w:rFonts w:eastAsia="Calibri"/>
              </w:rPr>
            </w:pPr>
            <w:r w:rsidRPr="005D4F27">
              <w:rPr>
                <w:rFonts w:eastAsia="Calibri"/>
                <w:lang w:val="it-IT"/>
              </w:rPr>
              <w:t>0,5</w:t>
            </w:r>
          </w:p>
        </w:tc>
        <w:tc>
          <w:tcPr>
            <w:tcW w:w="1268" w:type="dxa"/>
            <w:tcBorders>
              <w:top w:val="single" w:sz="4" w:space="0" w:color="auto"/>
              <w:left w:val="single" w:sz="4" w:space="0" w:color="auto"/>
              <w:bottom w:val="single" w:sz="4" w:space="0" w:color="auto"/>
              <w:right w:val="single" w:sz="4" w:space="0" w:color="auto"/>
            </w:tcBorders>
            <w:vAlign w:val="center"/>
          </w:tcPr>
          <w:p w14:paraId="5CDF1985" w14:textId="77777777" w:rsidR="009030B5" w:rsidRPr="005D4F27" w:rsidRDefault="009030B5" w:rsidP="009030B5">
            <w:pPr>
              <w:jc w:val="center"/>
              <w:rPr>
                <w:rFonts w:eastAsia="Calibri"/>
              </w:rPr>
            </w:pPr>
            <w:r w:rsidRPr="005D4F27">
              <w:rPr>
                <w:rFonts w:eastAsia="Calibri"/>
                <w:lang w:val="it-IT"/>
              </w:rPr>
              <w:t>1</w:t>
            </w:r>
          </w:p>
        </w:tc>
        <w:tc>
          <w:tcPr>
            <w:tcW w:w="1410" w:type="dxa"/>
            <w:tcBorders>
              <w:top w:val="single" w:sz="4" w:space="0" w:color="auto"/>
              <w:left w:val="single" w:sz="4" w:space="0" w:color="auto"/>
              <w:bottom w:val="single" w:sz="4" w:space="0" w:color="auto"/>
              <w:right w:val="single" w:sz="4" w:space="0" w:color="auto"/>
            </w:tcBorders>
            <w:vAlign w:val="center"/>
          </w:tcPr>
          <w:p w14:paraId="75E2E7A4" w14:textId="77777777" w:rsidR="009030B5" w:rsidRPr="005D4F27" w:rsidRDefault="009030B5" w:rsidP="009030B5">
            <w:pPr>
              <w:jc w:val="center"/>
              <w:rPr>
                <w:rFonts w:eastAsia="Calibri"/>
              </w:rPr>
            </w:pPr>
            <w:r w:rsidRPr="005D4F27">
              <w:rPr>
                <w:rFonts w:eastAsia="Calibri"/>
                <w:lang w:val="it-IT"/>
              </w:rPr>
              <w:t>1</w:t>
            </w:r>
          </w:p>
        </w:tc>
        <w:tc>
          <w:tcPr>
            <w:tcW w:w="1843" w:type="dxa"/>
            <w:tcBorders>
              <w:top w:val="single" w:sz="4" w:space="0" w:color="auto"/>
              <w:left w:val="single" w:sz="4" w:space="0" w:color="auto"/>
              <w:bottom w:val="single" w:sz="4" w:space="0" w:color="auto"/>
              <w:right w:val="single" w:sz="4" w:space="0" w:color="auto"/>
            </w:tcBorders>
            <w:vAlign w:val="center"/>
          </w:tcPr>
          <w:p w14:paraId="1CDD871A" w14:textId="77777777" w:rsidR="009030B5" w:rsidRPr="005D4F27" w:rsidRDefault="009030B5" w:rsidP="009030B5">
            <w:pPr>
              <w:jc w:val="center"/>
              <w:rPr>
                <w:rFonts w:eastAsia="Calibri"/>
              </w:rPr>
            </w:pPr>
            <w:r w:rsidRPr="005D4F27">
              <w:rPr>
                <w:rFonts w:eastAsia="Calibri"/>
                <w:lang w:val="it-IT"/>
              </w:rPr>
              <w:t>5</w:t>
            </w:r>
          </w:p>
        </w:tc>
      </w:tr>
      <w:tr w:rsidR="009030B5" w:rsidRPr="005D4F27" w14:paraId="0D727554" w14:textId="77777777" w:rsidTr="009030B5">
        <w:tc>
          <w:tcPr>
            <w:tcW w:w="2820" w:type="dxa"/>
            <w:tcBorders>
              <w:top w:val="single" w:sz="4" w:space="0" w:color="auto"/>
              <w:left w:val="single" w:sz="4" w:space="0" w:color="auto"/>
              <w:bottom w:val="single" w:sz="4" w:space="0" w:color="auto"/>
              <w:right w:val="single" w:sz="4" w:space="0" w:color="auto"/>
            </w:tcBorders>
          </w:tcPr>
          <w:p w14:paraId="561C6982" w14:textId="77777777" w:rsidR="009030B5" w:rsidRPr="005D4F27" w:rsidRDefault="009030B5" w:rsidP="009030B5">
            <w:pPr>
              <w:rPr>
                <w:rFonts w:eastAsia="Calibri"/>
              </w:rPr>
            </w:pPr>
            <w:r w:rsidRPr="005D4F27">
              <w:rPr>
                <w:rFonts w:eastAsia="Calibri"/>
              </w:rPr>
              <w:t>PCB</w:t>
            </w:r>
            <w:r w:rsidRPr="005D4F27">
              <w:rPr>
                <w:rFonts w:eastAsia="Calibri"/>
                <w:vertAlign w:val="subscript"/>
              </w:rPr>
              <w:t>6</w:t>
            </w:r>
            <w:r w:rsidRPr="005D4F27">
              <w:rPr>
                <w:rFonts w:eastAsia="Calibri"/>
                <w:vertAlign w:val="superscript"/>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B088FF2" w14:textId="77777777" w:rsidR="009030B5" w:rsidRPr="005D4F27" w:rsidRDefault="009030B5" w:rsidP="009030B5">
            <w:pPr>
              <w:jc w:val="center"/>
              <w:rPr>
                <w:rFonts w:eastAsia="Calibri"/>
              </w:rPr>
            </w:pPr>
            <w:r w:rsidRPr="005D4F27">
              <w:rPr>
                <w:rFonts w:eastAsia="Calibri"/>
              </w:rPr>
              <w:t>0,4</w:t>
            </w:r>
          </w:p>
        </w:tc>
        <w:tc>
          <w:tcPr>
            <w:tcW w:w="1268" w:type="dxa"/>
            <w:tcBorders>
              <w:top w:val="single" w:sz="4" w:space="0" w:color="auto"/>
              <w:left w:val="single" w:sz="4" w:space="0" w:color="auto"/>
              <w:bottom w:val="single" w:sz="4" w:space="0" w:color="auto"/>
              <w:right w:val="single" w:sz="4" w:space="0" w:color="auto"/>
            </w:tcBorders>
            <w:vAlign w:val="center"/>
          </w:tcPr>
          <w:p w14:paraId="32870A16" w14:textId="77777777" w:rsidR="009030B5" w:rsidRPr="005D4F27" w:rsidRDefault="009030B5" w:rsidP="009030B5">
            <w:pPr>
              <w:jc w:val="center"/>
              <w:rPr>
                <w:rFonts w:eastAsia="Calibri"/>
              </w:rPr>
            </w:pPr>
            <w:r w:rsidRPr="005D4F27">
              <w:rPr>
                <w:rFonts w:eastAsia="Calibri"/>
              </w:rPr>
              <w:t>0,8</w:t>
            </w:r>
          </w:p>
        </w:tc>
        <w:tc>
          <w:tcPr>
            <w:tcW w:w="1410" w:type="dxa"/>
            <w:tcBorders>
              <w:top w:val="single" w:sz="4" w:space="0" w:color="auto"/>
              <w:left w:val="single" w:sz="4" w:space="0" w:color="auto"/>
              <w:bottom w:val="single" w:sz="4" w:space="0" w:color="auto"/>
              <w:right w:val="single" w:sz="4" w:space="0" w:color="auto"/>
            </w:tcBorders>
            <w:vAlign w:val="center"/>
          </w:tcPr>
          <w:p w14:paraId="019AB94D" w14:textId="77777777" w:rsidR="009030B5" w:rsidRPr="005D4F27" w:rsidRDefault="009030B5" w:rsidP="009030B5">
            <w:pPr>
              <w:jc w:val="center"/>
              <w:rPr>
                <w:rFonts w:eastAsia="Calibri"/>
              </w:rPr>
            </w:pPr>
            <w:r w:rsidRPr="005D4F27">
              <w:rPr>
                <w:rFonts w:eastAsia="Calibri"/>
              </w:rPr>
              <w:t>2</w:t>
            </w:r>
          </w:p>
        </w:tc>
        <w:tc>
          <w:tcPr>
            <w:tcW w:w="1843" w:type="dxa"/>
            <w:tcBorders>
              <w:top w:val="single" w:sz="4" w:space="0" w:color="auto"/>
              <w:left w:val="single" w:sz="4" w:space="0" w:color="auto"/>
              <w:bottom w:val="single" w:sz="4" w:space="0" w:color="auto"/>
              <w:right w:val="single" w:sz="4" w:space="0" w:color="auto"/>
            </w:tcBorders>
            <w:vAlign w:val="center"/>
          </w:tcPr>
          <w:p w14:paraId="27C36124" w14:textId="77777777" w:rsidR="009030B5" w:rsidRPr="005D4F27" w:rsidRDefault="009030B5" w:rsidP="009030B5">
            <w:pPr>
              <w:jc w:val="center"/>
              <w:rPr>
                <w:rFonts w:eastAsia="Calibri"/>
              </w:rPr>
            </w:pPr>
            <w:r w:rsidRPr="005D4F27">
              <w:rPr>
                <w:rFonts w:eastAsia="Calibri"/>
              </w:rPr>
              <w:t>40</w:t>
            </w:r>
          </w:p>
        </w:tc>
      </w:tr>
      <w:tr w:rsidR="009030B5" w:rsidRPr="005D4F27" w14:paraId="04E89B0D" w14:textId="77777777" w:rsidTr="009030B5">
        <w:tc>
          <w:tcPr>
            <w:tcW w:w="2820" w:type="dxa"/>
            <w:tcBorders>
              <w:top w:val="single" w:sz="4" w:space="0" w:color="auto"/>
              <w:left w:val="single" w:sz="12" w:space="0" w:color="auto"/>
              <w:bottom w:val="single" w:sz="12" w:space="0" w:color="auto"/>
              <w:right w:val="single" w:sz="12" w:space="0" w:color="auto"/>
            </w:tcBorders>
          </w:tcPr>
          <w:p w14:paraId="7B0BCEEC" w14:textId="77777777" w:rsidR="009030B5" w:rsidRPr="005D4F27" w:rsidRDefault="009030B5" w:rsidP="009030B5">
            <w:pPr>
              <w:rPr>
                <w:rFonts w:eastAsia="Calibri"/>
              </w:rPr>
            </w:pPr>
            <w:r w:rsidRPr="005D4F27">
              <w:rPr>
                <w:rFonts w:eastAsia="Calibri"/>
              </w:rPr>
              <w:t>2,4,6 Trinitrotoluol (TNT)</w:t>
            </w:r>
          </w:p>
        </w:tc>
        <w:tc>
          <w:tcPr>
            <w:tcW w:w="1560" w:type="dxa"/>
            <w:tcBorders>
              <w:top w:val="single" w:sz="4" w:space="0" w:color="auto"/>
              <w:left w:val="single" w:sz="12" w:space="0" w:color="auto"/>
              <w:bottom w:val="single" w:sz="12" w:space="0" w:color="auto"/>
              <w:right w:val="nil"/>
            </w:tcBorders>
            <w:vAlign w:val="center"/>
          </w:tcPr>
          <w:p w14:paraId="0F0E2D29" w14:textId="77777777" w:rsidR="009030B5" w:rsidRPr="005D4F27" w:rsidRDefault="009030B5" w:rsidP="009030B5">
            <w:pPr>
              <w:jc w:val="center"/>
              <w:rPr>
                <w:rFonts w:eastAsia="Calibri"/>
              </w:rPr>
            </w:pPr>
            <w:r w:rsidRPr="005D4F27">
              <w:rPr>
                <w:rFonts w:eastAsia="Calibri"/>
              </w:rPr>
              <w:t>20</w:t>
            </w:r>
          </w:p>
        </w:tc>
        <w:tc>
          <w:tcPr>
            <w:tcW w:w="1268" w:type="dxa"/>
            <w:tcBorders>
              <w:top w:val="single" w:sz="4" w:space="0" w:color="auto"/>
              <w:left w:val="single" w:sz="6" w:space="0" w:color="auto"/>
              <w:bottom w:val="single" w:sz="12" w:space="0" w:color="auto"/>
              <w:right w:val="nil"/>
            </w:tcBorders>
            <w:vAlign w:val="center"/>
          </w:tcPr>
          <w:p w14:paraId="2DE72BAD" w14:textId="77777777" w:rsidR="009030B5" w:rsidRPr="005D4F27" w:rsidRDefault="009030B5" w:rsidP="009030B5">
            <w:pPr>
              <w:jc w:val="center"/>
              <w:rPr>
                <w:rFonts w:eastAsia="Calibri"/>
              </w:rPr>
            </w:pPr>
            <w:r w:rsidRPr="005D4F27">
              <w:rPr>
                <w:rFonts w:eastAsia="Calibri"/>
              </w:rPr>
              <w:t>40</w:t>
            </w:r>
          </w:p>
        </w:tc>
        <w:tc>
          <w:tcPr>
            <w:tcW w:w="1410" w:type="dxa"/>
            <w:tcBorders>
              <w:top w:val="single" w:sz="4" w:space="0" w:color="auto"/>
              <w:left w:val="single" w:sz="6" w:space="0" w:color="auto"/>
              <w:bottom w:val="single" w:sz="12" w:space="0" w:color="auto"/>
              <w:right w:val="nil"/>
            </w:tcBorders>
            <w:vAlign w:val="center"/>
          </w:tcPr>
          <w:p w14:paraId="18836504" w14:textId="77777777" w:rsidR="009030B5" w:rsidRPr="005D4F27" w:rsidRDefault="009030B5" w:rsidP="009030B5">
            <w:pPr>
              <w:jc w:val="center"/>
              <w:rPr>
                <w:rFonts w:eastAsia="Calibri"/>
              </w:rPr>
            </w:pPr>
            <w:r w:rsidRPr="005D4F27">
              <w:rPr>
                <w:rFonts w:eastAsia="Calibri"/>
              </w:rPr>
              <w:t>100</w:t>
            </w:r>
          </w:p>
        </w:tc>
        <w:tc>
          <w:tcPr>
            <w:tcW w:w="1843" w:type="dxa"/>
            <w:tcBorders>
              <w:top w:val="single" w:sz="4" w:space="0" w:color="auto"/>
              <w:left w:val="single" w:sz="6" w:space="0" w:color="auto"/>
              <w:bottom w:val="single" w:sz="12" w:space="0" w:color="auto"/>
              <w:right w:val="single" w:sz="12" w:space="0" w:color="auto"/>
            </w:tcBorders>
            <w:vAlign w:val="center"/>
          </w:tcPr>
          <w:p w14:paraId="03C703C7" w14:textId="77777777" w:rsidR="009030B5" w:rsidRPr="005D4F27" w:rsidRDefault="009030B5" w:rsidP="009030B5">
            <w:pPr>
              <w:jc w:val="center"/>
              <w:rPr>
                <w:rFonts w:eastAsia="Calibri"/>
              </w:rPr>
            </w:pPr>
            <w:r w:rsidRPr="005D4F27">
              <w:rPr>
                <w:rFonts w:eastAsia="Calibri"/>
              </w:rPr>
              <w:t>200</w:t>
            </w:r>
          </w:p>
        </w:tc>
      </w:tr>
    </w:tbl>
    <w:p w14:paraId="6A90E636" w14:textId="77777777" w:rsidR="009030B5" w:rsidRPr="005D4F27" w:rsidRDefault="009030B5" w:rsidP="009030B5">
      <w:pPr>
        <w:tabs>
          <w:tab w:val="num" w:pos="360"/>
        </w:tabs>
        <w:ind w:left="227" w:hanging="227"/>
        <w:rPr>
          <w:rFonts w:eastAsia="Calibri"/>
          <w:sz w:val="20"/>
        </w:rPr>
      </w:pPr>
      <w:r w:rsidRPr="005D4F27">
        <w:rPr>
          <w:rFonts w:eastAsia="Calibri"/>
          <w:sz w:val="20"/>
          <w:vertAlign w:val="superscript"/>
        </w:rPr>
        <w:t>1)</w:t>
      </w:r>
      <w:r>
        <w:rPr>
          <w:rFonts w:eastAsia="Calibri"/>
          <w:sz w:val="20"/>
          <w:vertAlign w:val="superscript"/>
        </w:rPr>
        <w:t xml:space="preserve"> </w:t>
      </w:r>
      <w:r w:rsidRPr="005D4F27">
        <w:rPr>
          <w:rFonts w:eastAsia="Calibri"/>
          <w:sz w:val="20"/>
        </w:rPr>
        <w:t>In Haus- und Kleingärten, die sowohl als Aufenthaltsbereiche für Kinder als auch für den Anbau von Nahrungspflanzen genutzt werden, gilt für Cadmium ein Prüfwert von 2,0 mg/kg Trockenmasse.</w:t>
      </w:r>
    </w:p>
    <w:p w14:paraId="53DC9110" w14:textId="77777777" w:rsidR="009030B5" w:rsidRPr="005D4F27" w:rsidRDefault="009030B5" w:rsidP="009030B5">
      <w:pPr>
        <w:ind w:left="227" w:hanging="227"/>
        <w:rPr>
          <w:rFonts w:eastAsia="Calibri"/>
          <w:sz w:val="20"/>
        </w:rPr>
      </w:pPr>
      <w:r w:rsidRPr="005D4F27">
        <w:rPr>
          <w:rFonts w:eastAsia="Calibri"/>
          <w:sz w:val="20"/>
          <w:vertAlign w:val="superscript"/>
        </w:rPr>
        <w:t>2)</w:t>
      </w:r>
      <w:r>
        <w:rPr>
          <w:rFonts w:eastAsia="Calibri"/>
          <w:sz w:val="20"/>
          <w:vertAlign w:val="superscript"/>
        </w:rPr>
        <w:t xml:space="preserve"> </w:t>
      </w:r>
      <w:r w:rsidRPr="005D4F27">
        <w:rPr>
          <w:rFonts w:eastAsia="Calibri"/>
          <w:sz w:val="20"/>
        </w:rPr>
        <w:t xml:space="preserve">Bei Überschreitung der Prüfwerte für Chrom </w:t>
      </w:r>
      <w:r w:rsidRPr="005D4F27">
        <w:rPr>
          <w:rFonts w:eastAsia="Calibri"/>
          <w:sz w:val="20"/>
          <w:vertAlign w:val="subscript"/>
        </w:rPr>
        <w:t>gesamt</w:t>
      </w:r>
      <w:r w:rsidRPr="005D4F27">
        <w:rPr>
          <w:rFonts w:eastAsia="Calibri"/>
          <w:sz w:val="20"/>
        </w:rPr>
        <w:t xml:space="preserve"> ist der Anteil an Chrom </w:t>
      </w:r>
      <w:r w:rsidRPr="005D4F27">
        <w:rPr>
          <w:rFonts w:eastAsia="Calibri"/>
          <w:sz w:val="20"/>
          <w:vertAlign w:val="subscript"/>
        </w:rPr>
        <w:t xml:space="preserve">VI </w:t>
      </w:r>
      <w:r w:rsidRPr="005D4F27">
        <w:rPr>
          <w:rFonts w:eastAsia="Calibri"/>
          <w:sz w:val="20"/>
        </w:rPr>
        <w:t xml:space="preserve">zu messen und anhand der Prüfwerte für Chrom </w:t>
      </w:r>
      <w:r w:rsidRPr="005D4F27">
        <w:rPr>
          <w:rFonts w:eastAsia="Calibri"/>
          <w:sz w:val="20"/>
          <w:vertAlign w:val="subscript"/>
        </w:rPr>
        <w:t xml:space="preserve">VI </w:t>
      </w:r>
      <w:r w:rsidRPr="005D4F27">
        <w:rPr>
          <w:rFonts w:eastAsia="Calibri"/>
          <w:sz w:val="20"/>
        </w:rPr>
        <w:t>zu bewerten.</w:t>
      </w:r>
    </w:p>
    <w:p w14:paraId="4FB5FEC9" w14:textId="77777777" w:rsidR="009030B5" w:rsidRPr="005D4F27" w:rsidRDefault="009030B5" w:rsidP="009030B5">
      <w:pPr>
        <w:rPr>
          <w:rFonts w:eastAsia="Calibri"/>
          <w:b/>
        </w:rPr>
      </w:pPr>
      <w:r w:rsidRPr="005D4F27">
        <w:rPr>
          <w:rFonts w:eastAsia="Calibri"/>
          <w:sz w:val="20"/>
          <w:vertAlign w:val="superscript"/>
        </w:rPr>
        <w:t>3)</w:t>
      </w:r>
      <w:r>
        <w:rPr>
          <w:rFonts w:eastAsia="Calibri"/>
          <w:sz w:val="20"/>
          <w:vertAlign w:val="superscript"/>
        </w:rPr>
        <w:t xml:space="preserve"> </w:t>
      </w:r>
      <w:r w:rsidRPr="005D4F27">
        <w:rPr>
          <w:rFonts w:eastAsia="Calibri"/>
          <w:sz w:val="20"/>
        </w:rPr>
        <w:t>Der Boden ist auf alle PAK</w:t>
      </w:r>
      <w:r w:rsidRPr="005D4F27">
        <w:rPr>
          <w:rFonts w:eastAsia="Calibri"/>
          <w:sz w:val="20"/>
          <w:vertAlign w:val="subscript"/>
        </w:rPr>
        <w:t>16</w:t>
      </w:r>
      <w:r w:rsidRPr="005D4F27">
        <w:rPr>
          <w:rFonts w:eastAsia="Calibri"/>
          <w:sz w:val="20"/>
        </w:rPr>
        <w:t xml:space="preserve"> hin zu untersuchen. Die Prüfwerte beziehen sich auf den Gehalt an Benzo(a)</w:t>
      </w:r>
      <w:proofErr w:type="spellStart"/>
      <w:r w:rsidRPr="005D4F27">
        <w:rPr>
          <w:rFonts w:eastAsia="Calibri"/>
          <w:sz w:val="20"/>
        </w:rPr>
        <w:t>pyren</w:t>
      </w:r>
      <w:proofErr w:type="spellEnd"/>
      <w:r w:rsidRPr="005D4F27">
        <w:rPr>
          <w:rFonts w:eastAsia="Calibri"/>
          <w:sz w:val="20"/>
        </w:rPr>
        <w:t xml:space="preserve"> im Boden. Benzo(a)</w:t>
      </w:r>
      <w:proofErr w:type="spellStart"/>
      <w:r w:rsidRPr="005D4F27">
        <w:rPr>
          <w:rFonts w:eastAsia="Calibri"/>
          <w:sz w:val="20"/>
        </w:rPr>
        <w:t>pyren</w:t>
      </w:r>
      <w:proofErr w:type="spellEnd"/>
      <w:r w:rsidRPr="005D4F27">
        <w:rPr>
          <w:rFonts w:eastAsia="Calibri"/>
          <w:sz w:val="20"/>
        </w:rPr>
        <w:t xml:space="preserve"> repräsentiert dabei die Wirkung typischer PAK-Gemische auf ehemaligen Kokereien, ehemaligen Gaswerksgeländen und ehemaligen Teermischwerken/ -</w:t>
      </w:r>
      <w:proofErr w:type="spellStart"/>
      <w:r w:rsidRPr="005D4F27">
        <w:rPr>
          <w:rFonts w:eastAsia="Calibri"/>
          <w:sz w:val="20"/>
        </w:rPr>
        <w:t>ölläger</w:t>
      </w:r>
      <w:proofErr w:type="spellEnd"/>
      <w:r w:rsidRPr="005D4F27">
        <w:rPr>
          <w:rFonts w:eastAsia="Calibri"/>
          <w:sz w:val="20"/>
        </w:rPr>
        <w:t>. Weicht das PAK-Muster oder der Anteil von Benzo(a)</w:t>
      </w:r>
      <w:proofErr w:type="spellStart"/>
      <w:r w:rsidRPr="005D4F27">
        <w:rPr>
          <w:rFonts w:eastAsia="Calibri"/>
          <w:sz w:val="20"/>
        </w:rPr>
        <w:t>pyren</w:t>
      </w:r>
      <w:proofErr w:type="spellEnd"/>
      <w:r w:rsidRPr="005D4F27">
        <w:rPr>
          <w:rFonts w:eastAsia="Calibri"/>
          <w:sz w:val="20"/>
        </w:rPr>
        <w:t xml:space="preserve"> an der Summe der Toxizitätsäquivalente im zu bewertenden Einzelfall deutlich von diesen typischen PAK-Gemischen ab, so ist dies bei der Anwendung der Prüfwerte zu berücksichtigen. Liegen die siedlungsbedingten Hintergrundwerte oberhalb der Prüfwerte für</w:t>
      </w:r>
      <w:r w:rsidRPr="009B61AB">
        <w:rPr>
          <w:rFonts w:ascii="Times" w:eastAsia="Times" w:hAnsi="Times" w:cs="Times"/>
          <w:sz w:val="26"/>
        </w:rPr>
        <w:t xml:space="preserve"> </w:t>
      </w:r>
      <w:r w:rsidRPr="009B61AB">
        <w:rPr>
          <w:rFonts w:eastAsia="Calibri"/>
          <w:sz w:val="20"/>
        </w:rPr>
        <w:t>Benzo(a)</w:t>
      </w:r>
      <w:proofErr w:type="spellStart"/>
      <w:r w:rsidRPr="009B61AB">
        <w:rPr>
          <w:rFonts w:eastAsia="Calibri"/>
          <w:sz w:val="20"/>
        </w:rPr>
        <w:t>pyren</w:t>
      </w:r>
      <w:proofErr w:type="spellEnd"/>
      <w:r w:rsidRPr="005D4F27">
        <w:rPr>
          <w:rFonts w:eastAsia="Calibri"/>
          <w:sz w:val="20"/>
        </w:rPr>
        <w:t>, ist dies bei der Bewertung der Untersuchungsergebnisse gemäß § 15 zu berücksichtigen.</w:t>
      </w:r>
    </w:p>
    <w:p w14:paraId="33E25406" w14:textId="5BD5C8E3" w:rsidR="009030B5" w:rsidRPr="009030B5" w:rsidRDefault="009030B5" w:rsidP="009030B5">
      <w:pPr>
        <w:pStyle w:val="berschrift1"/>
      </w:pPr>
      <w:r w:rsidRPr="008D0377">
        <w:t>Tabelle 5: Maßnahmenwerte für den Wirkungspfad Boden-Mensch</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1526"/>
        <w:gridCol w:w="1276"/>
        <w:gridCol w:w="1984"/>
        <w:gridCol w:w="2126"/>
      </w:tblGrid>
      <w:tr w:rsidR="009030B5" w:rsidRPr="005D4F27" w14:paraId="59376D98" w14:textId="77777777" w:rsidTr="009030B5">
        <w:trPr>
          <w:trHeight w:val="506"/>
        </w:trPr>
        <w:tc>
          <w:tcPr>
            <w:tcW w:w="9072" w:type="dxa"/>
            <w:gridSpan w:val="5"/>
            <w:tcBorders>
              <w:top w:val="single" w:sz="12" w:space="0" w:color="auto"/>
              <w:left w:val="single" w:sz="12" w:space="0" w:color="auto"/>
              <w:bottom w:val="single" w:sz="12" w:space="0" w:color="auto"/>
              <w:right w:val="single" w:sz="12" w:space="0" w:color="auto"/>
            </w:tcBorders>
            <w:shd w:val="clear" w:color="auto" w:fill="EEECE1"/>
            <w:vAlign w:val="center"/>
          </w:tcPr>
          <w:p w14:paraId="479C7B6A" w14:textId="77777777" w:rsidR="009030B5" w:rsidRPr="005D4F27" w:rsidRDefault="009030B5" w:rsidP="009030B5">
            <w:pPr>
              <w:rPr>
                <w:rFonts w:eastAsia="Calibri"/>
                <w:b/>
              </w:rPr>
            </w:pPr>
          </w:p>
        </w:tc>
      </w:tr>
      <w:tr w:rsidR="009030B5" w:rsidRPr="005D4F27" w14:paraId="07205893" w14:textId="77777777" w:rsidTr="009030B5">
        <w:tc>
          <w:tcPr>
            <w:tcW w:w="2160" w:type="dxa"/>
            <w:tcBorders>
              <w:top w:val="single" w:sz="12" w:space="0" w:color="auto"/>
              <w:left w:val="single" w:sz="12" w:space="0" w:color="auto"/>
              <w:bottom w:val="single" w:sz="4" w:space="0" w:color="auto"/>
              <w:right w:val="single" w:sz="12" w:space="0" w:color="auto"/>
            </w:tcBorders>
            <w:shd w:val="pct10" w:color="auto" w:fill="auto"/>
          </w:tcPr>
          <w:p w14:paraId="3E744320" w14:textId="77777777" w:rsidR="009030B5" w:rsidRPr="005D4F27"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Calibri"/>
                <w:b/>
                <w:lang w:val="nl-NL"/>
              </w:rPr>
            </w:pPr>
            <w:r w:rsidRPr="005D4F27">
              <w:rPr>
                <w:rFonts w:eastAsia="Calibri"/>
                <w:b/>
                <w:lang w:val="nl-NL"/>
              </w:rPr>
              <w:t>Stoff</w:t>
            </w:r>
          </w:p>
        </w:tc>
        <w:tc>
          <w:tcPr>
            <w:tcW w:w="1526" w:type="dxa"/>
            <w:tcBorders>
              <w:top w:val="single" w:sz="12" w:space="0" w:color="auto"/>
              <w:left w:val="single" w:sz="12" w:space="0" w:color="auto"/>
              <w:bottom w:val="single" w:sz="4" w:space="0" w:color="auto"/>
            </w:tcBorders>
            <w:shd w:val="pct10" w:color="auto" w:fill="auto"/>
          </w:tcPr>
          <w:p w14:paraId="0D3FF37A" w14:textId="77777777" w:rsidR="009030B5" w:rsidRPr="005D4F27"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jc w:val="center"/>
              <w:rPr>
                <w:rFonts w:eastAsia="Calibri"/>
                <w:b/>
              </w:rPr>
            </w:pPr>
            <w:r w:rsidRPr="005D4F27">
              <w:rPr>
                <w:rFonts w:eastAsia="Calibri"/>
                <w:b/>
              </w:rPr>
              <w:t>Kinderspiel-flächen</w:t>
            </w:r>
          </w:p>
        </w:tc>
        <w:tc>
          <w:tcPr>
            <w:tcW w:w="1276" w:type="dxa"/>
            <w:tcBorders>
              <w:top w:val="single" w:sz="12" w:space="0" w:color="auto"/>
              <w:bottom w:val="single" w:sz="4" w:space="0" w:color="auto"/>
            </w:tcBorders>
            <w:shd w:val="pct10" w:color="auto" w:fill="auto"/>
          </w:tcPr>
          <w:p w14:paraId="696C426B" w14:textId="77777777" w:rsidR="009030B5" w:rsidRPr="005D4F27"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jc w:val="center"/>
              <w:rPr>
                <w:rFonts w:eastAsia="Calibri"/>
                <w:b/>
              </w:rPr>
            </w:pPr>
            <w:r w:rsidRPr="005D4F27">
              <w:rPr>
                <w:rFonts w:eastAsia="Calibri"/>
                <w:b/>
              </w:rPr>
              <w:t>Wohn</w:t>
            </w:r>
            <w:r w:rsidRPr="005D4F27">
              <w:rPr>
                <w:rFonts w:eastAsia="Calibri"/>
                <w:b/>
              </w:rPr>
              <w:softHyphen/>
              <w:t>gebiete</w:t>
            </w:r>
          </w:p>
        </w:tc>
        <w:tc>
          <w:tcPr>
            <w:tcW w:w="1984" w:type="dxa"/>
            <w:tcBorders>
              <w:top w:val="single" w:sz="12" w:space="0" w:color="auto"/>
              <w:bottom w:val="single" w:sz="4" w:space="0" w:color="auto"/>
            </w:tcBorders>
            <w:shd w:val="pct10" w:color="auto" w:fill="auto"/>
          </w:tcPr>
          <w:p w14:paraId="793CFE6D" w14:textId="77777777" w:rsidR="009030B5" w:rsidRPr="005D4F27"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jc w:val="center"/>
              <w:rPr>
                <w:rFonts w:eastAsia="Calibri"/>
                <w:b/>
              </w:rPr>
            </w:pPr>
            <w:r w:rsidRPr="005D4F27">
              <w:rPr>
                <w:rFonts w:eastAsia="Calibri"/>
                <w:b/>
              </w:rPr>
              <w:t>Park- und Frei</w:t>
            </w:r>
            <w:r w:rsidRPr="005D4F27">
              <w:rPr>
                <w:rFonts w:eastAsia="Calibri"/>
                <w:b/>
              </w:rPr>
              <w:softHyphen/>
              <w:t>zeitanlagen</w:t>
            </w:r>
          </w:p>
        </w:tc>
        <w:tc>
          <w:tcPr>
            <w:tcW w:w="2126" w:type="dxa"/>
            <w:tcBorders>
              <w:top w:val="single" w:sz="12" w:space="0" w:color="auto"/>
              <w:bottom w:val="single" w:sz="4" w:space="0" w:color="auto"/>
              <w:right w:val="single" w:sz="12" w:space="0" w:color="auto"/>
            </w:tcBorders>
            <w:shd w:val="pct10" w:color="auto" w:fill="auto"/>
          </w:tcPr>
          <w:p w14:paraId="33F98998" w14:textId="77777777" w:rsidR="009030B5" w:rsidRPr="005D4F27"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jc w:val="center"/>
              <w:rPr>
                <w:rFonts w:eastAsia="Calibri"/>
                <w:b/>
              </w:rPr>
            </w:pPr>
            <w:r w:rsidRPr="005D4F27">
              <w:rPr>
                <w:rFonts w:eastAsia="Calibri"/>
                <w:b/>
              </w:rPr>
              <w:t>Industrie- und Gewerbe</w:t>
            </w:r>
            <w:r w:rsidRPr="005D4F27">
              <w:rPr>
                <w:rFonts w:eastAsia="Calibri"/>
                <w:b/>
              </w:rPr>
              <w:softHyphen/>
              <w:t>grundstücke</w:t>
            </w:r>
          </w:p>
        </w:tc>
      </w:tr>
      <w:tr w:rsidR="009030B5" w:rsidRPr="005D4F27" w14:paraId="4A3F8D78" w14:textId="77777777" w:rsidTr="009030B5">
        <w:tc>
          <w:tcPr>
            <w:tcW w:w="2160" w:type="dxa"/>
            <w:tcBorders>
              <w:top w:val="single" w:sz="12" w:space="0" w:color="auto"/>
              <w:left w:val="single" w:sz="12" w:space="0" w:color="auto"/>
              <w:bottom w:val="single" w:sz="4" w:space="0" w:color="auto"/>
              <w:right w:val="single" w:sz="12" w:space="0" w:color="auto"/>
            </w:tcBorders>
          </w:tcPr>
          <w:p w14:paraId="7EF2B665" w14:textId="77777777" w:rsidR="009030B5" w:rsidRPr="005D4F27"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Calibri"/>
                <w:lang w:val="nl-NL"/>
              </w:rPr>
            </w:pPr>
          </w:p>
        </w:tc>
        <w:tc>
          <w:tcPr>
            <w:tcW w:w="6912" w:type="dxa"/>
            <w:gridSpan w:val="4"/>
            <w:tcBorders>
              <w:top w:val="single" w:sz="12" w:space="0" w:color="auto"/>
              <w:left w:val="single" w:sz="12" w:space="0" w:color="auto"/>
              <w:bottom w:val="single" w:sz="4" w:space="0" w:color="auto"/>
              <w:right w:val="single" w:sz="12" w:space="0" w:color="auto"/>
            </w:tcBorders>
          </w:tcPr>
          <w:p w14:paraId="404C4D55" w14:textId="77777777" w:rsidR="009030B5" w:rsidRPr="005D4F27"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jc w:val="center"/>
              <w:rPr>
                <w:rFonts w:eastAsia="Calibri"/>
                <w:lang w:val="en-GB"/>
              </w:rPr>
            </w:pPr>
            <w:r w:rsidRPr="005D4F27">
              <w:rPr>
                <w:rFonts w:eastAsia="Calibri"/>
                <w:lang w:val="en-GB"/>
              </w:rPr>
              <w:t xml:space="preserve">[ng WHO-TEQ </w:t>
            </w:r>
            <w:r w:rsidRPr="005D4F27">
              <w:rPr>
                <w:rFonts w:eastAsia="Calibri"/>
                <w:vertAlign w:val="superscript"/>
                <w:lang w:val="en-GB"/>
              </w:rPr>
              <w:t>1)</w:t>
            </w:r>
            <w:r w:rsidRPr="005D4F27">
              <w:rPr>
                <w:rFonts w:eastAsia="Calibri"/>
                <w:lang w:val="en-GB"/>
              </w:rPr>
              <w:t>/kg]</w:t>
            </w:r>
          </w:p>
        </w:tc>
      </w:tr>
      <w:tr w:rsidR="009030B5" w:rsidRPr="005D4F27" w14:paraId="1BAE72E8" w14:textId="77777777" w:rsidTr="009030B5">
        <w:tc>
          <w:tcPr>
            <w:tcW w:w="2160" w:type="dxa"/>
            <w:tcBorders>
              <w:left w:val="single" w:sz="12" w:space="0" w:color="auto"/>
              <w:bottom w:val="single" w:sz="12" w:space="0" w:color="auto"/>
              <w:right w:val="single" w:sz="12" w:space="0" w:color="auto"/>
            </w:tcBorders>
          </w:tcPr>
          <w:p w14:paraId="03231B66" w14:textId="77777777" w:rsidR="009030B5" w:rsidRPr="005D4F27"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Calibri"/>
                <w:lang w:val="nl-NL"/>
              </w:rPr>
            </w:pPr>
            <w:r w:rsidRPr="005D4F27">
              <w:rPr>
                <w:rFonts w:eastAsia="Calibri"/>
                <w:lang w:val="nl-NL"/>
              </w:rPr>
              <w:t xml:space="preserve">Summe der Dioxine/ Furane (PCDD/F) und dl-PCB </w:t>
            </w:r>
            <w:r w:rsidRPr="005D4F27">
              <w:rPr>
                <w:rFonts w:eastAsia="Calibri"/>
                <w:sz w:val="16"/>
                <w:szCs w:val="16"/>
                <w:vertAlign w:val="superscript"/>
                <w:lang w:val="nl-NL"/>
              </w:rPr>
              <w:t>2)</w:t>
            </w:r>
          </w:p>
        </w:tc>
        <w:tc>
          <w:tcPr>
            <w:tcW w:w="1526" w:type="dxa"/>
            <w:tcBorders>
              <w:left w:val="single" w:sz="12" w:space="0" w:color="auto"/>
              <w:bottom w:val="single" w:sz="12" w:space="0" w:color="auto"/>
            </w:tcBorders>
            <w:vAlign w:val="center"/>
          </w:tcPr>
          <w:p w14:paraId="74DED39F" w14:textId="77777777" w:rsidR="009030B5" w:rsidRPr="005D4F27"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jc w:val="center"/>
              <w:rPr>
                <w:rFonts w:eastAsia="Calibri"/>
                <w:lang w:val="nl-NL"/>
              </w:rPr>
            </w:pPr>
            <w:r w:rsidRPr="005D4F27">
              <w:rPr>
                <w:rFonts w:eastAsia="Calibri"/>
                <w:lang w:val="nl-NL"/>
              </w:rPr>
              <w:t>100</w:t>
            </w:r>
          </w:p>
        </w:tc>
        <w:tc>
          <w:tcPr>
            <w:tcW w:w="1276" w:type="dxa"/>
            <w:tcBorders>
              <w:bottom w:val="single" w:sz="12" w:space="0" w:color="auto"/>
            </w:tcBorders>
            <w:vAlign w:val="center"/>
          </w:tcPr>
          <w:p w14:paraId="2369641E" w14:textId="77777777" w:rsidR="009030B5" w:rsidRPr="005D4F27"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jc w:val="center"/>
              <w:rPr>
                <w:rFonts w:eastAsia="Calibri"/>
                <w:lang w:val="nl-NL"/>
              </w:rPr>
            </w:pPr>
            <w:r w:rsidRPr="005D4F27">
              <w:rPr>
                <w:rFonts w:eastAsia="Calibri"/>
                <w:lang w:val="nl-NL"/>
              </w:rPr>
              <w:t>1 000</w:t>
            </w:r>
          </w:p>
        </w:tc>
        <w:tc>
          <w:tcPr>
            <w:tcW w:w="1984" w:type="dxa"/>
            <w:tcBorders>
              <w:bottom w:val="single" w:sz="12" w:space="0" w:color="auto"/>
            </w:tcBorders>
            <w:vAlign w:val="center"/>
          </w:tcPr>
          <w:p w14:paraId="1D3285ED" w14:textId="77777777" w:rsidR="009030B5" w:rsidRPr="005D4F27"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jc w:val="center"/>
              <w:rPr>
                <w:rFonts w:eastAsia="Calibri"/>
                <w:lang w:val="nl-NL"/>
              </w:rPr>
            </w:pPr>
            <w:r w:rsidRPr="005D4F27">
              <w:rPr>
                <w:rFonts w:eastAsia="Calibri"/>
                <w:lang w:val="nl-NL"/>
              </w:rPr>
              <w:t>1 000</w:t>
            </w:r>
          </w:p>
        </w:tc>
        <w:tc>
          <w:tcPr>
            <w:tcW w:w="2126" w:type="dxa"/>
            <w:tcBorders>
              <w:bottom w:val="single" w:sz="12" w:space="0" w:color="auto"/>
              <w:right w:val="single" w:sz="12" w:space="0" w:color="auto"/>
            </w:tcBorders>
            <w:vAlign w:val="center"/>
          </w:tcPr>
          <w:p w14:paraId="3648A353" w14:textId="77777777" w:rsidR="009030B5" w:rsidRPr="005D4F27"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jc w:val="center"/>
              <w:rPr>
                <w:rFonts w:eastAsia="Calibri"/>
                <w:lang w:val="nl-NL"/>
              </w:rPr>
            </w:pPr>
            <w:r w:rsidRPr="005D4F27">
              <w:rPr>
                <w:rFonts w:eastAsia="Calibri"/>
                <w:lang w:val="nl-NL"/>
              </w:rPr>
              <w:t>10 000</w:t>
            </w:r>
          </w:p>
        </w:tc>
      </w:tr>
    </w:tbl>
    <w:p w14:paraId="0E7AFA43" w14:textId="77777777" w:rsidR="009030B5" w:rsidRPr="005D4F27" w:rsidRDefault="009030B5" w:rsidP="00656043">
      <w:pPr>
        <w:numPr>
          <w:ilvl w:val="0"/>
          <w:numId w:val="29"/>
        </w:numPr>
        <w:autoSpaceDE w:val="0"/>
        <w:autoSpaceDN w:val="0"/>
        <w:adjustRightInd w:val="0"/>
        <w:ind w:left="284" w:hanging="284"/>
        <w:rPr>
          <w:color w:val="000000"/>
          <w:sz w:val="20"/>
        </w:rPr>
      </w:pPr>
      <w:r w:rsidRPr="005D4F27">
        <w:rPr>
          <w:color w:val="000000"/>
          <w:sz w:val="20"/>
        </w:rPr>
        <w:t>Toxizitätsäquivalente, berechnet unter Verwendung der Toxizitätsäquivalenzfaktoren (WHO-TEF) von 2005.</w:t>
      </w:r>
    </w:p>
    <w:p w14:paraId="55C4C691" w14:textId="1F4ADB6C" w:rsidR="009030B5" w:rsidRPr="009030B5" w:rsidRDefault="009030B5" w:rsidP="00656043">
      <w:pPr>
        <w:numPr>
          <w:ilvl w:val="0"/>
          <w:numId w:val="29"/>
        </w:numPr>
        <w:ind w:left="227" w:hanging="227"/>
        <w:rPr>
          <w:color w:val="000000"/>
          <w:sz w:val="20"/>
        </w:rPr>
      </w:pPr>
      <w:r w:rsidRPr="005D4F27">
        <w:rPr>
          <w:color w:val="000000"/>
          <w:sz w:val="20"/>
        </w:rPr>
        <w:t xml:space="preserve">Summe der Dioxine (polychlorierte </w:t>
      </w:r>
      <w:proofErr w:type="spellStart"/>
      <w:r w:rsidRPr="005D4F27">
        <w:rPr>
          <w:color w:val="000000"/>
          <w:sz w:val="20"/>
        </w:rPr>
        <w:t>Dibenzo</w:t>
      </w:r>
      <w:proofErr w:type="spellEnd"/>
      <w:r w:rsidRPr="005D4F27">
        <w:rPr>
          <w:color w:val="000000"/>
          <w:sz w:val="20"/>
        </w:rPr>
        <w:t>-para-dioxine (PCDD) und polychlorierte Dibenzofurane (PCDF)) und dioxinähnlichen polychlorierten Biphenyle (dl-PCB) nach der</w:t>
      </w:r>
      <w:r w:rsidRPr="000B60AA">
        <w:rPr>
          <w:rFonts w:ascii="Times" w:eastAsia="Times" w:hAnsi="Times" w:cs="Times"/>
          <w:sz w:val="26"/>
        </w:rPr>
        <w:t xml:space="preserve"> </w:t>
      </w:r>
      <w:r w:rsidRPr="000B60AA">
        <w:rPr>
          <w:color w:val="000000"/>
          <w:sz w:val="20"/>
        </w:rPr>
        <w:t>DIN EN 16190:2019-10</w:t>
      </w:r>
      <w:r w:rsidRPr="005D4F27">
        <w:rPr>
          <w:color w:val="000000"/>
          <w:sz w:val="20"/>
        </w:rPr>
        <w:t>.</w:t>
      </w:r>
    </w:p>
    <w:p w14:paraId="625745E7" w14:textId="136360FC" w:rsidR="009030B5" w:rsidRPr="008809E7" w:rsidRDefault="009030B5" w:rsidP="003900D9">
      <w:pPr>
        <w:pStyle w:val="berschrift1"/>
      </w:pPr>
      <w:r w:rsidRPr="008D0377">
        <w:t xml:space="preserve">Tabelle 6: Prüf- und Maßnahmenwerte für den Wirkungspfad Boden-Nutzpflanze auf Ackerflächen und in Nutzgärten im </w:t>
      </w:r>
      <w:r w:rsidR="003900D9" w:rsidRPr="008D0377">
        <w:t>Hinblick auf die Pflanzenqualität</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1800"/>
        <w:gridCol w:w="2878"/>
        <w:gridCol w:w="1559"/>
        <w:gridCol w:w="2835"/>
      </w:tblGrid>
      <w:tr w:rsidR="009030B5" w:rsidRPr="005D4F27" w14:paraId="40C43C3D" w14:textId="77777777" w:rsidTr="009030B5">
        <w:trPr>
          <w:cantSplit/>
        </w:trPr>
        <w:tc>
          <w:tcPr>
            <w:tcW w:w="1800" w:type="dxa"/>
            <w:tcBorders>
              <w:top w:val="single" w:sz="12" w:space="0" w:color="auto"/>
              <w:bottom w:val="single" w:sz="12" w:space="0" w:color="auto"/>
              <w:right w:val="single" w:sz="12" w:space="0" w:color="auto"/>
            </w:tcBorders>
            <w:shd w:val="clear" w:color="auto" w:fill="E6E6E6"/>
          </w:tcPr>
          <w:p w14:paraId="49218C6E" w14:textId="77777777" w:rsidR="009030B5" w:rsidRPr="005D4F27" w:rsidRDefault="009030B5" w:rsidP="009030B5">
            <w:pPr>
              <w:ind w:left="127"/>
              <w:rPr>
                <w:rFonts w:eastAsia="Calibri"/>
                <w:b/>
                <w:lang w:val="nl-NL"/>
              </w:rPr>
            </w:pPr>
            <w:r w:rsidRPr="005D4F27">
              <w:rPr>
                <w:rFonts w:eastAsia="Calibri"/>
                <w:b/>
                <w:lang w:val="nl-NL"/>
              </w:rPr>
              <w:t>Stoff</w:t>
            </w:r>
          </w:p>
        </w:tc>
        <w:tc>
          <w:tcPr>
            <w:tcW w:w="2878" w:type="dxa"/>
            <w:tcBorders>
              <w:top w:val="single" w:sz="12" w:space="0" w:color="auto"/>
              <w:left w:val="single" w:sz="12" w:space="0" w:color="auto"/>
              <w:bottom w:val="single" w:sz="12" w:space="0" w:color="auto"/>
            </w:tcBorders>
            <w:shd w:val="clear" w:color="auto" w:fill="E6E6E6"/>
          </w:tcPr>
          <w:p w14:paraId="271525D0" w14:textId="77777777" w:rsidR="009030B5" w:rsidRPr="005D4F27" w:rsidRDefault="009030B5" w:rsidP="009030B5">
            <w:pPr>
              <w:jc w:val="center"/>
              <w:rPr>
                <w:rFonts w:eastAsia="Calibri"/>
                <w:b/>
                <w:lang w:val="nl-NL"/>
              </w:rPr>
            </w:pPr>
            <w:r w:rsidRPr="005D4F27">
              <w:rPr>
                <w:rFonts w:eastAsia="Calibri"/>
                <w:b/>
                <w:lang w:val="nl-NL"/>
              </w:rPr>
              <w:t>Extraktions</w:t>
            </w:r>
            <w:r w:rsidRPr="005D4F27">
              <w:rPr>
                <w:rFonts w:eastAsia="Calibri"/>
                <w:b/>
                <w:lang w:val="nl-NL"/>
              </w:rPr>
              <w:br/>
              <w:t>verfahren</w:t>
            </w:r>
          </w:p>
        </w:tc>
        <w:tc>
          <w:tcPr>
            <w:tcW w:w="1559" w:type="dxa"/>
            <w:tcBorders>
              <w:top w:val="single" w:sz="12" w:space="0" w:color="auto"/>
              <w:bottom w:val="single" w:sz="12" w:space="0" w:color="auto"/>
            </w:tcBorders>
            <w:shd w:val="clear" w:color="auto" w:fill="E6E6E6"/>
          </w:tcPr>
          <w:p w14:paraId="71586BD5" w14:textId="77777777" w:rsidR="009030B5" w:rsidRPr="005D4F27" w:rsidRDefault="009030B5" w:rsidP="009030B5">
            <w:pPr>
              <w:jc w:val="center"/>
              <w:rPr>
                <w:rFonts w:eastAsia="Calibri"/>
                <w:b/>
                <w:lang w:val="nl-NL"/>
              </w:rPr>
            </w:pPr>
            <w:r w:rsidRPr="005D4F27">
              <w:rPr>
                <w:rFonts w:eastAsia="Calibri"/>
                <w:b/>
                <w:lang w:val="nl-NL"/>
              </w:rPr>
              <w:t>Prüfwert</w:t>
            </w:r>
          </w:p>
        </w:tc>
        <w:tc>
          <w:tcPr>
            <w:tcW w:w="2835" w:type="dxa"/>
            <w:tcBorders>
              <w:top w:val="single" w:sz="12" w:space="0" w:color="auto"/>
              <w:bottom w:val="single" w:sz="12" w:space="0" w:color="auto"/>
            </w:tcBorders>
            <w:shd w:val="clear" w:color="auto" w:fill="E6E6E6"/>
          </w:tcPr>
          <w:p w14:paraId="682DD153" w14:textId="77777777" w:rsidR="009030B5" w:rsidRPr="005D4F27" w:rsidRDefault="009030B5" w:rsidP="009030B5">
            <w:pPr>
              <w:jc w:val="center"/>
              <w:rPr>
                <w:rFonts w:eastAsia="Calibri"/>
                <w:b/>
                <w:lang w:val="nl-NL"/>
              </w:rPr>
            </w:pPr>
            <w:r w:rsidRPr="005D4F27">
              <w:rPr>
                <w:rFonts w:eastAsia="Calibri"/>
                <w:b/>
                <w:lang w:val="nl-NL"/>
              </w:rPr>
              <w:t>Maßnahmenwert</w:t>
            </w:r>
          </w:p>
        </w:tc>
      </w:tr>
      <w:tr w:rsidR="009030B5" w:rsidRPr="005D4F27" w14:paraId="716049E4" w14:textId="77777777" w:rsidTr="009030B5">
        <w:trPr>
          <w:cantSplit/>
        </w:trPr>
        <w:tc>
          <w:tcPr>
            <w:tcW w:w="1800" w:type="dxa"/>
            <w:tcBorders>
              <w:top w:val="single" w:sz="12" w:space="0" w:color="auto"/>
              <w:bottom w:val="single" w:sz="12" w:space="0" w:color="auto"/>
              <w:right w:val="single" w:sz="12" w:space="0" w:color="auto"/>
            </w:tcBorders>
            <w:shd w:val="clear" w:color="auto" w:fill="FFFFFF"/>
          </w:tcPr>
          <w:p w14:paraId="4347B6E5" w14:textId="77777777" w:rsidR="009030B5" w:rsidRPr="005D4F27" w:rsidRDefault="009030B5" w:rsidP="009030B5">
            <w:pPr>
              <w:ind w:left="127"/>
              <w:rPr>
                <w:rFonts w:eastAsia="Calibri"/>
                <w:lang w:val="nl-NL"/>
              </w:rPr>
            </w:pPr>
          </w:p>
        </w:tc>
        <w:tc>
          <w:tcPr>
            <w:tcW w:w="2878" w:type="dxa"/>
            <w:tcBorders>
              <w:top w:val="single" w:sz="12" w:space="0" w:color="auto"/>
              <w:left w:val="single" w:sz="12" w:space="0" w:color="auto"/>
              <w:bottom w:val="single" w:sz="12" w:space="0" w:color="auto"/>
              <w:right w:val="single" w:sz="4" w:space="0" w:color="auto"/>
            </w:tcBorders>
            <w:shd w:val="clear" w:color="auto" w:fill="FFFFFF"/>
          </w:tcPr>
          <w:p w14:paraId="314034A7" w14:textId="77777777" w:rsidR="009030B5" w:rsidRPr="005D4F27" w:rsidRDefault="009030B5" w:rsidP="009030B5">
            <w:pPr>
              <w:jc w:val="center"/>
              <w:rPr>
                <w:rFonts w:eastAsia="Calibri"/>
                <w:lang w:val="nl-NL"/>
              </w:rPr>
            </w:pPr>
          </w:p>
        </w:tc>
        <w:tc>
          <w:tcPr>
            <w:tcW w:w="4394" w:type="dxa"/>
            <w:gridSpan w:val="2"/>
            <w:tcBorders>
              <w:top w:val="single" w:sz="12" w:space="0" w:color="auto"/>
              <w:left w:val="single" w:sz="4" w:space="0" w:color="auto"/>
              <w:bottom w:val="single" w:sz="12" w:space="0" w:color="auto"/>
            </w:tcBorders>
            <w:shd w:val="clear" w:color="auto" w:fill="FFFFFF"/>
          </w:tcPr>
          <w:p w14:paraId="0730ACC2" w14:textId="77777777" w:rsidR="009030B5" w:rsidRPr="005D4F27" w:rsidRDefault="009030B5" w:rsidP="009030B5">
            <w:pPr>
              <w:jc w:val="center"/>
              <w:rPr>
                <w:rFonts w:eastAsia="Calibri"/>
                <w:lang w:val="nl-NL"/>
              </w:rPr>
            </w:pPr>
            <w:r w:rsidRPr="008D26AB">
              <w:rPr>
                <w:rFonts w:ascii="Times" w:eastAsia="Times" w:hAnsi="Times" w:cs="Times"/>
                <w:sz w:val="26"/>
              </w:rPr>
              <w:t xml:space="preserve"> </w:t>
            </w:r>
            <w:r w:rsidRPr="008D26AB">
              <w:rPr>
                <w:rFonts w:eastAsia="Calibri"/>
              </w:rPr>
              <w:t>[mg/kg TM]</w:t>
            </w:r>
          </w:p>
        </w:tc>
      </w:tr>
      <w:tr w:rsidR="009030B5" w:rsidRPr="005D4F27" w14:paraId="4617E7FA" w14:textId="77777777" w:rsidTr="009030B5">
        <w:trPr>
          <w:cantSplit/>
        </w:trPr>
        <w:tc>
          <w:tcPr>
            <w:tcW w:w="1800" w:type="dxa"/>
            <w:tcBorders>
              <w:top w:val="single" w:sz="12" w:space="0" w:color="auto"/>
              <w:right w:val="single" w:sz="12" w:space="0" w:color="auto"/>
            </w:tcBorders>
          </w:tcPr>
          <w:p w14:paraId="15FFB19B" w14:textId="77777777" w:rsidR="009030B5" w:rsidRPr="005D4F27" w:rsidRDefault="009030B5" w:rsidP="009030B5">
            <w:pPr>
              <w:ind w:left="127"/>
              <w:rPr>
                <w:rFonts w:eastAsia="Calibri"/>
              </w:rPr>
            </w:pPr>
            <w:r w:rsidRPr="005D4F27">
              <w:rPr>
                <w:rFonts w:eastAsia="Calibri"/>
              </w:rPr>
              <w:t>Arsen</w:t>
            </w:r>
          </w:p>
        </w:tc>
        <w:tc>
          <w:tcPr>
            <w:tcW w:w="2878" w:type="dxa"/>
            <w:tcBorders>
              <w:top w:val="single" w:sz="12" w:space="0" w:color="auto"/>
              <w:left w:val="single" w:sz="12" w:space="0" w:color="auto"/>
            </w:tcBorders>
          </w:tcPr>
          <w:p w14:paraId="0D4D51DE" w14:textId="77777777" w:rsidR="009030B5" w:rsidRPr="005D4F27" w:rsidRDefault="009030B5" w:rsidP="009030B5">
            <w:pPr>
              <w:jc w:val="center"/>
              <w:rPr>
                <w:rFonts w:eastAsia="Calibri"/>
              </w:rPr>
            </w:pPr>
            <w:r w:rsidRPr="005D4F27">
              <w:rPr>
                <w:rFonts w:eastAsia="Calibri"/>
              </w:rPr>
              <w:t>Königswasser (KW)</w:t>
            </w:r>
          </w:p>
        </w:tc>
        <w:tc>
          <w:tcPr>
            <w:tcW w:w="1559" w:type="dxa"/>
            <w:tcBorders>
              <w:top w:val="single" w:sz="12" w:space="0" w:color="auto"/>
            </w:tcBorders>
          </w:tcPr>
          <w:p w14:paraId="6A4A5ADB" w14:textId="77777777" w:rsidR="009030B5" w:rsidRPr="005D4F27" w:rsidRDefault="009030B5" w:rsidP="009030B5">
            <w:pPr>
              <w:jc w:val="center"/>
              <w:rPr>
                <w:rFonts w:eastAsia="Calibri"/>
              </w:rPr>
            </w:pPr>
            <w:r w:rsidRPr="005D4F27">
              <w:rPr>
                <w:rFonts w:eastAsia="Calibri"/>
              </w:rPr>
              <w:t xml:space="preserve">200 </w:t>
            </w:r>
            <w:r w:rsidRPr="005D4F27">
              <w:rPr>
                <w:rFonts w:eastAsia="Calibri"/>
                <w:vertAlign w:val="superscript"/>
              </w:rPr>
              <w:t>1)</w:t>
            </w:r>
          </w:p>
        </w:tc>
        <w:tc>
          <w:tcPr>
            <w:tcW w:w="2835" w:type="dxa"/>
            <w:tcBorders>
              <w:top w:val="single" w:sz="12" w:space="0" w:color="auto"/>
            </w:tcBorders>
          </w:tcPr>
          <w:p w14:paraId="418C8004" w14:textId="77777777" w:rsidR="009030B5" w:rsidRPr="005D4F27" w:rsidRDefault="009030B5" w:rsidP="009030B5">
            <w:pPr>
              <w:jc w:val="center"/>
              <w:rPr>
                <w:rFonts w:eastAsia="Calibri"/>
              </w:rPr>
            </w:pPr>
            <w:r w:rsidRPr="005D4F27">
              <w:rPr>
                <w:rFonts w:eastAsia="Calibri"/>
              </w:rPr>
              <w:t>-</w:t>
            </w:r>
          </w:p>
        </w:tc>
      </w:tr>
      <w:tr w:rsidR="009030B5" w:rsidRPr="005D4F27" w14:paraId="0BDEAE71" w14:textId="77777777" w:rsidTr="009030B5">
        <w:trPr>
          <w:cantSplit/>
        </w:trPr>
        <w:tc>
          <w:tcPr>
            <w:tcW w:w="1800" w:type="dxa"/>
            <w:tcBorders>
              <w:right w:val="single" w:sz="12" w:space="0" w:color="auto"/>
            </w:tcBorders>
          </w:tcPr>
          <w:p w14:paraId="1E2B4973" w14:textId="77777777" w:rsidR="009030B5" w:rsidRPr="005D4F27" w:rsidRDefault="009030B5" w:rsidP="009030B5">
            <w:pPr>
              <w:ind w:left="127"/>
              <w:rPr>
                <w:rFonts w:eastAsia="Calibri"/>
                <w:strike/>
              </w:rPr>
            </w:pPr>
            <w:r w:rsidRPr="005D4F27">
              <w:rPr>
                <w:rFonts w:eastAsia="Calibri"/>
              </w:rPr>
              <w:t>Blei</w:t>
            </w:r>
          </w:p>
        </w:tc>
        <w:tc>
          <w:tcPr>
            <w:tcW w:w="2878" w:type="dxa"/>
            <w:tcBorders>
              <w:left w:val="single" w:sz="12" w:space="0" w:color="auto"/>
            </w:tcBorders>
          </w:tcPr>
          <w:p w14:paraId="7DAD7C44" w14:textId="77777777" w:rsidR="009030B5" w:rsidRPr="005D4F27" w:rsidRDefault="009030B5" w:rsidP="009030B5">
            <w:pPr>
              <w:jc w:val="center"/>
              <w:rPr>
                <w:rFonts w:eastAsia="Calibri"/>
              </w:rPr>
            </w:pPr>
            <w:r w:rsidRPr="005D4F27">
              <w:rPr>
                <w:rFonts w:eastAsia="Calibri"/>
              </w:rPr>
              <w:t>Ammoniumnitrat (AN)</w:t>
            </w:r>
          </w:p>
        </w:tc>
        <w:tc>
          <w:tcPr>
            <w:tcW w:w="1559" w:type="dxa"/>
          </w:tcPr>
          <w:p w14:paraId="03854574" w14:textId="77777777" w:rsidR="009030B5" w:rsidRPr="005D4F27" w:rsidRDefault="009030B5" w:rsidP="009030B5">
            <w:pPr>
              <w:jc w:val="center"/>
              <w:rPr>
                <w:rFonts w:eastAsia="Calibri"/>
                <w:strike/>
              </w:rPr>
            </w:pPr>
            <w:r w:rsidRPr="005D4F27">
              <w:rPr>
                <w:rFonts w:eastAsia="Calibri"/>
              </w:rPr>
              <w:t>0,1</w:t>
            </w:r>
          </w:p>
        </w:tc>
        <w:tc>
          <w:tcPr>
            <w:tcW w:w="2835" w:type="dxa"/>
          </w:tcPr>
          <w:p w14:paraId="2AC61349" w14:textId="77777777" w:rsidR="009030B5" w:rsidRPr="005D4F27" w:rsidRDefault="009030B5" w:rsidP="009030B5">
            <w:pPr>
              <w:jc w:val="center"/>
              <w:rPr>
                <w:rFonts w:eastAsia="Calibri"/>
                <w:strike/>
              </w:rPr>
            </w:pPr>
            <w:r w:rsidRPr="005D4F27">
              <w:rPr>
                <w:rFonts w:eastAsia="Calibri"/>
                <w:strike/>
              </w:rPr>
              <w:t>-</w:t>
            </w:r>
          </w:p>
        </w:tc>
      </w:tr>
      <w:tr w:rsidR="009030B5" w:rsidRPr="005D4F27" w14:paraId="2246599C" w14:textId="77777777" w:rsidTr="009030B5">
        <w:trPr>
          <w:cantSplit/>
        </w:trPr>
        <w:tc>
          <w:tcPr>
            <w:tcW w:w="1800" w:type="dxa"/>
            <w:tcBorders>
              <w:right w:val="single" w:sz="12" w:space="0" w:color="auto"/>
            </w:tcBorders>
          </w:tcPr>
          <w:p w14:paraId="78D6CD22" w14:textId="77777777" w:rsidR="009030B5" w:rsidRPr="005D4F27" w:rsidRDefault="009030B5" w:rsidP="009030B5">
            <w:pPr>
              <w:tabs>
                <w:tab w:val="decimal" w:pos="127"/>
              </w:tabs>
              <w:ind w:left="127"/>
              <w:rPr>
                <w:rFonts w:eastAsia="Calibri"/>
              </w:rPr>
            </w:pPr>
            <w:r w:rsidRPr="005D4F27">
              <w:rPr>
                <w:rFonts w:eastAsia="Calibri"/>
              </w:rPr>
              <w:t>Cadmium</w:t>
            </w:r>
          </w:p>
        </w:tc>
        <w:tc>
          <w:tcPr>
            <w:tcW w:w="2878" w:type="dxa"/>
            <w:tcBorders>
              <w:left w:val="single" w:sz="12" w:space="0" w:color="auto"/>
            </w:tcBorders>
          </w:tcPr>
          <w:p w14:paraId="6388985F" w14:textId="77777777" w:rsidR="009030B5" w:rsidRPr="005D4F27" w:rsidRDefault="009030B5" w:rsidP="009030B5">
            <w:pPr>
              <w:jc w:val="center"/>
              <w:rPr>
                <w:rFonts w:eastAsia="Calibri"/>
              </w:rPr>
            </w:pPr>
            <w:r w:rsidRPr="005D4F27">
              <w:rPr>
                <w:rFonts w:eastAsia="Calibri"/>
              </w:rPr>
              <w:t>AN</w:t>
            </w:r>
          </w:p>
        </w:tc>
        <w:tc>
          <w:tcPr>
            <w:tcW w:w="1559" w:type="dxa"/>
          </w:tcPr>
          <w:p w14:paraId="0A4A5AA5" w14:textId="77777777" w:rsidR="009030B5" w:rsidRPr="005D4F27" w:rsidRDefault="009030B5" w:rsidP="009030B5">
            <w:pPr>
              <w:jc w:val="center"/>
              <w:rPr>
                <w:rFonts w:eastAsia="Calibri"/>
                <w:strike/>
              </w:rPr>
            </w:pPr>
            <w:r w:rsidRPr="005D4F27">
              <w:rPr>
                <w:rFonts w:eastAsia="Calibri"/>
                <w:strike/>
              </w:rPr>
              <w:t>-</w:t>
            </w:r>
          </w:p>
        </w:tc>
        <w:tc>
          <w:tcPr>
            <w:tcW w:w="2835" w:type="dxa"/>
          </w:tcPr>
          <w:p w14:paraId="61840F28" w14:textId="77777777" w:rsidR="009030B5" w:rsidRPr="005D4F27" w:rsidRDefault="009030B5" w:rsidP="009030B5">
            <w:pPr>
              <w:jc w:val="center"/>
              <w:rPr>
                <w:rFonts w:eastAsia="Calibri"/>
              </w:rPr>
            </w:pPr>
            <w:r w:rsidRPr="005D4F27">
              <w:rPr>
                <w:rFonts w:eastAsia="Calibri"/>
              </w:rPr>
              <w:t xml:space="preserve">0,04 / 0,1 </w:t>
            </w:r>
            <w:r w:rsidRPr="005D4F27">
              <w:rPr>
                <w:rFonts w:eastAsia="Calibri"/>
                <w:vertAlign w:val="superscript"/>
              </w:rPr>
              <w:t>2)</w:t>
            </w:r>
          </w:p>
        </w:tc>
      </w:tr>
      <w:tr w:rsidR="009030B5" w:rsidRPr="005D4F27" w14:paraId="3B879238" w14:textId="77777777" w:rsidTr="009030B5">
        <w:trPr>
          <w:cantSplit/>
        </w:trPr>
        <w:tc>
          <w:tcPr>
            <w:tcW w:w="1800" w:type="dxa"/>
            <w:tcBorders>
              <w:right w:val="single" w:sz="12" w:space="0" w:color="auto"/>
            </w:tcBorders>
          </w:tcPr>
          <w:p w14:paraId="7FE8749C" w14:textId="77777777" w:rsidR="009030B5" w:rsidRPr="005D4F27" w:rsidRDefault="009030B5" w:rsidP="009030B5">
            <w:pPr>
              <w:ind w:left="127"/>
              <w:rPr>
                <w:rFonts w:eastAsia="Calibri"/>
              </w:rPr>
            </w:pPr>
            <w:r w:rsidRPr="005D4F27">
              <w:rPr>
                <w:rFonts w:eastAsia="Calibri"/>
              </w:rPr>
              <w:t>Quecksilber</w:t>
            </w:r>
          </w:p>
        </w:tc>
        <w:tc>
          <w:tcPr>
            <w:tcW w:w="2878" w:type="dxa"/>
            <w:tcBorders>
              <w:left w:val="single" w:sz="12" w:space="0" w:color="auto"/>
            </w:tcBorders>
          </w:tcPr>
          <w:p w14:paraId="13CE74B1" w14:textId="77777777" w:rsidR="009030B5" w:rsidRPr="005D4F27" w:rsidRDefault="009030B5" w:rsidP="009030B5">
            <w:pPr>
              <w:jc w:val="center"/>
              <w:rPr>
                <w:rFonts w:eastAsia="Calibri"/>
              </w:rPr>
            </w:pPr>
            <w:r w:rsidRPr="005D4F27">
              <w:rPr>
                <w:rFonts w:eastAsia="Calibri"/>
              </w:rPr>
              <w:t>KW</w:t>
            </w:r>
          </w:p>
        </w:tc>
        <w:tc>
          <w:tcPr>
            <w:tcW w:w="1559" w:type="dxa"/>
          </w:tcPr>
          <w:p w14:paraId="725F730E" w14:textId="77777777" w:rsidR="009030B5" w:rsidRPr="005D4F27" w:rsidRDefault="009030B5" w:rsidP="009030B5">
            <w:pPr>
              <w:jc w:val="center"/>
              <w:rPr>
                <w:rFonts w:eastAsia="Calibri"/>
              </w:rPr>
            </w:pPr>
            <w:r w:rsidRPr="005D4F27">
              <w:rPr>
                <w:rFonts w:eastAsia="Calibri"/>
              </w:rPr>
              <w:t>5</w:t>
            </w:r>
          </w:p>
        </w:tc>
        <w:tc>
          <w:tcPr>
            <w:tcW w:w="2835" w:type="dxa"/>
          </w:tcPr>
          <w:p w14:paraId="52CDC83C" w14:textId="77777777" w:rsidR="009030B5" w:rsidRPr="005D4F27" w:rsidRDefault="009030B5" w:rsidP="009030B5">
            <w:pPr>
              <w:tabs>
                <w:tab w:val="decimal" w:pos="-555"/>
              </w:tabs>
              <w:jc w:val="center"/>
              <w:rPr>
                <w:rFonts w:eastAsia="Calibri"/>
              </w:rPr>
            </w:pPr>
            <w:r w:rsidRPr="005D4F27">
              <w:rPr>
                <w:rFonts w:eastAsia="Calibri"/>
              </w:rPr>
              <w:t>-</w:t>
            </w:r>
          </w:p>
        </w:tc>
      </w:tr>
      <w:tr w:rsidR="009030B5" w:rsidRPr="005D4F27" w14:paraId="4263A3B4" w14:textId="77777777" w:rsidTr="009030B5">
        <w:trPr>
          <w:cantSplit/>
        </w:trPr>
        <w:tc>
          <w:tcPr>
            <w:tcW w:w="1800" w:type="dxa"/>
            <w:tcBorders>
              <w:right w:val="single" w:sz="12" w:space="0" w:color="auto"/>
            </w:tcBorders>
          </w:tcPr>
          <w:p w14:paraId="5B0141D0" w14:textId="77777777" w:rsidR="009030B5" w:rsidRPr="005D4F27" w:rsidRDefault="009030B5" w:rsidP="009030B5">
            <w:pPr>
              <w:ind w:left="127"/>
              <w:rPr>
                <w:rFonts w:eastAsia="Calibri"/>
              </w:rPr>
            </w:pPr>
            <w:r w:rsidRPr="005D4F27">
              <w:rPr>
                <w:rFonts w:eastAsia="Calibri"/>
              </w:rPr>
              <w:t>Thallium</w:t>
            </w:r>
          </w:p>
        </w:tc>
        <w:tc>
          <w:tcPr>
            <w:tcW w:w="2878" w:type="dxa"/>
            <w:tcBorders>
              <w:left w:val="single" w:sz="12" w:space="0" w:color="auto"/>
            </w:tcBorders>
          </w:tcPr>
          <w:p w14:paraId="5A46AFBD" w14:textId="77777777" w:rsidR="009030B5" w:rsidRPr="005D4F27" w:rsidRDefault="009030B5" w:rsidP="009030B5">
            <w:pPr>
              <w:jc w:val="center"/>
              <w:rPr>
                <w:rFonts w:eastAsia="Calibri"/>
              </w:rPr>
            </w:pPr>
            <w:r w:rsidRPr="005D4F27">
              <w:rPr>
                <w:rFonts w:eastAsia="Calibri"/>
              </w:rPr>
              <w:t>AN</w:t>
            </w:r>
          </w:p>
        </w:tc>
        <w:tc>
          <w:tcPr>
            <w:tcW w:w="1559" w:type="dxa"/>
          </w:tcPr>
          <w:p w14:paraId="64D0C411" w14:textId="77777777" w:rsidR="009030B5" w:rsidRPr="005D4F27" w:rsidRDefault="009030B5" w:rsidP="009030B5">
            <w:pPr>
              <w:jc w:val="center"/>
              <w:rPr>
                <w:rFonts w:eastAsia="Calibri"/>
              </w:rPr>
            </w:pPr>
            <w:r w:rsidRPr="005D4F27">
              <w:rPr>
                <w:rFonts w:eastAsia="Calibri"/>
              </w:rPr>
              <w:t>0,1</w:t>
            </w:r>
          </w:p>
        </w:tc>
        <w:tc>
          <w:tcPr>
            <w:tcW w:w="2835" w:type="dxa"/>
          </w:tcPr>
          <w:p w14:paraId="37FEBB49" w14:textId="77777777" w:rsidR="009030B5" w:rsidRPr="005D4F27" w:rsidRDefault="009030B5" w:rsidP="009030B5">
            <w:pPr>
              <w:jc w:val="center"/>
              <w:rPr>
                <w:rFonts w:eastAsia="Calibri"/>
              </w:rPr>
            </w:pPr>
            <w:r w:rsidRPr="005D4F27">
              <w:rPr>
                <w:rFonts w:eastAsia="Calibri"/>
              </w:rPr>
              <w:t>-</w:t>
            </w:r>
          </w:p>
        </w:tc>
      </w:tr>
      <w:tr w:rsidR="009030B5" w:rsidRPr="005D4F27" w14:paraId="2CE49737" w14:textId="77777777" w:rsidTr="009030B5">
        <w:trPr>
          <w:cantSplit/>
        </w:trPr>
        <w:tc>
          <w:tcPr>
            <w:tcW w:w="1800" w:type="dxa"/>
            <w:tcBorders>
              <w:right w:val="single" w:sz="12" w:space="0" w:color="auto"/>
            </w:tcBorders>
          </w:tcPr>
          <w:p w14:paraId="038C1579" w14:textId="77777777" w:rsidR="009030B5" w:rsidRPr="005D4F27" w:rsidRDefault="009030B5" w:rsidP="009030B5">
            <w:pPr>
              <w:tabs>
                <w:tab w:val="decimal" w:pos="1015"/>
              </w:tabs>
              <w:ind w:left="127"/>
              <w:rPr>
                <w:rFonts w:eastAsia="Calibri"/>
              </w:rPr>
            </w:pPr>
            <w:r w:rsidRPr="005D4F27">
              <w:rPr>
                <w:rFonts w:eastAsia="Calibri"/>
              </w:rPr>
              <w:t>Benzo(a)</w:t>
            </w:r>
            <w:proofErr w:type="spellStart"/>
            <w:r w:rsidRPr="005D4F27">
              <w:rPr>
                <w:rFonts w:eastAsia="Calibri"/>
              </w:rPr>
              <w:t>pyren</w:t>
            </w:r>
            <w:proofErr w:type="spellEnd"/>
          </w:p>
        </w:tc>
        <w:tc>
          <w:tcPr>
            <w:tcW w:w="2878" w:type="dxa"/>
            <w:tcBorders>
              <w:left w:val="single" w:sz="12" w:space="0" w:color="auto"/>
            </w:tcBorders>
          </w:tcPr>
          <w:p w14:paraId="302077B5" w14:textId="77777777" w:rsidR="009030B5" w:rsidRPr="005D4F27" w:rsidRDefault="009030B5" w:rsidP="009030B5">
            <w:pPr>
              <w:jc w:val="center"/>
              <w:rPr>
                <w:rFonts w:eastAsia="Calibri"/>
              </w:rPr>
            </w:pPr>
            <w:r w:rsidRPr="005D4F27">
              <w:rPr>
                <w:rFonts w:eastAsia="Calibri"/>
              </w:rPr>
              <w:t>siehe Anlage 3 Tabelle 5</w:t>
            </w:r>
          </w:p>
        </w:tc>
        <w:tc>
          <w:tcPr>
            <w:tcW w:w="1559" w:type="dxa"/>
          </w:tcPr>
          <w:p w14:paraId="689D2FCC" w14:textId="77777777" w:rsidR="009030B5" w:rsidRPr="005D4F27" w:rsidRDefault="009030B5" w:rsidP="009030B5">
            <w:pPr>
              <w:jc w:val="center"/>
              <w:rPr>
                <w:rFonts w:eastAsia="Calibri"/>
              </w:rPr>
            </w:pPr>
            <w:r w:rsidRPr="005D4F27">
              <w:rPr>
                <w:rFonts w:eastAsia="Calibri"/>
              </w:rPr>
              <w:t>1</w:t>
            </w:r>
          </w:p>
        </w:tc>
        <w:tc>
          <w:tcPr>
            <w:tcW w:w="2835" w:type="dxa"/>
          </w:tcPr>
          <w:p w14:paraId="713F852A" w14:textId="77777777" w:rsidR="009030B5" w:rsidRPr="005D4F27" w:rsidRDefault="009030B5" w:rsidP="009030B5">
            <w:pPr>
              <w:jc w:val="center"/>
              <w:rPr>
                <w:rFonts w:eastAsia="Calibri"/>
              </w:rPr>
            </w:pPr>
            <w:r w:rsidRPr="005D4F27">
              <w:rPr>
                <w:rFonts w:eastAsia="Calibri"/>
              </w:rPr>
              <w:t>-</w:t>
            </w:r>
          </w:p>
        </w:tc>
      </w:tr>
      <w:tr w:rsidR="009030B5" w:rsidRPr="005D4F27" w14:paraId="58C6022A" w14:textId="77777777" w:rsidTr="009030B5">
        <w:trPr>
          <w:cantSplit/>
        </w:trPr>
        <w:tc>
          <w:tcPr>
            <w:tcW w:w="1800" w:type="dxa"/>
            <w:tcBorders>
              <w:bottom w:val="single" w:sz="12" w:space="0" w:color="auto"/>
              <w:right w:val="single" w:sz="12" w:space="0" w:color="auto"/>
            </w:tcBorders>
          </w:tcPr>
          <w:p w14:paraId="5889F5AA" w14:textId="77777777" w:rsidR="009030B5" w:rsidRPr="005D4F27" w:rsidRDefault="009030B5" w:rsidP="009030B5">
            <w:pPr>
              <w:ind w:left="127"/>
              <w:rPr>
                <w:rFonts w:eastAsia="Calibri"/>
              </w:rPr>
            </w:pPr>
            <w:r w:rsidRPr="005D4F27">
              <w:rPr>
                <w:rFonts w:eastAsia="Calibri"/>
              </w:rPr>
              <w:t>DDT (</w:t>
            </w:r>
            <w:proofErr w:type="spellStart"/>
            <w:r w:rsidRPr="005D4F27">
              <w:rPr>
                <w:rFonts w:eastAsia="Calibri"/>
              </w:rPr>
              <w:t>Dichlordiphenyl-trichlorethan</w:t>
            </w:r>
            <w:proofErr w:type="spellEnd"/>
            <w:r w:rsidRPr="005D4F27">
              <w:rPr>
                <w:rFonts w:eastAsia="Calibri"/>
              </w:rPr>
              <w:t>)</w:t>
            </w:r>
          </w:p>
        </w:tc>
        <w:tc>
          <w:tcPr>
            <w:tcW w:w="2878" w:type="dxa"/>
            <w:tcBorders>
              <w:left w:val="single" w:sz="12" w:space="0" w:color="auto"/>
            </w:tcBorders>
          </w:tcPr>
          <w:p w14:paraId="3FA26F0C" w14:textId="77777777" w:rsidR="009030B5" w:rsidRPr="005D4F27" w:rsidRDefault="009030B5" w:rsidP="009030B5">
            <w:pPr>
              <w:tabs>
                <w:tab w:val="decimal" w:pos="1015"/>
              </w:tabs>
              <w:jc w:val="center"/>
              <w:rPr>
                <w:rFonts w:eastAsia="Calibri"/>
              </w:rPr>
            </w:pPr>
            <w:r w:rsidRPr="005D4F27">
              <w:rPr>
                <w:rFonts w:eastAsia="Calibri"/>
              </w:rPr>
              <w:t>siehe Anlage 3 Tabelle 5</w:t>
            </w:r>
          </w:p>
        </w:tc>
        <w:tc>
          <w:tcPr>
            <w:tcW w:w="1559" w:type="dxa"/>
          </w:tcPr>
          <w:p w14:paraId="558AF59A" w14:textId="77777777" w:rsidR="009030B5" w:rsidRPr="005D4F27" w:rsidRDefault="009030B5" w:rsidP="009030B5">
            <w:pPr>
              <w:jc w:val="center"/>
              <w:rPr>
                <w:rFonts w:eastAsia="Calibri"/>
              </w:rPr>
            </w:pPr>
            <w:r w:rsidRPr="005D4F27">
              <w:rPr>
                <w:rFonts w:eastAsia="Calibri"/>
              </w:rPr>
              <w:t>1</w:t>
            </w:r>
          </w:p>
        </w:tc>
        <w:tc>
          <w:tcPr>
            <w:tcW w:w="2835" w:type="dxa"/>
          </w:tcPr>
          <w:p w14:paraId="4EFCF168" w14:textId="77777777" w:rsidR="009030B5" w:rsidRPr="005D4F27" w:rsidRDefault="009030B5" w:rsidP="009030B5">
            <w:pPr>
              <w:jc w:val="center"/>
              <w:rPr>
                <w:rFonts w:eastAsia="Calibri"/>
              </w:rPr>
            </w:pPr>
            <w:r w:rsidRPr="005D4F27">
              <w:rPr>
                <w:rFonts w:eastAsia="Calibri"/>
              </w:rPr>
              <w:t>-</w:t>
            </w:r>
          </w:p>
        </w:tc>
      </w:tr>
    </w:tbl>
    <w:p w14:paraId="4B3DF169" w14:textId="77777777" w:rsidR="003900D9" w:rsidRDefault="003900D9" w:rsidP="003900D9">
      <w:pPr>
        <w:pStyle w:val="Text"/>
      </w:pPr>
      <w:r>
        <w:t>1) Bei Böden mit zeitweise reduzierenden Verhältnissen gilt ein Prüfwert von 50 mg/kg.</w:t>
      </w:r>
    </w:p>
    <w:p w14:paraId="31BE3E10" w14:textId="05FC5D3B" w:rsidR="003900D9" w:rsidRPr="003900D9" w:rsidRDefault="003900D9" w:rsidP="003900D9">
      <w:pPr>
        <w:pStyle w:val="Text"/>
      </w:pPr>
      <w:r>
        <w:t>2) Auf Flächen mit Brotweizenanbau oder Gemüseanbau gilt ein Maßnahmenwert von 0,04 mg/kg; ansonsten gilt ein Maßnahmenwert von 0,1 mg/kg.</w:t>
      </w:r>
    </w:p>
    <w:p w14:paraId="56976A30" w14:textId="6949EF95" w:rsidR="003900D9" w:rsidRPr="003900D9" w:rsidRDefault="009030B5" w:rsidP="003900D9">
      <w:pPr>
        <w:pStyle w:val="berschrift1"/>
      </w:pPr>
      <w:r>
        <w:rPr>
          <w:rFonts w:eastAsia="Calibri"/>
        </w:rPr>
        <w:br w:type="page"/>
      </w:r>
      <w:r w:rsidRPr="009030B5">
        <w:lastRenderedPageBreak/>
        <w:t>Tabelle 7: Prüf- und Maßnahmenwerte für den Wirkungspfad Boden-Nutzpflanze auf Grünlandflächen im Hinblick auf die Pflanzenqualität</w:t>
      </w:r>
    </w:p>
    <w:tbl>
      <w:tblPr>
        <w:tblW w:w="907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401"/>
        <w:gridCol w:w="1702"/>
        <w:gridCol w:w="1418"/>
        <w:gridCol w:w="2551"/>
      </w:tblGrid>
      <w:tr w:rsidR="009030B5" w:rsidRPr="005D4F27" w14:paraId="6BA9401F" w14:textId="77777777" w:rsidTr="009030B5">
        <w:trPr>
          <w:cantSplit/>
          <w:trHeight w:val="404"/>
        </w:trPr>
        <w:tc>
          <w:tcPr>
            <w:tcW w:w="3401" w:type="dxa"/>
            <w:tcBorders>
              <w:top w:val="single" w:sz="12" w:space="0" w:color="auto"/>
              <w:bottom w:val="single" w:sz="12" w:space="0" w:color="auto"/>
              <w:right w:val="single" w:sz="12" w:space="0" w:color="auto"/>
            </w:tcBorders>
            <w:shd w:val="clear" w:color="auto" w:fill="EEECE1"/>
            <w:vAlign w:val="center"/>
          </w:tcPr>
          <w:p w14:paraId="0BD0799B" w14:textId="77777777" w:rsidR="009030B5" w:rsidRPr="005D4F27" w:rsidRDefault="009030B5" w:rsidP="009030B5">
            <w:pPr>
              <w:pStyle w:val="berschrift1"/>
              <w:rPr>
                <w:rFonts w:eastAsia="Calibri"/>
              </w:rPr>
            </w:pPr>
            <w:r w:rsidRPr="005D4F27">
              <w:rPr>
                <w:rFonts w:eastAsia="Calibri"/>
              </w:rPr>
              <w:t>Stoff</w:t>
            </w:r>
          </w:p>
        </w:tc>
        <w:tc>
          <w:tcPr>
            <w:tcW w:w="1702" w:type="dxa"/>
            <w:tcBorders>
              <w:top w:val="single" w:sz="12" w:space="0" w:color="auto"/>
              <w:bottom w:val="single" w:sz="12" w:space="0" w:color="auto"/>
              <w:right w:val="single" w:sz="12" w:space="0" w:color="auto"/>
            </w:tcBorders>
            <w:shd w:val="clear" w:color="auto" w:fill="EEECE1"/>
          </w:tcPr>
          <w:p w14:paraId="57D5E82E" w14:textId="77777777" w:rsidR="009030B5" w:rsidRPr="005D4F27" w:rsidRDefault="009030B5" w:rsidP="009030B5">
            <w:pPr>
              <w:tabs>
                <w:tab w:val="left" w:pos="709"/>
                <w:tab w:val="left" w:pos="880"/>
              </w:tabs>
              <w:jc w:val="center"/>
              <w:rPr>
                <w:rFonts w:eastAsia="Calibri"/>
                <w:b/>
              </w:rPr>
            </w:pPr>
            <w:r w:rsidRPr="005D4F27">
              <w:rPr>
                <w:rFonts w:eastAsia="Calibri"/>
                <w:b/>
                <w:lang w:val="nl-NL"/>
              </w:rPr>
              <w:t>Extraktions</w:t>
            </w:r>
            <w:r w:rsidRPr="005D4F27">
              <w:rPr>
                <w:rFonts w:eastAsia="Calibri"/>
                <w:b/>
                <w:lang w:val="nl-NL"/>
              </w:rPr>
              <w:br/>
              <w:t>verfahren</w:t>
            </w:r>
          </w:p>
        </w:tc>
        <w:tc>
          <w:tcPr>
            <w:tcW w:w="1418" w:type="dxa"/>
            <w:tcBorders>
              <w:top w:val="single" w:sz="12" w:space="0" w:color="auto"/>
              <w:left w:val="single" w:sz="12" w:space="0" w:color="auto"/>
              <w:bottom w:val="single" w:sz="12" w:space="0" w:color="auto"/>
            </w:tcBorders>
            <w:shd w:val="clear" w:color="auto" w:fill="EEECE1"/>
            <w:vAlign w:val="center"/>
          </w:tcPr>
          <w:p w14:paraId="44390161" w14:textId="77777777" w:rsidR="009030B5" w:rsidRPr="005D4F27" w:rsidRDefault="009030B5" w:rsidP="009030B5">
            <w:pPr>
              <w:tabs>
                <w:tab w:val="left" w:pos="709"/>
                <w:tab w:val="left" w:pos="880"/>
              </w:tabs>
              <w:jc w:val="center"/>
              <w:rPr>
                <w:rFonts w:eastAsia="Calibri"/>
                <w:b/>
              </w:rPr>
            </w:pPr>
            <w:r w:rsidRPr="005D4F27">
              <w:rPr>
                <w:rFonts w:eastAsia="Calibri"/>
                <w:b/>
              </w:rPr>
              <w:t>Prüfwert</w:t>
            </w:r>
          </w:p>
        </w:tc>
        <w:tc>
          <w:tcPr>
            <w:tcW w:w="2551" w:type="dxa"/>
            <w:tcBorders>
              <w:top w:val="single" w:sz="12" w:space="0" w:color="auto"/>
              <w:bottom w:val="single" w:sz="12" w:space="0" w:color="auto"/>
            </w:tcBorders>
            <w:shd w:val="clear" w:color="auto" w:fill="EEECE1"/>
            <w:vAlign w:val="center"/>
          </w:tcPr>
          <w:p w14:paraId="59F6C9D1" w14:textId="77777777" w:rsidR="009030B5" w:rsidRPr="005D4F27" w:rsidRDefault="009030B5" w:rsidP="009030B5">
            <w:pPr>
              <w:tabs>
                <w:tab w:val="left" w:pos="709"/>
                <w:tab w:val="left" w:pos="880"/>
              </w:tabs>
              <w:jc w:val="center"/>
              <w:rPr>
                <w:rFonts w:eastAsia="Calibri"/>
              </w:rPr>
            </w:pPr>
            <w:r w:rsidRPr="005D4F27">
              <w:rPr>
                <w:rFonts w:eastAsia="Calibri"/>
                <w:b/>
              </w:rPr>
              <w:t>Maßnahmenwert</w:t>
            </w:r>
          </w:p>
        </w:tc>
      </w:tr>
      <w:tr w:rsidR="009030B5" w:rsidRPr="005D4F27" w14:paraId="2FA6DB40" w14:textId="77777777" w:rsidTr="009030B5">
        <w:trPr>
          <w:cantSplit/>
          <w:trHeight w:val="404"/>
        </w:trPr>
        <w:tc>
          <w:tcPr>
            <w:tcW w:w="3401" w:type="dxa"/>
            <w:tcBorders>
              <w:top w:val="single" w:sz="12" w:space="0" w:color="auto"/>
              <w:bottom w:val="single" w:sz="12" w:space="0" w:color="auto"/>
              <w:right w:val="single" w:sz="12" w:space="0" w:color="auto"/>
            </w:tcBorders>
            <w:shd w:val="clear" w:color="auto" w:fill="FFFFFF"/>
            <w:vAlign w:val="center"/>
          </w:tcPr>
          <w:p w14:paraId="570DE65D" w14:textId="77777777" w:rsidR="009030B5" w:rsidRPr="005D4F27" w:rsidRDefault="009030B5" w:rsidP="009030B5">
            <w:pPr>
              <w:tabs>
                <w:tab w:val="left" w:pos="709"/>
                <w:tab w:val="left" w:pos="880"/>
              </w:tabs>
              <w:ind w:left="57"/>
              <w:rPr>
                <w:rFonts w:eastAsia="Calibri"/>
              </w:rPr>
            </w:pPr>
          </w:p>
        </w:tc>
        <w:tc>
          <w:tcPr>
            <w:tcW w:w="1702" w:type="dxa"/>
            <w:tcBorders>
              <w:top w:val="single" w:sz="12" w:space="0" w:color="auto"/>
              <w:bottom w:val="single" w:sz="12" w:space="0" w:color="auto"/>
              <w:right w:val="single" w:sz="12" w:space="0" w:color="auto"/>
            </w:tcBorders>
            <w:shd w:val="clear" w:color="auto" w:fill="FFFFFF"/>
          </w:tcPr>
          <w:p w14:paraId="4B4B566D" w14:textId="77777777" w:rsidR="009030B5" w:rsidRPr="005D4F27" w:rsidRDefault="009030B5" w:rsidP="009030B5">
            <w:pPr>
              <w:tabs>
                <w:tab w:val="left" w:pos="709"/>
                <w:tab w:val="left" w:pos="880"/>
              </w:tabs>
              <w:jc w:val="center"/>
              <w:rPr>
                <w:rFonts w:eastAsia="Calibri"/>
              </w:rPr>
            </w:pPr>
          </w:p>
        </w:tc>
        <w:tc>
          <w:tcPr>
            <w:tcW w:w="3969" w:type="dxa"/>
            <w:gridSpan w:val="2"/>
            <w:tcBorders>
              <w:top w:val="single" w:sz="12" w:space="0" w:color="auto"/>
              <w:left w:val="single" w:sz="12" w:space="0" w:color="auto"/>
              <w:bottom w:val="single" w:sz="12" w:space="0" w:color="auto"/>
            </w:tcBorders>
            <w:shd w:val="clear" w:color="auto" w:fill="FFFFFF"/>
            <w:vAlign w:val="center"/>
          </w:tcPr>
          <w:p w14:paraId="243F68DE" w14:textId="77777777" w:rsidR="009030B5" w:rsidRPr="005D4F27" w:rsidRDefault="009030B5" w:rsidP="009030B5">
            <w:pPr>
              <w:tabs>
                <w:tab w:val="left" w:pos="709"/>
                <w:tab w:val="left" w:pos="880"/>
              </w:tabs>
              <w:jc w:val="center"/>
              <w:rPr>
                <w:rFonts w:eastAsia="Calibri"/>
              </w:rPr>
            </w:pPr>
            <w:r w:rsidRPr="008D26AB">
              <w:rPr>
                <w:rFonts w:ascii="Times" w:eastAsia="Times" w:hAnsi="Times" w:cs="Times"/>
                <w:sz w:val="26"/>
              </w:rPr>
              <w:t xml:space="preserve"> </w:t>
            </w:r>
            <w:r w:rsidRPr="008D26AB">
              <w:rPr>
                <w:rFonts w:eastAsia="Calibri"/>
              </w:rPr>
              <w:t>[mg/kg TM]</w:t>
            </w:r>
          </w:p>
        </w:tc>
      </w:tr>
      <w:tr w:rsidR="009030B5" w:rsidRPr="005D4F27" w14:paraId="062DEEC4" w14:textId="77777777" w:rsidTr="009030B5">
        <w:trPr>
          <w:cantSplit/>
        </w:trPr>
        <w:tc>
          <w:tcPr>
            <w:tcW w:w="3401" w:type="dxa"/>
            <w:tcBorders>
              <w:top w:val="single" w:sz="12" w:space="0" w:color="auto"/>
              <w:right w:val="single" w:sz="12" w:space="0" w:color="auto"/>
            </w:tcBorders>
            <w:vAlign w:val="center"/>
          </w:tcPr>
          <w:p w14:paraId="2F35EE7B" w14:textId="77777777" w:rsidR="009030B5" w:rsidRPr="005D4F27" w:rsidRDefault="009030B5" w:rsidP="009030B5">
            <w:pPr>
              <w:tabs>
                <w:tab w:val="left" w:pos="709"/>
                <w:tab w:val="left" w:pos="880"/>
              </w:tabs>
              <w:ind w:left="57"/>
              <w:rPr>
                <w:rFonts w:eastAsia="Calibri"/>
              </w:rPr>
            </w:pPr>
            <w:r w:rsidRPr="005D4F27">
              <w:rPr>
                <w:rFonts w:eastAsia="Calibri"/>
              </w:rPr>
              <w:t>Arsen</w:t>
            </w:r>
          </w:p>
        </w:tc>
        <w:tc>
          <w:tcPr>
            <w:tcW w:w="1702" w:type="dxa"/>
            <w:tcBorders>
              <w:top w:val="single" w:sz="12" w:space="0" w:color="auto"/>
              <w:right w:val="single" w:sz="12" w:space="0" w:color="auto"/>
            </w:tcBorders>
          </w:tcPr>
          <w:p w14:paraId="430AC26B" w14:textId="77777777" w:rsidR="009030B5" w:rsidRPr="005D4F27" w:rsidRDefault="009030B5" w:rsidP="009030B5">
            <w:pPr>
              <w:jc w:val="center"/>
              <w:rPr>
                <w:rFonts w:eastAsia="Calibri"/>
              </w:rPr>
            </w:pPr>
            <w:r w:rsidRPr="005D4F27">
              <w:rPr>
                <w:rFonts w:eastAsia="Calibri"/>
              </w:rPr>
              <w:t>KW</w:t>
            </w:r>
          </w:p>
        </w:tc>
        <w:tc>
          <w:tcPr>
            <w:tcW w:w="1418" w:type="dxa"/>
            <w:tcBorders>
              <w:top w:val="single" w:sz="12" w:space="0" w:color="auto"/>
              <w:left w:val="single" w:sz="12" w:space="0" w:color="auto"/>
            </w:tcBorders>
            <w:vAlign w:val="center"/>
          </w:tcPr>
          <w:p w14:paraId="0ED165A1" w14:textId="77777777" w:rsidR="009030B5" w:rsidRPr="005D4F27" w:rsidRDefault="009030B5" w:rsidP="009030B5">
            <w:pPr>
              <w:jc w:val="center"/>
              <w:rPr>
                <w:rFonts w:eastAsia="Calibri"/>
              </w:rPr>
            </w:pPr>
            <w:r>
              <w:rPr>
                <w:rFonts w:eastAsia="Calibri"/>
              </w:rPr>
              <w:t>50</w:t>
            </w:r>
          </w:p>
        </w:tc>
        <w:tc>
          <w:tcPr>
            <w:tcW w:w="2551" w:type="dxa"/>
            <w:tcBorders>
              <w:top w:val="single" w:sz="12" w:space="0" w:color="auto"/>
            </w:tcBorders>
            <w:vAlign w:val="center"/>
          </w:tcPr>
          <w:p w14:paraId="12349467" w14:textId="77777777" w:rsidR="009030B5" w:rsidRPr="005D4F27" w:rsidRDefault="009030B5" w:rsidP="009030B5">
            <w:pPr>
              <w:jc w:val="center"/>
              <w:rPr>
                <w:rFonts w:eastAsia="Calibri"/>
              </w:rPr>
            </w:pPr>
            <w:r>
              <w:rPr>
                <w:rFonts w:eastAsia="Calibri"/>
              </w:rPr>
              <w:t>-</w:t>
            </w:r>
          </w:p>
        </w:tc>
      </w:tr>
      <w:tr w:rsidR="009030B5" w:rsidRPr="005D4F27" w14:paraId="12025430" w14:textId="77777777" w:rsidTr="009030B5">
        <w:trPr>
          <w:cantSplit/>
        </w:trPr>
        <w:tc>
          <w:tcPr>
            <w:tcW w:w="3401" w:type="dxa"/>
            <w:tcBorders>
              <w:right w:val="single" w:sz="12" w:space="0" w:color="auto"/>
            </w:tcBorders>
            <w:vAlign w:val="center"/>
          </w:tcPr>
          <w:p w14:paraId="2B2D8349" w14:textId="77777777" w:rsidR="009030B5" w:rsidRPr="005D4F27" w:rsidRDefault="009030B5" w:rsidP="009030B5">
            <w:pPr>
              <w:tabs>
                <w:tab w:val="left" w:pos="709"/>
                <w:tab w:val="left" w:pos="880"/>
                <w:tab w:val="decimal" w:pos="1184"/>
              </w:tabs>
              <w:ind w:left="57"/>
              <w:rPr>
                <w:rFonts w:eastAsia="Calibri"/>
              </w:rPr>
            </w:pPr>
            <w:r w:rsidRPr="005D4F27">
              <w:rPr>
                <w:rFonts w:eastAsia="Calibri"/>
              </w:rPr>
              <w:t>Blei</w:t>
            </w:r>
          </w:p>
        </w:tc>
        <w:tc>
          <w:tcPr>
            <w:tcW w:w="1702" w:type="dxa"/>
            <w:tcBorders>
              <w:right w:val="single" w:sz="12" w:space="0" w:color="auto"/>
            </w:tcBorders>
          </w:tcPr>
          <w:p w14:paraId="0C125633" w14:textId="77777777" w:rsidR="009030B5" w:rsidRPr="005D4F27" w:rsidRDefault="009030B5" w:rsidP="009030B5">
            <w:pPr>
              <w:jc w:val="center"/>
              <w:rPr>
                <w:rFonts w:eastAsia="Calibri"/>
              </w:rPr>
            </w:pPr>
            <w:r w:rsidRPr="005D4F27">
              <w:rPr>
                <w:rFonts w:eastAsia="Calibri"/>
              </w:rPr>
              <w:t>KW</w:t>
            </w:r>
          </w:p>
        </w:tc>
        <w:tc>
          <w:tcPr>
            <w:tcW w:w="1418" w:type="dxa"/>
            <w:tcBorders>
              <w:left w:val="single" w:sz="12" w:space="0" w:color="auto"/>
            </w:tcBorders>
            <w:vAlign w:val="center"/>
          </w:tcPr>
          <w:p w14:paraId="36818B5D" w14:textId="77777777" w:rsidR="009030B5" w:rsidRPr="005D4F27" w:rsidRDefault="009030B5" w:rsidP="009030B5">
            <w:pPr>
              <w:jc w:val="center"/>
              <w:rPr>
                <w:rFonts w:eastAsia="Calibri"/>
              </w:rPr>
            </w:pPr>
            <w:r w:rsidRPr="005D4F27">
              <w:rPr>
                <w:rFonts w:eastAsia="Calibri"/>
              </w:rPr>
              <w:t>-</w:t>
            </w:r>
          </w:p>
        </w:tc>
        <w:tc>
          <w:tcPr>
            <w:tcW w:w="2551" w:type="dxa"/>
            <w:vAlign w:val="center"/>
          </w:tcPr>
          <w:p w14:paraId="22CC4867" w14:textId="77777777" w:rsidR="009030B5" w:rsidRPr="005D4F27" w:rsidRDefault="009030B5" w:rsidP="009030B5">
            <w:pPr>
              <w:jc w:val="center"/>
              <w:rPr>
                <w:rFonts w:eastAsia="Calibri"/>
              </w:rPr>
            </w:pPr>
            <w:r w:rsidRPr="005D4F27">
              <w:rPr>
                <w:rFonts w:eastAsia="Calibri"/>
              </w:rPr>
              <w:t>1 200</w:t>
            </w:r>
          </w:p>
        </w:tc>
      </w:tr>
      <w:tr w:rsidR="009030B5" w:rsidRPr="005D4F27" w14:paraId="44F3292B" w14:textId="77777777" w:rsidTr="009030B5">
        <w:trPr>
          <w:cantSplit/>
        </w:trPr>
        <w:tc>
          <w:tcPr>
            <w:tcW w:w="3401" w:type="dxa"/>
            <w:tcBorders>
              <w:right w:val="single" w:sz="12" w:space="0" w:color="auto"/>
            </w:tcBorders>
            <w:vAlign w:val="center"/>
          </w:tcPr>
          <w:p w14:paraId="7E6474D3" w14:textId="77777777" w:rsidR="009030B5" w:rsidRPr="005D4F27" w:rsidRDefault="009030B5" w:rsidP="009030B5">
            <w:pPr>
              <w:tabs>
                <w:tab w:val="left" w:pos="709"/>
                <w:tab w:val="left" w:pos="880"/>
                <w:tab w:val="decimal" w:pos="1184"/>
              </w:tabs>
              <w:ind w:left="57"/>
              <w:rPr>
                <w:rFonts w:eastAsia="Calibri"/>
              </w:rPr>
            </w:pPr>
            <w:r w:rsidRPr="005D4F27">
              <w:rPr>
                <w:rFonts w:eastAsia="Calibri"/>
              </w:rPr>
              <w:t>Cadmium</w:t>
            </w:r>
          </w:p>
        </w:tc>
        <w:tc>
          <w:tcPr>
            <w:tcW w:w="1702" w:type="dxa"/>
            <w:tcBorders>
              <w:right w:val="single" w:sz="12" w:space="0" w:color="auto"/>
            </w:tcBorders>
          </w:tcPr>
          <w:p w14:paraId="6EE2B61D" w14:textId="77777777" w:rsidR="009030B5" w:rsidRPr="005D4F27" w:rsidRDefault="009030B5" w:rsidP="009030B5">
            <w:pPr>
              <w:jc w:val="center"/>
              <w:rPr>
                <w:rFonts w:eastAsia="Calibri"/>
              </w:rPr>
            </w:pPr>
            <w:r w:rsidRPr="005D4F27">
              <w:rPr>
                <w:rFonts w:eastAsia="Calibri"/>
              </w:rPr>
              <w:t>KW</w:t>
            </w:r>
          </w:p>
        </w:tc>
        <w:tc>
          <w:tcPr>
            <w:tcW w:w="1418" w:type="dxa"/>
            <w:tcBorders>
              <w:left w:val="single" w:sz="12" w:space="0" w:color="auto"/>
            </w:tcBorders>
            <w:vAlign w:val="center"/>
          </w:tcPr>
          <w:p w14:paraId="0A71734B" w14:textId="77777777" w:rsidR="009030B5" w:rsidRPr="005D4F27" w:rsidRDefault="009030B5" w:rsidP="009030B5">
            <w:pPr>
              <w:jc w:val="center"/>
              <w:rPr>
                <w:rFonts w:eastAsia="Calibri"/>
              </w:rPr>
            </w:pPr>
            <w:r w:rsidRPr="005D4F27">
              <w:rPr>
                <w:rFonts w:eastAsia="Calibri"/>
              </w:rPr>
              <w:t>-</w:t>
            </w:r>
          </w:p>
        </w:tc>
        <w:tc>
          <w:tcPr>
            <w:tcW w:w="2551" w:type="dxa"/>
            <w:vAlign w:val="center"/>
          </w:tcPr>
          <w:p w14:paraId="3D60C85B" w14:textId="77777777" w:rsidR="009030B5" w:rsidRPr="005D4F27" w:rsidRDefault="009030B5" w:rsidP="009030B5">
            <w:pPr>
              <w:jc w:val="center"/>
              <w:rPr>
                <w:rFonts w:eastAsia="Calibri"/>
              </w:rPr>
            </w:pPr>
            <w:r w:rsidRPr="005D4F27">
              <w:rPr>
                <w:rFonts w:eastAsia="Calibri"/>
              </w:rPr>
              <w:t xml:space="preserve">20 </w:t>
            </w:r>
            <w:r w:rsidRPr="005D4F27">
              <w:rPr>
                <w:rFonts w:eastAsia="Calibri"/>
                <w:vertAlign w:val="superscript"/>
              </w:rPr>
              <w:t>1)</w:t>
            </w:r>
          </w:p>
        </w:tc>
      </w:tr>
      <w:tr w:rsidR="009030B5" w:rsidRPr="005D4F27" w14:paraId="5AA6EB9A" w14:textId="77777777" w:rsidTr="009030B5">
        <w:trPr>
          <w:cantSplit/>
        </w:trPr>
        <w:tc>
          <w:tcPr>
            <w:tcW w:w="3401" w:type="dxa"/>
            <w:tcBorders>
              <w:right w:val="single" w:sz="12" w:space="0" w:color="auto"/>
            </w:tcBorders>
            <w:vAlign w:val="center"/>
          </w:tcPr>
          <w:p w14:paraId="3F7F35DB" w14:textId="77777777" w:rsidR="009030B5" w:rsidRPr="005D4F27" w:rsidRDefault="009030B5" w:rsidP="009030B5">
            <w:pPr>
              <w:tabs>
                <w:tab w:val="left" w:pos="709"/>
                <w:tab w:val="left" w:pos="880"/>
                <w:tab w:val="decimal" w:pos="1184"/>
              </w:tabs>
              <w:ind w:left="57"/>
              <w:rPr>
                <w:rFonts w:eastAsia="Calibri"/>
              </w:rPr>
            </w:pPr>
            <w:r w:rsidRPr="005D4F27">
              <w:rPr>
                <w:rFonts w:eastAsia="Calibri"/>
              </w:rPr>
              <w:t>Kupfer</w:t>
            </w:r>
          </w:p>
        </w:tc>
        <w:tc>
          <w:tcPr>
            <w:tcW w:w="1702" w:type="dxa"/>
            <w:tcBorders>
              <w:right w:val="single" w:sz="12" w:space="0" w:color="auto"/>
            </w:tcBorders>
          </w:tcPr>
          <w:p w14:paraId="0E41E73B" w14:textId="77777777" w:rsidR="009030B5" w:rsidRPr="005D4F27" w:rsidRDefault="009030B5" w:rsidP="009030B5">
            <w:pPr>
              <w:jc w:val="center"/>
              <w:rPr>
                <w:rFonts w:eastAsia="Calibri"/>
              </w:rPr>
            </w:pPr>
            <w:r w:rsidRPr="005D4F27">
              <w:rPr>
                <w:rFonts w:eastAsia="Calibri"/>
              </w:rPr>
              <w:t>KW</w:t>
            </w:r>
          </w:p>
        </w:tc>
        <w:tc>
          <w:tcPr>
            <w:tcW w:w="1418" w:type="dxa"/>
            <w:tcBorders>
              <w:left w:val="single" w:sz="12" w:space="0" w:color="auto"/>
            </w:tcBorders>
            <w:vAlign w:val="center"/>
          </w:tcPr>
          <w:p w14:paraId="11507FA7" w14:textId="77777777" w:rsidR="009030B5" w:rsidRPr="005D4F27" w:rsidRDefault="009030B5" w:rsidP="009030B5">
            <w:pPr>
              <w:jc w:val="center"/>
              <w:rPr>
                <w:rFonts w:eastAsia="Calibri"/>
              </w:rPr>
            </w:pPr>
            <w:r w:rsidRPr="005D4F27">
              <w:rPr>
                <w:rFonts w:eastAsia="Calibri"/>
              </w:rPr>
              <w:t>-</w:t>
            </w:r>
          </w:p>
        </w:tc>
        <w:tc>
          <w:tcPr>
            <w:tcW w:w="2551" w:type="dxa"/>
            <w:vAlign w:val="center"/>
          </w:tcPr>
          <w:p w14:paraId="583DEC81" w14:textId="77777777" w:rsidR="009030B5" w:rsidRPr="005D4F27" w:rsidRDefault="009030B5" w:rsidP="009030B5">
            <w:pPr>
              <w:jc w:val="center"/>
              <w:rPr>
                <w:rFonts w:eastAsia="Calibri"/>
              </w:rPr>
            </w:pPr>
            <w:r w:rsidRPr="005D4F27">
              <w:rPr>
                <w:rFonts w:eastAsia="Calibri"/>
              </w:rPr>
              <w:t xml:space="preserve">1 300 </w:t>
            </w:r>
            <w:r w:rsidRPr="005D4F27">
              <w:rPr>
                <w:rFonts w:eastAsia="Calibri"/>
                <w:vertAlign w:val="superscript"/>
              </w:rPr>
              <w:t>2)</w:t>
            </w:r>
          </w:p>
        </w:tc>
      </w:tr>
      <w:tr w:rsidR="009030B5" w:rsidRPr="005D4F27" w14:paraId="7D629085" w14:textId="77777777" w:rsidTr="009030B5">
        <w:trPr>
          <w:cantSplit/>
        </w:trPr>
        <w:tc>
          <w:tcPr>
            <w:tcW w:w="3401" w:type="dxa"/>
            <w:tcBorders>
              <w:right w:val="single" w:sz="12" w:space="0" w:color="auto"/>
            </w:tcBorders>
            <w:vAlign w:val="center"/>
          </w:tcPr>
          <w:p w14:paraId="50A94B83" w14:textId="77777777" w:rsidR="009030B5" w:rsidRPr="005D4F27" w:rsidRDefault="009030B5" w:rsidP="009030B5">
            <w:pPr>
              <w:tabs>
                <w:tab w:val="left" w:pos="709"/>
                <w:tab w:val="left" w:pos="880"/>
                <w:tab w:val="decimal" w:pos="1184"/>
              </w:tabs>
              <w:ind w:left="57"/>
              <w:rPr>
                <w:rFonts w:eastAsia="Calibri"/>
              </w:rPr>
            </w:pPr>
            <w:r w:rsidRPr="005D4F27">
              <w:rPr>
                <w:rFonts w:eastAsia="Calibri"/>
              </w:rPr>
              <w:t>Nickel</w:t>
            </w:r>
          </w:p>
        </w:tc>
        <w:tc>
          <w:tcPr>
            <w:tcW w:w="1702" w:type="dxa"/>
            <w:tcBorders>
              <w:right w:val="single" w:sz="12" w:space="0" w:color="auto"/>
            </w:tcBorders>
          </w:tcPr>
          <w:p w14:paraId="09C2AEE5" w14:textId="77777777" w:rsidR="009030B5" w:rsidRPr="005D4F27" w:rsidRDefault="009030B5" w:rsidP="009030B5">
            <w:pPr>
              <w:jc w:val="center"/>
              <w:rPr>
                <w:rFonts w:eastAsia="Calibri"/>
              </w:rPr>
            </w:pPr>
            <w:r w:rsidRPr="005D4F27">
              <w:rPr>
                <w:rFonts w:eastAsia="Calibri"/>
              </w:rPr>
              <w:t>KW</w:t>
            </w:r>
          </w:p>
        </w:tc>
        <w:tc>
          <w:tcPr>
            <w:tcW w:w="1418" w:type="dxa"/>
            <w:tcBorders>
              <w:left w:val="single" w:sz="12" w:space="0" w:color="auto"/>
            </w:tcBorders>
            <w:vAlign w:val="center"/>
          </w:tcPr>
          <w:p w14:paraId="0CBC338D" w14:textId="77777777" w:rsidR="009030B5" w:rsidRPr="005D4F27" w:rsidRDefault="009030B5" w:rsidP="009030B5">
            <w:pPr>
              <w:jc w:val="center"/>
              <w:rPr>
                <w:rFonts w:eastAsia="Calibri"/>
              </w:rPr>
            </w:pPr>
            <w:r w:rsidRPr="005D4F27">
              <w:rPr>
                <w:rFonts w:eastAsia="Calibri"/>
              </w:rPr>
              <w:t>-</w:t>
            </w:r>
          </w:p>
        </w:tc>
        <w:tc>
          <w:tcPr>
            <w:tcW w:w="2551" w:type="dxa"/>
            <w:vAlign w:val="center"/>
          </w:tcPr>
          <w:p w14:paraId="2B127015" w14:textId="77777777" w:rsidR="009030B5" w:rsidRPr="005D4F27" w:rsidRDefault="009030B5" w:rsidP="009030B5">
            <w:pPr>
              <w:jc w:val="center"/>
              <w:rPr>
                <w:rFonts w:eastAsia="Calibri"/>
              </w:rPr>
            </w:pPr>
            <w:r w:rsidRPr="005D4F27">
              <w:rPr>
                <w:rFonts w:eastAsia="Calibri"/>
              </w:rPr>
              <w:t>1 900</w:t>
            </w:r>
          </w:p>
        </w:tc>
      </w:tr>
      <w:tr w:rsidR="009030B5" w:rsidRPr="005D4F27" w14:paraId="5C76E6F1" w14:textId="77777777" w:rsidTr="009030B5">
        <w:trPr>
          <w:cantSplit/>
        </w:trPr>
        <w:tc>
          <w:tcPr>
            <w:tcW w:w="3401" w:type="dxa"/>
            <w:tcBorders>
              <w:right w:val="single" w:sz="12" w:space="0" w:color="auto"/>
            </w:tcBorders>
            <w:vAlign w:val="center"/>
          </w:tcPr>
          <w:p w14:paraId="494F35AD" w14:textId="77777777" w:rsidR="009030B5" w:rsidRPr="005D4F27" w:rsidRDefault="009030B5" w:rsidP="009030B5">
            <w:pPr>
              <w:tabs>
                <w:tab w:val="left" w:pos="709"/>
                <w:tab w:val="left" w:pos="880"/>
                <w:tab w:val="decimal" w:pos="1184"/>
              </w:tabs>
              <w:ind w:left="57"/>
              <w:rPr>
                <w:rFonts w:eastAsia="Calibri"/>
              </w:rPr>
            </w:pPr>
            <w:r w:rsidRPr="005D4F27">
              <w:rPr>
                <w:rFonts w:eastAsia="Calibri"/>
              </w:rPr>
              <w:t>Quecksilber</w:t>
            </w:r>
          </w:p>
        </w:tc>
        <w:tc>
          <w:tcPr>
            <w:tcW w:w="1702" w:type="dxa"/>
            <w:tcBorders>
              <w:right w:val="single" w:sz="12" w:space="0" w:color="auto"/>
            </w:tcBorders>
          </w:tcPr>
          <w:p w14:paraId="7ECB1552" w14:textId="77777777" w:rsidR="009030B5" w:rsidRPr="005D4F27" w:rsidRDefault="009030B5" w:rsidP="009030B5">
            <w:pPr>
              <w:jc w:val="center"/>
              <w:rPr>
                <w:rFonts w:eastAsia="Calibri"/>
              </w:rPr>
            </w:pPr>
            <w:r w:rsidRPr="005D4F27">
              <w:rPr>
                <w:rFonts w:eastAsia="Calibri"/>
              </w:rPr>
              <w:t>KW</w:t>
            </w:r>
          </w:p>
        </w:tc>
        <w:tc>
          <w:tcPr>
            <w:tcW w:w="1418" w:type="dxa"/>
            <w:tcBorders>
              <w:left w:val="single" w:sz="12" w:space="0" w:color="auto"/>
            </w:tcBorders>
            <w:vAlign w:val="center"/>
          </w:tcPr>
          <w:p w14:paraId="4FFDE512" w14:textId="77777777" w:rsidR="009030B5" w:rsidRPr="005D4F27" w:rsidRDefault="009030B5" w:rsidP="009030B5">
            <w:pPr>
              <w:jc w:val="center"/>
              <w:rPr>
                <w:rFonts w:eastAsia="Calibri"/>
              </w:rPr>
            </w:pPr>
            <w:r w:rsidRPr="005D4F27">
              <w:rPr>
                <w:rFonts w:eastAsia="Calibri"/>
              </w:rPr>
              <w:t>-</w:t>
            </w:r>
          </w:p>
        </w:tc>
        <w:tc>
          <w:tcPr>
            <w:tcW w:w="2551" w:type="dxa"/>
            <w:vAlign w:val="center"/>
          </w:tcPr>
          <w:p w14:paraId="5A49CE29" w14:textId="77777777" w:rsidR="009030B5" w:rsidRPr="005D4F27" w:rsidRDefault="009030B5" w:rsidP="009030B5">
            <w:pPr>
              <w:jc w:val="center"/>
              <w:rPr>
                <w:rFonts w:eastAsia="Calibri"/>
              </w:rPr>
            </w:pPr>
            <w:r w:rsidRPr="005D4F27">
              <w:rPr>
                <w:rFonts w:eastAsia="Calibri"/>
              </w:rPr>
              <w:t>2</w:t>
            </w:r>
          </w:p>
        </w:tc>
      </w:tr>
      <w:tr w:rsidR="009030B5" w:rsidRPr="005D4F27" w14:paraId="48727951" w14:textId="77777777" w:rsidTr="009030B5">
        <w:trPr>
          <w:cantSplit/>
        </w:trPr>
        <w:tc>
          <w:tcPr>
            <w:tcW w:w="3401" w:type="dxa"/>
            <w:tcBorders>
              <w:right w:val="single" w:sz="12" w:space="0" w:color="auto"/>
            </w:tcBorders>
            <w:vAlign w:val="center"/>
          </w:tcPr>
          <w:p w14:paraId="5886828B" w14:textId="77777777" w:rsidR="009030B5" w:rsidRPr="005D4F27" w:rsidRDefault="009030B5" w:rsidP="009030B5">
            <w:pPr>
              <w:tabs>
                <w:tab w:val="left" w:pos="709"/>
                <w:tab w:val="left" w:pos="880"/>
                <w:tab w:val="decimal" w:pos="1184"/>
              </w:tabs>
              <w:ind w:left="57"/>
              <w:rPr>
                <w:rFonts w:eastAsia="Calibri"/>
              </w:rPr>
            </w:pPr>
            <w:r w:rsidRPr="005D4F27">
              <w:rPr>
                <w:rFonts w:eastAsia="Calibri"/>
              </w:rPr>
              <w:t>Thallium</w:t>
            </w:r>
          </w:p>
        </w:tc>
        <w:tc>
          <w:tcPr>
            <w:tcW w:w="1702" w:type="dxa"/>
            <w:tcBorders>
              <w:right w:val="single" w:sz="12" w:space="0" w:color="auto"/>
            </w:tcBorders>
          </w:tcPr>
          <w:p w14:paraId="3B4AE3EA" w14:textId="77777777" w:rsidR="009030B5" w:rsidRPr="005D4F27" w:rsidRDefault="009030B5" w:rsidP="009030B5">
            <w:pPr>
              <w:jc w:val="center"/>
              <w:rPr>
                <w:rFonts w:eastAsia="Calibri"/>
              </w:rPr>
            </w:pPr>
            <w:r w:rsidRPr="005D4F27">
              <w:rPr>
                <w:rFonts w:eastAsia="Calibri"/>
              </w:rPr>
              <w:t>KW</w:t>
            </w:r>
          </w:p>
        </w:tc>
        <w:tc>
          <w:tcPr>
            <w:tcW w:w="1418" w:type="dxa"/>
            <w:tcBorders>
              <w:left w:val="single" w:sz="12" w:space="0" w:color="auto"/>
            </w:tcBorders>
            <w:vAlign w:val="center"/>
          </w:tcPr>
          <w:p w14:paraId="4316648B" w14:textId="77777777" w:rsidR="009030B5" w:rsidRPr="005D4F27" w:rsidRDefault="009030B5" w:rsidP="009030B5">
            <w:pPr>
              <w:jc w:val="center"/>
              <w:rPr>
                <w:rFonts w:eastAsia="Calibri"/>
              </w:rPr>
            </w:pPr>
            <w:r w:rsidRPr="005D4F27">
              <w:rPr>
                <w:rFonts w:eastAsia="Calibri"/>
              </w:rPr>
              <w:t>-</w:t>
            </w:r>
          </w:p>
        </w:tc>
        <w:tc>
          <w:tcPr>
            <w:tcW w:w="2551" w:type="dxa"/>
            <w:vAlign w:val="center"/>
          </w:tcPr>
          <w:p w14:paraId="4D1C0ED9" w14:textId="77777777" w:rsidR="009030B5" w:rsidRPr="005D4F27" w:rsidRDefault="009030B5" w:rsidP="009030B5">
            <w:pPr>
              <w:jc w:val="center"/>
              <w:rPr>
                <w:rFonts w:eastAsia="Calibri"/>
              </w:rPr>
            </w:pPr>
            <w:r w:rsidRPr="005D4F27">
              <w:rPr>
                <w:rFonts w:eastAsia="Calibri"/>
              </w:rPr>
              <w:t>15</w:t>
            </w:r>
          </w:p>
        </w:tc>
      </w:tr>
      <w:tr w:rsidR="009030B5" w:rsidRPr="005D4F27" w14:paraId="7EAC7C6F" w14:textId="77777777" w:rsidTr="009030B5">
        <w:trPr>
          <w:cantSplit/>
        </w:trPr>
        <w:tc>
          <w:tcPr>
            <w:tcW w:w="3401" w:type="dxa"/>
            <w:tcBorders>
              <w:right w:val="single" w:sz="12" w:space="0" w:color="auto"/>
            </w:tcBorders>
            <w:vAlign w:val="center"/>
          </w:tcPr>
          <w:p w14:paraId="6AA4F423" w14:textId="77777777" w:rsidR="009030B5" w:rsidRPr="005D4F27" w:rsidRDefault="009030B5" w:rsidP="009030B5">
            <w:pPr>
              <w:tabs>
                <w:tab w:val="left" w:pos="709"/>
                <w:tab w:val="left" w:pos="880"/>
                <w:tab w:val="decimal" w:pos="1184"/>
              </w:tabs>
              <w:ind w:left="57"/>
              <w:rPr>
                <w:rFonts w:eastAsia="Calibri"/>
              </w:rPr>
            </w:pPr>
            <w:r w:rsidRPr="005D4F27">
              <w:rPr>
                <w:rFonts w:eastAsia="Calibri"/>
              </w:rPr>
              <w:t xml:space="preserve">Hexachlorbenzol </w:t>
            </w:r>
          </w:p>
        </w:tc>
        <w:tc>
          <w:tcPr>
            <w:tcW w:w="1702" w:type="dxa"/>
            <w:tcBorders>
              <w:right w:val="single" w:sz="12" w:space="0" w:color="auto"/>
            </w:tcBorders>
          </w:tcPr>
          <w:p w14:paraId="5536C924" w14:textId="77777777" w:rsidR="009030B5" w:rsidRPr="005D4F27" w:rsidRDefault="009030B5" w:rsidP="009030B5">
            <w:pPr>
              <w:jc w:val="center"/>
              <w:rPr>
                <w:rFonts w:eastAsia="Calibri"/>
              </w:rPr>
            </w:pPr>
            <w:r w:rsidRPr="005D4F27">
              <w:rPr>
                <w:rFonts w:eastAsia="Calibri"/>
              </w:rPr>
              <w:t>siehe Anlage 3 Tabelle 5</w:t>
            </w:r>
          </w:p>
        </w:tc>
        <w:tc>
          <w:tcPr>
            <w:tcW w:w="1418" w:type="dxa"/>
            <w:tcBorders>
              <w:left w:val="single" w:sz="12" w:space="0" w:color="auto"/>
            </w:tcBorders>
            <w:vAlign w:val="center"/>
          </w:tcPr>
          <w:p w14:paraId="31CF4F88" w14:textId="77777777" w:rsidR="009030B5" w:rsidRPr="005D4F27" w:rsidRDefault="009030B5" w:rsidP="009030B5">
            <w:pPr>
              <w:jc w:val="center"/>
              <w:rPr>
                <w:rFonts w:eastAsia="Calibri"/>
              </w:rPr>
            </w:pPr>
            <w:r w:rsidRPr="005D4F27">
              <w:rPr>
                <w:rFonts w:eastAsia="Calibri"/>
              </w:rPr>
              <w:t>0,5</w:t>
            </w:r>
          </w:p>
        </w:tc>
        <w:tc>
          <w:tcPr>
            <w:tcW w:w="2551" w:type="dxa"/>
            <w:vAlign w:val="center"/>
          </w:tcPr>
          <w:p w14:paraId="792AEBFF" w14:textId="77777777" w:rsidR="009030B5" w:rsidRPr="005D4F27" w:rsidRDefault="009030B5" w:rsidP="009030B5">
            <w:pPr>
              <w:jc w:val="center"/>
              <w:rPr>
                <w:rFonts w:eastAsia="Calibri"/>
              </w:rPr>
            </w:pPr>
            <w:r w:rsidRPr="005D4F27">
              <w:rPr>
                <w:rFonts w:eastAsia="Calibri"/>
              </w:rPr>
              <w:t>-</w:t>
            </w:r>
          </w:p>
        </w:tc>
      </w:tr>
      <w:tr w:rsidR="009030B5" w:rsidRPr="005D4F27" w14:paraId="743047F7" w14:textId="77777777" w:rsidTr="009030B5">
        <w:trPr>
          <w:cantSplit/>
        </w:trPr>
        <w:tc>
          <w:tcPr>
            <w:tcW w:w="3401" w:type="dxa"/>
            <w:tcBorders>
              <w:right w:val="single" w:sz="12" w:space="0" w:color="auto"/>
            </w:tcBorders>
            <w:vAlign w:val="center"/>
          </w:tcPr>
          <w:p w14:paraId="3A2EB69F" w14:textId="77777777" w:rsidR="009030B5" w:rsidRPr="005D4F27" w:rsidRDefault="009030B5" w:rsidP="009030B5">
            <w:pPr>
              <w:tabs>
                <w:tab w:val="left" w:pos="709"/>
                <w:tab w:val="left" w:pos="880"/>
                <w:tab w:val="decimal" w:pos="1184"/>
              </w:tabs>
              <w:ind w:left="57"/>
              <w:rPr>
                <w:rFonts w:eastAsia="Calibri"/>
              </w:rPr>
            </w:pPr>
            <w:proofErr w:type="spellStart"/>
            <w:r w:rsidRPr="005D4F27">
              <w:rPr>
                <w:rFonts w:eastAsia="Calibri"/>
              </w:rPr>
              <w:t>Hexachlorcyclohexan</w:t>
            </w:r>
            <w:proofErr w:type="spellEnd"/>
            <w:r w:rsidRPr="005D4F27">
              <w:rPr>
                <w:rFonts w:eastAsia="Calibri"/>
              </w:rPr>
              <w:t>, gesamt</w:t>
            </w:r>
          </w:p>
        </w:tc>
        <w:tc>
          <w:tcPr>
            <w:tcW w:w="1702" w:type="dxa"/>
            <w:tcBorders>
              <w:right w:val="single" w:sz="12" w:space="0" w:color="auto"/>
            </w:tcBorders>
          </w:tcPr>
          <w:p w14:paraId="2D20B4D3" w14:textId="77777777" w:rsidR="009030B5" w:rsidRPr="005D4F27" w:rsidRDefault="009030B5" w:rsidP="009030B5">
            <w:pPr>
              <w:jc w:val="center"/>
              <w:rPr>
                <w:rFonts w:eastAsia="Calibri"/>
              </w:rPr>
            </w:pPr>
            <w:r w:rsidRPr="005D4F27">
              <w:rPr>
                <w:rFonts w:eastAsia="Calibri"/>
              </w:rPr>
              <w:t>siehe Anlage 3 Tabelle 5</w:t>
            </w:r>
          </w:p>
        </w:tc>
        <w:tc>
          <w:tcPr>
            <w:tcW w:w="1418" w:type="dxa"/>
            <w:tcBorders>
              <w:left w:val="single" w:sz="12" w:space="0" w:color="auto"/>
            </w:tcBorders>
            <w:vAlign w:val="center"/>
          </w:tcPr>
          <w:p w14:paraId="5AC5CBEE" w14:textId="77777777" w:rsidR="009030B5" w:rsidRPr="005D4F27" w:rsidRDefault="009030B5" w:rsidP="009030B5">
            <w:pPr>
              <w:jc w:val="center"/>
              <w:rPr>
                <w:rFonts w:eastAsia="Calibri"/>
              </w:rPr>
            </w:pPr>
            <w:r w:rsidRPr="005D4F27">
              <w:rPr>
                <w:rFonts w:eastAsia="Calibri"/>
              </w:rPr>
              <w:t>0,05</w:t>
            </w:r>
          </w:p>
        </w:tc>
        <w:tc>
          <w:tcPr>
            <w:tcW w:w="2551" w:type="dxa"/>
            <w:vAlign w:val="center"/>
          </w:tcPr>
          <w:p w14:paraId="712D5C06" w14:textId="77777777" w:rsidR="009030B5" w:rsidRPr="005D4F27" w:rsidRDefault="009030B5" w:rsidP="009030B5">
            <w:pPr>
              <w:jc w:val="center"/>
              <w:rPr>
                <w:rFonts w:eastAsia="Calibri"/>
              </w:rPr>
            </w:pPr>
            <w:r w:rsidRPr="005D4F27">
              <w:rPr>
                <w:rFonts w:eastAsia="Calibri"/>
              </w:rPr>
              <w:t>-</w:t>
            </w:r>
          </w:p>
        </w:tc>
      </w:tr>
      <w:tr w:rsidR="009030B5" w:rsidRPr="005D4F27" w14:paraId="6D4097D4" w14:textId="77777777" w:rsidTr="009030B5">
        <w:trPr>
          <w:cantSplit/>
        </w:trPr>
        <w:tc>
          <w:tcPr>
            <w:tcW w:w="3401" w:type="dxa"/>
            <w:tcBorders>
              <w:bottom w:val="single" w:sz="12" w:space="0" w:color="auto"/>
              <w:right w:val="single" w:sz="12" w:space="0" w:color="auto"/>
            </w:tcBorders>
            <w:vAlign w:val="center"/>
          </w:tcPr>
          <w:p w14:paraId="7B45BD3F" w14:textId="77777777" w:rsidR="009030B5" w:rsidRPr="005D4F27" w:rsidRDefault="009030B5" w:rsidP="009030B5">
            <w:pPr>
              <w:tabs>
                <w:tab w:val="left" w:pos="709"/>
                <w:tab w:val="left" w:pos="880"/>
                <w:tab w:val="decimal" w:pos="1184"/>
              </w:tabs>
              <w:ind w:left="57"/>
              <w:rPr>
                <w:rFonts w:eastAsia="Calibri"/>
              </w:rPr>
            </w:pPr>
            <w:r w:rsidRPr="005D4F27">
              <w:rPr>
                <w:rFonts w:eastAsia="Calibri"/>
              </w:rPr>
              <w:t>PCB</w:t>
            </w:r>
            <w:r w:rsidRPr="005D4F27">
              <w:rPr>
                <w:rFonts w:eastAsia="Calibri"/>
                <w:vertAlign w:val="subscript"/>
              </w:rPr>
              <w:t>6</w:t>
            </w:r>
          </w:p>
        </w:tc>
        <w:tc>
          <w:tcPr>
            <w:tcW w:w="1702" w:type="dxa"/>
            <w:tcBorders>
              <w:bottom w:val="single" w:sz="12" w:space="0" w:color="auto"/>
              <w:right w:val="single" w:sz="12" w:space="0" w:color="auto"/>
            </w:tcBorders>
          </w:tcPr>
          <w:p w14:paraId="3D7A1718" w14:textId="77777777" w:rsidR="009030B5" w:rsidRPr="005D4F27" w:rsidRDefault="009030B5" w:rsidP="009030B5">
            <w:pPr>
              <w:jc w:val="center"/>
              <w:rPr>
                <w:rFonts w:eastAsia="Calibri"/>
              </w:rPr>
            </w:pPr>
            <w:r w:rsidRPr="005D4F27">
              <w:rPr>
                <w:rFonts w:eastAsia="Calibri"/>
              </w:rPr>
              <w:t>siehe Anlage 3 Tabelle 5</w:t>
            </w:r>
          </w:p>
        </w:tc>
        <w:tc>
          <w:tcPr>
            <w:tcW w:w="1418" w:type="dxa"/>
            <w:tcBorders>
              <w:left w:val="single" w:sz="12" w:space="0" w:color="auto"/>
              <w:bottom w:val="single" w:sz="12" w:space="0" w:color="auto"/>
            </w:tcBorders>
            <w:vAlign w:val="center"/>
          </w:tcPr>
          <w:p w14:paraId="0FD4BB47" w14:textId="77777777" w:rsidR="009030B5" w:rsidRPr="005D4F27" w:rsidRDefault="009030B5" w:rsidP="009030B5">
            <w:pPr>
              <w:jc w:val="center"/>
              <w:rPr>
                <w:rFonts w:eastAsia="Calibri"/>
              </w:rPr>
            </w:pPr>
            <w:r w:rsidRPr="005D4F27">
              <w:rPr>
                <w:rFonts w:eastAsia="Calibri"/>
              </w:rPr>
              <w:t>-</w:t>
            </w:r>
          </w:p>
        </w:tc>
        <w:tc>
          <w:tcPr>
            <w:tcW w:w="2551" w:type="dxa"/>
            <w:tcBorders>
              <w:bottom w:val="single" w:sz="12" w:space="0" w:color="auto"/>
            </w:tcBorders>
            <w:vAlign w:val="center"/>
          </w:tcPr>
          <w:p w14:paraId="6F21582D" w14:textId="77777777" w:rsidR="009030B5" w:rsidRPr="005D4F27" w:rsidRDefault="009030B5" w:rsidP="009030B5">
            <w:pPr>
              <w:jc w:val="center"/>
              <w:rPr>
                <w:rFonts w:eastAsia="Calibri"/>
              </w:rPr>
            </w:pPr>
            <w:r w:rsidRPr="005D4F27">
              <w:rPr>
                <w:rFonts w:eastAsia="Calibri"/>
              </w:rPr>
              <w:t>0,2</w:t>
            </w:r>
          </w:p>
        </w:tc>
      </w:tr>
      <w:tr w:rsidR="009030B5" w:rsidRPr="005D4F27" w14:paraId="7FB5DF9D" w14:textId="77777777" w:rsidTr="009030B5">
        <w:trPr>
          <w:cantSplit/>
        </w:trPr>
        <w:tc>
          <w:tcPr>
            <w:tcW w:w="3401" w:type="dxa"/>
            <w:tcBorders>
              <w:top w:val="single" w:sz="12" w:space="0" w:color="auto"/>
              <w:bottom w:val="single" w:sz="12" w:space="0" w:color="auto"/>
              <w:right w:val="single" w:sz="12" w:space="0" w:color="auto"/>
            </w:tcBorders>
            <w:vAlign w:val="center"/>
          </w:tcPr>
          <w:p w14:paraId="620D85FE" w14:textId="77777777" w:rsidR="009030B5" w:rsidRPr="005D4F27" w:rsidRDefault="009030B5" w:rsidP="009030B5">
            <w:pPr>
              <w:tabs>
                <w:tab w:val="left" w:pos="709"/>
                <w:tab w:val="left" w:pos="880"/>
                <w:tab w:val="decimal" w:pos="1184"/>
              </w:tabs>
              <w:ind w:left="57"/>
              <w:rPr>
                <w:rFonts w:eastAsia="Calibri"/>
              </w:rPr>
            </w:pPr>
          </w:p>
        </w:tc>
        <w:tc>
          <w:tcPr>
            <w:tcW w:w="1702" w:type="dxa"/>
            <w:tcBorders>
              <w:top w:val="single" w:sz="12" w:space="0" w:color="auto"/>
              <w:bottom w:val="single" w:sz="12" w:space="0" w:color="auto"/>
              <w:right w:val="single" w:sz="12" w:space="0" w:color="auto"/>
            </w:tcBorders>
          </w:tcPr>
          <w:p w14:paraId="3BDA435B" w14:textId="77777777" w:rsidR="009030B5" w:rsidRPr="005D4F27" w:rsidRDefault="009030B5" w:rsidP="009030B5">
            <w:pPr>
              <w:jc w:val="center"/>
              <w:rPr>
                <w:rFonts w:eastAsia="Calibri"/>
                <w:lang w:val="en-GB"/>
              </w:rPr>
            </w:pPr>
          </w:p>
        </w:tc>
        <w:tc>
          <w:tcPr>
            <w:tcW w:w="3969" w:type="dxa"/>
            <w:gridSpan w:val="2"/>
            <w:tcBorders>
              <w:top w:val="single" w:sz="12" w:space="0" w:color="auto"/>
              <w:left w:val="single" w:sz="12" w:space="0" w:color="auto"/>
              <w:bottom w:val="single" w:sz="12" w:space="0" w:color="auto"/>
            </w:tcBorders>
            <w:vAlign w:val="center"/>
          </w:tcPr>
          <w:p w14:paraId="3F56CAFB" w14:textId="77777777" w:rsidR="009030B5" w:rsidRPr="005D4F27" w:rsidRDefault="009030B5" w:rsidP="009030B5">
            <w:pPr>
              <w:jc w:val="center"/>
              <w:rPr>
                <w:rFonts w:eastAsia="Calibri"/>
                <w:lang w:val="en-GB"/>
              </w:rPr>
            </w:pPr>
            <w:r w:rsidRPr="008D26AB">
              <w:rPr>
                <w:rFonts w:eastAsia="Calibri"/>
              </w:rPr>
              <w:t>[</w:t>
            </w:r>
            <w:proofErr w:type="spellStart"/>
            <w:r w:rsidRPr="008D26AB">
              <w:rPr>
                <w:rFonts w:eastAsia="Calibri"/>
              </w:rPr>
              <w:t>ng</w:t>
            </w:r>
            <w:proofErr w:type="spellEnd"/>
            <w:r w:rsidRPr="008D26AB">
              <w:rPr>
                <w:rFonts w:eastAsia="Calibri"/>
              </w:rPr>
              <w:t> WHO-TEQ/kg TM]</w:t>
            </w:r>
          </w:p>
        </w:tc>
      </w:tr>
      <w:tr w:rsidR="009030B5" w:rsidRPr="005D4F27" w14:paraId="043051A0" w14:textId="77777777" w:rsidTr="009030B5">
        <w:trPr>
          <w:cantSplit/>
        </w:trPr>
        <w:tc>
          <w:tcPr>
            <w:tcW w:w="3401" w:type="dxa"/>
            <w:tcBorders>
              <w:top w:val="single" w:sz="12" w:space="0" w:color="auto"/>
              <w:bottom w:val="single" w:sz="12" w:space="0" w:color="auto"/>
              <w:right w:val="single" w:sz="12" w:space="0" w:color="auto"/>
            </w:tcBorders>
            <w:vAlign w:val="center"/>
          </w:tcPr>
          <w:p w14:paraId="7F508178" w14:textId="77777777" w:rsidR="009030B5" w:rsidRPr="005D4F27" w:rsidRDefault="009030B5" w:rsidP="009030B5">
            <w:pPr>
              <w:tabs>
                <w:tab w:val="left" w:pos="709"/>
                <w:tab w:val="left" w:pos="880"/>
                <w:tab w:val="decimal" w:pos="1184"/>
              </w:tabs>
              <w:ind w:left="57"/>
              <w:rPr>
                <w:rFonts w:eastAsia="Calibri"/>
              </w:rPr>
            </w:pPr>
            <w:r w:rsidRPr="005D4F27">
              <w:rPr>
                <w:rFonts w:eastAsia="Calibri"/>
                <w:lang w:val="it-IT"/>
              </w:rPr>
              <w:t xml:space="preserve">PCDD/F </w:t>
            </w:r>
            <w:r w:rsidRPr="005D4F27">
              <w:rPr>
                <w:rFonts w:eastAsia="Calibri"/>
                <w:vertAlign w:val="superscript"/>
                <w:lang w:val="it-IT"/>
              </w:rPr>
              <w:t>3)</w:t>
            </w:r>
          </w:p>
        </w:tc>
        <w:tc>
          <w:tcPr>
            <w:tcW w:w="1702" w:type="dxa"/>
            <w:tcBorders>
              <w:top w:val="single" w:sz="12" w:space="0" w:color="auto"/>
              <w:right w:val="single" w:sz="12" w:space="0" w:color="auto"/>
            </w:tcBorders>
          </w:tcPr>
          <w:p w14:paraId="4E83C71D" w14:textId="77777777" w:rsidR="009030B5" w:rsidRPr="005D4F27" w:rsidRDefault="009030B5" w:rsidP="009030B5">
            <w:pPr>
              <w:jc w:val="center"/>
              <w:rPr>
                <w:rFonts w:eastAsia="Calibri"/>
              </w:rPr>
            </w:pPr>
            <w:r w:rsidRPr="005D4F27">
              <w:rPr>
                <w:rFonts w:eastAsia="Calibri"/>
              </w:rPr>
              <w:t>siehe Anlage 3 Tabelle 5</w:t>
            </w:r>
          </w:p>
        </w:tc>
        <w:tc>
          <w:tcPr>
            <w:tcW w:w="1418" w:type="dxa"/>
            <w:tcBorders>
              <w:top w:val="single" w:sz="12" w:space="0" w:color="auto"/>
              <w:left w:val="single" w:sz="12" w:space="0" w:color="auto"/>
            </w:tcBorders>
            <w:vAlign w:val="center"/>
          </w:tcPr>
          <w:p w14:paraId="307A7A61" w14:textId="77777777" w:rsidR="009030B5" w:rsidRPr="005D4F27" w:rsidRDefault="009030B5" w:rsidP="009030B5">
            <w:pPr>
              <w:jc w:val="center"/>
              <w:rPr>
                <w:rFonts w:eastAsia="Calibri"/>
                <w:lang w:val="en-GB"/>
              </w:rPr>
            </w:pPr>
            <w:r w:rsidRPr="005D4F27">
              <w:rPr>
                <w:rFonts w:eastAsia="Calibri"/>
              </w:rPr>
              <w:t>15</w:t>
            </w:r>
          </w:p>
        </w:tc>
        <w:tc>
          <w:tcPr>
            <w:tcW w:w="2551" w:type="dxa"/>
            <w:tcBorders>
              <w:top w:val="single" w:sz="12" w:space="0" w:color="auto"/>
            </w:tcBorders>
            <w:vAlign w:val="center"/>
          </w:tcPr>
          <w:p w14:paraId="65B5A2B8" w14:textId="77777777" w:rsidR="009030B5" w:rsidRPr="005D4F27" w:rsidRDefault="009030B5" w:rsidP="009030B5">
            <w:pPr>
              <w:jc w:val="center"/>
              <w:rPr>
                <w:rFonts w:eastAsia="Calibri"/>
                <w:lang w:val="en-GB"/>
              </w:rPr>
            </w:pPr>
            <w:r w:rsidRPr="005D4F27">
              <w:rPr>
                <w:rFonts w:eastAsia="Calibri"/>
              </w:rPr>
              <w:t>-</w:t>
            </w:r>
          </w:p>
        </w:tc>
      </w:tr>
    </w:tbl>
    <w:p w14:paraId="4CB8265D" w14:textId="77777777" w:rsidR="009030B5" w:rsidRPr="005D4F27" w:rsidRDefault="009030B5" w:rsidP="009030B5">
      <w:pPr>
        <w:tabs>
          <w:tab w:val="num" w:pos="360"/>
        </w:tabs>
        <w:rPr>
          <w:rFonts w:eastAsia="Calibri"/>
          <w:sz w:val="20"/>
          <w:szCs w:val="16"/>
        </w:rPr>
      </w:pPr>
      <w:r w:rsidRPr="005D4F27">
        <w:rPr>
          <w:rFonts w:eastAsia="Calibri"/>
          <w:sz w:val="20"/>
          <w:vertAlign w:val="superscript"/>
        </w:rPr>
        <w:t>1)</w:t>
      </w:r>
      <w:r>
        <w:rPr>
          <w:rFonts w:eastAsia="Calibri"/>
          <w:sz w:val="20"/>
          <w:vertAlign w:val="superscript"/>
        </w:rPr>
        <w:t xml:space="preserve"> </w:t>
      </w:r>
      <w:r w:rsidRPr="005D4F27">
        <w:rPr>
          <w:rFonts w:eastAsia="Calibri"/>
          <w:sz w:val="20"/>
          <w:szCs w:val="16"/>
        </w:rPr>
        <w:t>Bei Flächen mit pH-Werten unter pH 5 gilt ein Maßnahmenwert von 15 mg/kg.</w:t>
      </w:r>
    </w:p>
    <w:p w14:paraId="4FA4A350" w14:textId="77777777" w:rsidR="009030B5" w:rsidRPr="005D4F27" w:rsidRDefault="009030B5" w:rsidP="009030B5">
      <w:pPr>
        <w:tabs>
          <w:tab w:val="num" w:pos="360"/>
        </w:tabs>
        <w:rPr>
          <w:rFonts w:eastAsia="Calibri"/>
          <w:sz w:val="20"/>
          <w:szCs w:val="16"/>
        </w:rPr>
      </w:pPr>
      <w:r w:rsidRPr="005D4F27">
        <w:rPr>
          <w:rFonts w:eastAsia="Calibri"/>
          <w:sz w:val="20"/>
          <w:vertAlign w:val="superscript"/>
        </w:rPr>
        <w:t>2)</w:t>
      </w:r>
      <w:r>
        <w:rPr>
          <w:rFonts w:eastAsia="Calibri"/>
          <w:sz w:val="20"/>
          <w:vertAlign w:val="superscript"/>
        </w:rPr>
        <w:t xml:space="preserve"> </w:t>
      </w:r>
      <w:r w:rsidRPr="005D4F27">
        <w:rPr>
          <w:rFonts w:eastAsia="Calibri"/>
          <w:sz w:val="20"/>
          <w:szCs w:val="16"/>
        </w:rPr>
        <w:t>Bei Grünlandnutzung durch Schafe gilt ein Maßnahmenwert von 200 mg/kg.</w:t>
      </w:r>
    </w:p>
    <w:p w14:paraId="0BDF36EB" w14:textId="77777777" w:rsidR="009030B5" w:rsidRDefault="009030B5" w:rsidP="009030B5">
      <w:pPr>
        <w:tabs>
          <w:tab w:val="num" w:pos="360"/>
        </w:tabs>
        <w:ind w:left="227" w:hanging="227"/>
      </w:pPr>
      <w:r w:rsidRPr="005D4F27">
        <w:rPr>
          <w:rFonts w:eastAsia="Calibri"/>
          <w:sz w:val="20"/>
          <w:vertAlign w:val="superscript"/>
        </w:rPr>
        <w:t>3)</w:t>
      </w:r>
      <w:r>
        <w:rPr>
          <w:rFonts w:eastAsia="Calibri"/>
          <w:sz w:val="20"/>
          <w:vertAlign w:val="superscript"/>
        </w:rPr>
        <w:t xml:space="preserve"> </w:t>
      </w:r>
      <w:r w:rsidRPr="005D4F27">
        <w:rPr>
          <w:rFonts w:eastAsia="Calibri"/>
          <w:sz w:val="20"/>
          <w:szCs w:val="16"/>
        </w:rPr>
        <w:t xml:space="preserve">Summe der Dioxine, Furane (PCDD/F): polychlorierte </w:t>
      </w:r>
      <w:proofErr w:type="spellStart"/>
      <w:r w:rsidRPr="005D4F27">
        <w:rPr>
          <w:rFonts w:eastAsia="Calibri"/>
          <w:sz w:val="20"/>
          <w:szCs w:val="16"/>
        </w:rPr>
        <w:t>Dibenzo</w:t>
      </w:r>
      <w:proofErr w:type="spellEnd"/>
      <w:r w:rsidRPr="005D4F27">
        <w:rPr>
          <w:rFonts w:eastAsia="Calibri"/>
          <w:sz w:val="20"/>
          <w:szCs w:val="16"/>
        </w:rPr>
        <w:t>-para-dioxine (PCDD) und polychlorierte Dibenzofurane (PCDF)) ausgedrückt in</w:t>
      </w:r>
      <w:r w:rsidRPr="005D4F27">
        <w:rPr>
          <w:rFonts w:eastAsia="Calibri"/>
          <w:sz w:val="20"/>
        </w:rPr>
        <w:t xml:space="preserve"> WHO-TEQ (2005).</w:t>
      </w:r>
    </w:p>
    <w:p w14:paraId="7A1A129E" w14:textId="3012FABB" w:rsidR="009030B5" w:rsidRPr="009030B5" w:rsidRDefault="009030B5" w:rsidP="009030B5">
      <w:pPr>
        <w:pStyle w:val="berschrift1"/>
      </w:pPr>
      <w:r w:rsidRPr="008D0377">
        <w:t>Tabelle 8: Prüfwerte für den Wirkungspfad Boden-Nutzpflanze auf Ackerflächen im Hinblick auf Wachstumsbeeinträchtigungen bei Kulturpflanzen</w:t>
      </w:r>
    </w:p>
    <w:tbl>
      <w:tblPr>
        <w:tblW w:w="6946" w:type="dxa"/>
        <w:tblInd w:w="157" w:type="dxa"/>
        <w:tblLayout w:type="fixed"/>
        <w:tblCellMar>
          <w:left w:w="15" w:type="dxa"/>
          <w:right w:w="15" w:type="dxa"/>
        </w:tblCellMar>
        <w:tblLook w:val="0000" w:firstRow="0" w:lastRow="0" w:firstColumn="0" w:lastColumn="0" w:noHBand="0" w:noVBand="0"/>
      </w:tblPr>
      <w:tblGrid>
        <w:gridCol w:w="1020"/>
        <w:gridCol w:w="2666"/>
        <w:gridCol w:w="3260"/>
      </w:tblGrid>
      <w:tr w:rsidR="009030B5" w:rsidRPr="005D4F27" w14:paraId="5243E8FB" w14:textId="77777777" w:rsidTr="009030B5">
        <w:trPr>
          <w:cantSplit/>
          <w:trHeight w:val="294"/>
        </w:trPr>
        <w:tc>
          <w:tcPr>
            <w:tcW w:w="1020" w:type="dxa"/>
            <w:tcBorders>
              <w:top w:val="single" w:sz="12" w:space="0" w:color="auto"/>
              <w:left w:val="single" w:sz="12" w:space="0" w:color="auto"/>
              <w:bottom w:val="single" w:sz="12" w:space="0" w:color="auto"/>
              <w:right w:val="single" w:sz="12" w:space="0" w:color="auto"/>
            </w:tcBorders>
            <w:shd w:val="pct10" w:color="auto" w:fill="auto"/>
            <w:vAlign w:val="center"/>
          </w:tcPr>
          <w:p w14:paraId="7F5E9CAC" w14:textId="77777777" w:rsidR="009030B5" w:rsidRPr="005D4F27" w:rsidRDefault="009030B5" w:rsidP="009030B5">
            <w:pPr>
              <w:ind w:left="57"/>
              <w:rPr>
                <w:rFonts w:eastAsia="Calibri"/>
                <w:b/>
              </w:rPr>
            </w:pPr>
            <w:r w:rsidRPr="005D4F27">
              <w:rPr>
                <w:rFonts w:eastAsia="Calibri"/>
                <w:b/>
              </w:rPr>
              <w:t>Stoff</w:t>
            </w:r>
          </w:p>
        </w:tc>
        <w:tc>
          <w:tcPr>
            <w:tcW w:w="2666" w:type="dxa"/>
            <w:tcBorders>
              <w:top w:val="single" w:sz="12" w:space="0" w:color="auto"/>
              <w:left w:val="single" w:sz="12" w:space="0" w:color="auto"/>
              <w:bottom w:val="single" w:sz="12" w:space="0" w:color="auto"/>
              <w:right w:val="single" w:sz="12" w:space="0" w:color="auto"/>
            </w:tcBorders>
            <w:shd w:val="pct10" w:color="auto" w:fill="auto"/>
          </w:tcPr>
          <w:p w14:paraId="6BAD7AED" w14:textId="77777777" w:rsidR="009030B5" w:rsidRPr="005D4F27" w:rsidRDefault="009030B5" w:rsidP="009030B5">
            <w:pPr>
              <w:keepNext/>
              <w:widowControl w:val="0"/>
              <w:overflowPunct w:val="0"/>
              <w:autoSpaceDE w:val="0"/>
              <w:autoSpaceDN w:val="0"/>
              <w:adjustRightInd w:val="0"/>
              <w:ind w:left="57"/>
              <w:textAlignment w:val="baseline"/>
              <w:outlineLvl w:val="4"/>
              <w:rPr>
                <w:b/>
              </w:rPr>
            </w:pPr>
            <w:r w:rsidRPr="005D4F27">
              <w:rPr>
                <w:b/>
              </w:rPr>
              <w:t>Extraktionsverfahren</w:t>
            </w:r>
          </w:p>
        </w:tc>
        <w:tc>
          <w:tcPr>
            <w:tcW w:w="3260" w:type="dxa"/>
            <w:tcBorders>
              <w:top w:val="single" w:sz="12" w:space="0" w:color="auto"/>
              <w:left w:val="single" w:sz="12" w:space="0" w:color="auto"/>
              <w:bottom w:val="single" w:sz="12" w:space="0" w:color="auto"/>
              <w:right w:val="single" w:sz="12" w:space="0" w:color="auto"/>
            </w:tcBorders>
            <w:shd w:val="pct10" w:color="auto" w:fill="auto"/>
          </w:tcPr>
          <w:p w14:paraId="7951CD75" w14:textId="77777777" w:rsidR="009030B5" w:rsidRPr="005D4F27" w:rsidRDefault="009030B5" w:rsidP="009030B5">
            <w:pPr>
              <w:keepNext/>
              <w:widowControl w:val="0"/>
              <w:overflowPunct w:val="0"/>
              <w:autoSpaceDE w:val="0"/>
              <w:autoSpaceDN w:val="0"/>
              <w:adjustRightInd w:val="0"/>
              <w:ind w:left="57"/>
              <w:textAlignment w:val="baseline"/>
              <w:outlineLvl w:val="4"/>
              <w:rPr>
                <w:b/>
              </w:rPr>
            </w:pPr>
            <w:r w:rsidRPr="005D4F27">
              <w:rPr>
                <w:b/>
              </w:rPr>
              <w:t>Prüfwert</w:t>
            </w:r>
          </w:p>
        </w:tc>
      </w:tr>
      <w:tr w:rsidR="009030B5" w:rsidRPr="005D4F27" w14:paraId="27A036E7" w14:textId="77777777" w:rsidTr="009030B5">
        <w:trPr>
          <w:cantSplit/>
          <w:trHeight w:val="294"/>
        </w:trPr>
        <w:tc>
          <w:tcPr>
            <w:tcW w:w="1020" w:type="dxa"/>
            <w:tcBorders>
              <w:top w:val="single" w:sz="12" w:space="0" w:color="auto"/>
              <w:left w:val="single" w:sz="12" w:space="0" w:color="auto"/>
              <w:bottom w:val="single" w:sz="12" w:space="0" w:color="auto"/>
              <w:right w:val="single" w:sz="12" w:space="0" w:color="auto"/>
            </w:tcBorders>
            <w:shd w:val="clear" w:color="auto" w:fill="auto"/>
            <w:vAlign w:val="center"/>
          </w:tcPr>
          <w:p w14:paraId="124DB92E" w14:textId="77777777" w:rsidR="009030B5" w:rsidRPr="005D4F27" w:rsidRDefault="009030B5" w:rsidP="009030B5">
            <w:pPr>
              <w:ind w:left="57"/>
              <w:rPr>
                <w:rFonts w:eastAsia="Calibri"/>
              </w:rPr>
            </w:pPr>
          </w:p>
        </w:tc>
        <w:tc>
          <w:tcPr>
            <w:tcW w:w="2666" w:type="dxa"/>
            <w:tcBorders>
              <w:top w:val="single" w:sz="12" w:space="0" w:color="auto"/>
              <w:left w:val="single" w:sz="12" w:space="0" w:color="auto"/>
              <w:bottom w:val="single" w:sz="12" w:space="0" w:color="auto"/>
              <w:right w:val="single" w:sz="12" w:space="0" w:color="auto"/>
            </w:tcBorders>
          </w:tcPr>
          <w:p w14:paraId="4AC5E4F0" w14:textId="77777777" w:rsidR="009030B5" w:rsidRPr="005D4F27" w:rsidRDefault="009030B5" w:rsidP="009030B5">
            <w:pPr>
              <w:keepNext/>
              <w:widowControl w:val="0"/>
              <w:overflowPunct w:val="0"/>
              <w:autoSpaceDE w:val="0"/>
              <w:autoSpaceDN w:val="0"/>
              <w:adjustRightInd w:val="0"/>
              <w:ind w:left="57"/>
              <w:textAlignment w:val="baseline"/>
              <w:outlineLvl w:val="4"/>
            </w:pP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24ECB31D" w14:textId="77777777" w:rsidR="009030B5" w:rsidRPr="005D4F27" w:rsidRDefault="009030B5" w:rsidP="009030B5">
            <w:pPr>
              <w:keepNext/>
              <w:widowControl w:val="0"/>
              <w:overflowPunct w:val="0"/>
              <w:autoSpaceDE w:val="0"/>
              <w:autoSpaceDN w:val="0"/>
              <w:adjustRightInd w:val="0"/>
              <w:ind w:left="57"/>
              <w:textAlignment w:val="baseline"/>
              <w:outlineLvl w:val="4"/>
            </w:pPr>
            <w:r w:rsidRPr="008D26AB">
              <w:t>[mg/kg TM]</w:t>
            </w:r>
          </w:p>
        </w:tc>
      </w:tr>
      <w:tr w:rsidR="009030B5" w:rsidRPr="005D4F27" w14:paraId="727D02E5" w14:textId="77777777" w:rsidTr="009030B5">
        <w:trPr>
          <w:cantSplit/>
          <w:trHeight w:val="294"/>
        </w:trPr>
        <w:tc>
          <w:tcPr>
            <w:tcW w:w="1020" w:type="dxa"/>
            <w:tcBorders>
              <w:top w:val="single" w:sz="12" w:space="0" w:color="auto"/>
              <w:left w:val="single" w:sz="12" w:space="0" w:color="auto"/>
              <w:bottom w:val="single" w:sz="6" w:space="0" w:color="auto"/>
              <w:right w:val="single" w:sz="12" w:space="0" w:color="auto"/>
            </w:tcBorders>
          </w:tcPr>
          <w:p w14:paraId="48670DD0" w14:textId="77777777" w:rsidR="009030B5" w:rsidRPr="005D4F27" w:rsidRDefault="009030B5" w:rsidP="009030B5">
            <w:pPr>
              <w:ind w:left="57"/>
              <w:rPr>
                <w:rFonts w:eastAsia="Calibri"/>
              </w:rPr>
            </w:pPr>
            <w:r w:rsidRPr="005D4F27">
              <w:rPr>
                <w:rFonts w:eastAsia="Calibri"/>
              </w:rPr>
              <w:t>Arsen</w:t>
            </w:r>
          </w:p>
        </w:tc>
        <w:tc>
          <w:tcPr>
            <w:tcW w:w="2666" w:type="dxa"/>
            <w:tcBorders>
              <w:top w:val="single" w:sz="12" w:space="0" w:color="auto"/>
              <w:left w:val="single" w:sz="12" w:space="0" w:color="auto"/>
              <w:bottom w:val="single" w:sz="6" w:space="0" w:color="auto"/>
              <w:right w:val="single" w:sz="12" w:space="0" w:color="auto"/>
            </w:tcBorders>
          </w:tcPr>
          <w:p w14:paraId="3489D2DC" w14:textId="77777777" w:rsidR="009030B5" w:rsidRPr="005D4F27" w:rsidRDefault="009030B5" w:rsidP="009030B5">
            <w:pPr>
              <w:ind w:left="57"/>
              <w:jc w:val="center"/>
              <w:rPr>
                <w:rFonts w:eastAsia="Calibri"/>
              </w:rPr>
            </w:pPr>
            <w:r w:rsidRPr="005D4F27">
              <w:rPr>
                <w:rFonts w:eastAsia="Calibri"/>
              </w:rPr>
              <w:t>AN</w:t>
            </w:r>
          </w:p>
        </w:tc>
        <w:tc>
          <w:tcPr>
            <w:tcW w:w="3260" w:type="dxa"/>
            <w:tcBorders>
              <w:top w:val="single" w:sz="12" w:space="0" w:color="auto"/>
              <w:left w:val="single" w:sz="12" w:space="0" w:color="auto"/>
              <w:bottom w:val="single" w:sz="6" w:space="0" w:color="auto"/>
              <w:right w:val="single" w:sz="12" w:space="0" w:color="auto"/>
            </w:tcBorders>
          </w:tcPr>
          <w:p w14:paraId="266B03C9" w14:textId="77777777" w:rsidR="009030B5" w:rsidRPr="005D4F27" w:rsidRDefault="009030B5" w:rsidP="009030B5">
            <w:pPr>
              <w:ind w:left="57"/>
              <w:jc w:val="center"/>
              <w:rPr>
                <w:rFonts w:eastAsia="Calibri"/>
              </w:rPr>
            </w:pPr>
            <w:r w:rsidRPr="005D4F27">
              <w:rPr>
                <w:rFonts w:eastAsia="Calibri"/>
              </w:rPr>
              <w:t>0,4</w:t>
            </w:r>
          </w:p>
        </w:tc>
      </w:tr>
      <w:tr w:rsidR="009030B5" w:rsidRPr="005D4F27" w14:paraId="66E4A45C" w14:textId="77777777" w:rsidTr="009030B5">
        <w:trPr>
          <w:cantSplit/>
          <w:trHeight w:val="294"/>
        </w:trPr>
        <w:tc>
          <w:tcPr>
            <w:tcW w:w="1020" w:type="dxa"/>
            <w:tcBorders>
              <w:top w:val="single" w:sz="6" w:space="0" w:color="auto"/>
              <w:left w:val="single" w:sz="12" w:space="0" w:color="auto"/>
              <w:bottom w:val="single" w:sz="6" w:space="0" w:color="auto"/>
              <w:right w:val="single" w:sz="12" w:space="0" w:color="auto"/>
            </w:tcBorders>
          </w:tcPr>
          <w:p w14:paraId="40E4F2F8" w14:textId="77777777" w:rsidR="009030B5" w:rsidRPr="005D4F27" w:rsidRDefault="009030B5" w:rsidP="009030B5">
            <w:pPr>
              <w:ind w:left="57"/>
              <w:rPr>
                <w:rFonts w:eastAsia="Calibri"/>
              </w:rPr>
            </w:pPr>
            <w:r w:rsidRPr="005D4F27">
              <w:rPr>
                <w:rFonts w:eastAsia="Calibri"/>
              </w:rPr>
              <w:t>Kupfer</w:t>
            </w:r>
          </w:p>
        </w:tc>
        <w:tc>
          <w:tcPr>
            <w:tcW w:w="2666" w:type="dxa"/>
            <w:tcBorders>
              <w:top w:val="single" w:sz="6" w:space="0" w:color="auto"/>
              <w:left w:val="single" w:sz="12" w:space="0" w:color="auto"/>
              <w:bottom w:val="single" w:sz="6" w:space="0" w:color="auto"/>
              <w:right w:val="single" w:sz="12" w:space="0" w:color="auto"/>
            </w:tcBorders>
          </w:tcPr>
          <w:p w14:paraId="2A49DD9A" w14:textId="77777777" w:rsidR="009030B5" w:rsidRPr="005D4F27" w:rsidRDefault="009030B5" w:rsidP="009030B5">
            <w:pPr>
              <w:ind w:left="57"/>
              <w:jc w:val="center"/>
              <w:rPr>
                <w:rFonts w:eastAsia="Calibri"/>
              </w:rPr>
            </w:pPr>
            <w:r w:rsidRPr="005D4F27">
              <w:rPr>
                <w:rFonts w:eastAsia="Calibri"/>
              </w:rPr>
              <w:t>AN</w:t>
            </w:r>
          </w:p>
        </w:tc>
        <w:tc>
          <w:tcPr>
            <w:tcW w:w="3260" w:type="dxa"/>
            <w:tcBorders>
              <w:top w:val="single" w:sz="6" w:space="0" w:color="auto"/>
              <w:left w:val="single" w:sz="12" w:space="0" w:color="auto"/>
              <w:bottom w:val="single" w:sz="6" w:space="0" w:color="auto"/>
              <w:right w:val="single" w:sz="12" w:space="0" w:color="auto"/>
            </w:tcBorders>
          </w:tcPr>
          <w:p w14:paraId="6EC717B0" w14:textId="77777777" w:rsidR="009030B5" w:rsidRPr="005D4F27" w:rsidRDefault="009030B5" w:rsidP="009030B5">
            <w:pPr>
              <w:ind w:left="57"/>
              <w:jc w:val="center"/>
              <w:rPr>
                <w:rFonts w:eastAsia="Calibri"/>
              </w:rPr>
            </w:pPr>
            <w:r w:rsidRPr="005D4F27">
              <w:rPr>
                <w:rFonts w:eastAsia="Calibri"/>
              </w:rPr>
              <w:t>1</w:t>
            </w:r>
          </w:p>
        </w:tc>
      </w:tr>
      <w:tr w:rsidR="009030B5" w:rsidRPr="005D4F27" w14:paraId="232EE2DC" w14:textId="77777777" w:rsidTr="009030B5">
        <w:trPr>
          <w:cantSplit/>
          <w:trHeight w:val="294"/>
        </w:trPr>
        <w:tc>
          <w:tcPr>
            <w:tcW w:w="1020" w:type="dxa"/>
            <w:tcBorders>
              <w:top w:val="single" w:sz="6" w:space="0" w:color="auto"/>
              <w:left w:val="single" w:sz="12" w:space="0" w:color="auto"/>
              <w:bottom w:val="single" w:sz="6" w:space="0" w:color="auto"/>
              <w:right w:val="single" w:sz="12" w:space="0" w:color="auto"/>
            </w:tcBorders>
          </w:tcPr>
          <w:p w14:paraId="6C824D23" w14:textId="77777777" w:rsidR="009030B5" w:rsidRPr="005D4F27" w:rsidRDefault="009030B5" w:rsidP="009030B5">
            <w:pPr>
              <w:ind w:left="57"/>
              <w:rPr>
                <w:rFonts w:eastAsia="Calibri"/>
              </w:rPr>
            </w:pPr>
            <w:r w:rsidRPr="005D4F27">
              <w:rPr>
                <w:rFonts w:eastAsia="Calibri"/>
              </w:rPr>
              <w:t>Nickel</w:t>
            </w:r>
          </w:p>
        </w:tc>
        <w:tc>
          <w:tcPr>
            <w:tcW w:w="2666" w:type="dxa"/>
            <w:tcBorders>
              <w:top w:val="single" w:sz="6" w:space="0" w:color="auto"/>
              <w:left w:val="single" w:sz="12" w:space="0" w:color="auto"/>
              <w:bottom w:val="single" w:sz="6" w:space="0" w:color="auto"/>
              <w:right w:val="single" w:sz="12" w:space="0" w:color="auto"/>
            </w:tcBorders>
          </w:tcPr>
          <w:p w14:paraId="5DD6313F" w14:textId="77777777" w:rsidR="009030B5" w:rsidRPr="005D4F27" w:rsidRDefault="009030B5" w:rsidP="009030B5">
            <w:pPr>
              <w:ind w:left="57"/>
              <w:jc w:val="center"/>
              <w:rPr>
                <w:rFonts w:eastAsia="Calibri"/>
              </w:rPr>
            </w:pPr>
            <w:r w:rsidRPr="005D4F27">
              <w:rPr>
                <w:rFonts w:eastAsia="Calibri"/>
              </w:rPr>
              <w:t>AN</w:t>
            </w:r>
          </w:p>
        </w:tc>
        <w:tc>
          <w:tcPr>
            <w:tcW w:w="3260" w:type="dxa"/>
            <w:tcBorders>
              <w:top w:val="single" w:sz="6" w:space="0" w:color="auto"/>
              <w:left w:val="single" w:sz="12" w:space="0" w:color="auto"/>
              <w:bottom w:val="single" w:sz="6" w:space="0" w:color="auto"/>
              <w:right w:val="single" w:sz="12" w:space="0" w:color="auto"/>
            </w:tcBorders>
          </w:tcPr>
          <w:p w14:paraId="7D2C2FB3" w14:textId="77777777" w:rsidR="009030B5" w:rsidRPr="005D4F27" w:rsidRDefault="009030B5" w:rsidP="009030B5">
            <w:pPr>
              <w:ind w:left="57"/>
              <w:jc w:val="center"/>
              <w:rPr>
                <w:rFonts w:eastAsia="Calibri"/>
              </w:rPr>
            </w:pPr>
            <w:r w:rsidRPr="005D4F27">
              <w:rPr>
                <w:rFonts w:eastAsia="Calibri"/>
              </w:rPr>
              <w:t>1,5</w:t>
            </w:r>
          </w:p>
        </w:tc>
      </w:tr>
      <w:tr w:rsidR="009030B5" w:rsidRPr="005D4F27" w14:paraId="0172C6AC" w14:textId="77777777" w:rsidTr="009030B5">
        <w:trPr>
          <w:cantSplit/>
          <w:trHeight w:val="294"/>
        </w:trPr>
        <w:tc>
          <w:tcPr>
            <w:tcW w:w="1020" w:type="dxa"/>
            <w:tcBorders>
              <w:top w:val="single" w:sz="6" w:space="0" w:color="auto"/>
              <w:left w:val="single" w:sz="12" w:space="0" w:color="auto"/>
              <w:bottom w:val="single" w:sz="12" w:space="0" w:color="auto"/>
              <w:right w:val="single" w:sz="12" w:space="0" w:color="auto"/>
            </w:tcBorders>
          </w:tcPr>
          <w:p w14:paraId="58C1DD13" w14:textId="77777777" w:rsidR="009030B5" w:rsidRPr="005D4F27" w:rsidRDefault="009030B5" w:rsidP="009030B5">
            <w:pPr>
              <w:ind w:left="57"/>
              <w:rPr>
                <w:rFonts w:eastAsia="Calibri"/>
              </w:rPr>
            </w:pPr>
            <w:r w:rsidRPr="005D4F27">
              <w:rPr>
                <w:rFonts w:eastAsia="Calibri"/>
              </w:rPr>
              <w:lastRenderedPageBreak/>
              <w:t>Zink</w:t>
            </w:r>
          </w:p>
        </w:tc>
        <w:tc>
          <w:tcPr>
            <w:tcW w:w="2666" w:type="dxa"/>
            <w:tcBorders>
              <w:top w:val="single" w:sz="6" w:space="0" w:color="auto"/>
              <w:left w:val="single" w:sz="12" w:space="0" w:color="auto"/>
              <w:bottom w:val="single" w:sz="12" w:space="0" w:color="auto"/>
              <w:right w:val="single" w:sz="12" w:space="0" w:color="auto"/>
            </w:tcBorders>
          </w:tcPr>
          <w:p w14:paraId="204B02DD" w14:textId="77777777" w:rsidR="009030B5" w:rsidRPr="005D4F27" w:rsidRDefault="009030B5" w:rsidP="009030B5">
            <w:pPr>
              <w:ind w:left="57"/>
              <w:jc w:val="center"/>
              <w:rPr>
                <w:rFonts w:eastAsia="Calibri"/>
              </w:rPr>
            </w:pPr>
            <w:r w:rsidRPr="005D4F27">
              <w:rPr>
                <w:rFonts w:eastAsia="Calibri"/>
              </w:rPr>
              <w:t>AN</w:t>
            </w:r>
          </w:p>
        </w:tc>
        <w:tc>
          <w:tcPr>
            <w:tcW w:w="3260" w:type="dxa"/>
            <w:tcBorders>
              <w:top w:val="single" w:sz="6" w:space="0" w:color="auto"/>
              <w:left w:val="single" w:sz="12" w:space="0" w:color="auto"/>
              <w:bottom w:val="single" w:sz="12" w:space="0" w:color="auto"/>
              <w:right w:val="single" w:sz="12" w:space="0" w:color="auto"/>
            </w:tcBorders>
          </w:tcPr>
          <w:p w14:paraId="78B98D68" w14:textId="77777777" w:rsidR="009030B5" w:rsidRPr="005D4F27" w:rsidRDefault="009030B5" w:rsidP="009030B5">
            <w:pPr>
              <w:ind w:left="57"/>
              <w:jc w:val="center"/>
              <w:rPr>
                <w:rFonts w:eastAsia="Calibri"/>
              </w:rPr>
            </w:pPr>
            <w:r w:rsidRPr="005D4F27">
              <w:rPr>
                <w:rFonts w:eastAsia="Calibri"/>
              </w:rPr>
              <w:t>2</w:t>
            </w:r>
          </w:p>
        </w:tc>
      </w:tr>
    </w:tbl>
    <w:p w14:paraId="07EF2AC7" w14:textId="77777777" w:rsidR="001F4B00" w:rsidRDefault="001F4B00" w:rsidP="001F4B00">
      <w:pPr>
        <w:sectPr w:rsidR="001F4B00" w:rsidSect="007947FE">
          <w:pgSz w:w="11907" w:h="16839"/>
          <w:pgMar w:top="1134" w:right="1417" w:bottom="1134" w:left="1701" w:header="709" w:footer="709" w:gutter="0"/>
          <w:cols w:space="708"/>
          <w:docGrid w:linePitch="360"/>
        </w:sectPr>
      </w:pPr>
    </w:p>
    <w:p w14:paraId="44AA771D" w14:textId="5AA85C70" w:rsidR="001F4B00" w:rsidRPr="001F4B00" w:rsidRDefault="001F4B00" w:rsidP="001F4B00">
      <w:pPr>
        <w:pStyle w:val="AnlageBezeichnernummeriert"/>
      </w:pPr>
    </w:p>
    <w:p w14:paraId="28E23D5C" w14:textId="27C4C2E7" w:rsidR="001F4B00" w:rsidRPr="001F4B00" w:rsidRDefault="001F4B00" w:rsidP="001F4B00">
      <w:pPr>
        <w:pStyle w:val="AnlageVerweis"/>
      </w:pPr>
      <w:r w:rsidRPr="008D0377">
        <w:t>(zu § 6 Absatz 11 Satz 1, § 15 Absatz 1 Satz 2, § 19 Absatz 9, § 20 Absatz 1 Satz 3 und 4, § 24 Absatz 2 und 4 bis 10)</w:t>
      </w:r>
    </w:p>
    <w:p w14:paraId="6CA787A6" w14:textId="31446BA4" w:rsidR="001F4B00" w:rsidRPr="001F4B00" w:rsidRDefault="001F4B00" w:rsidP="001F4B00">
      <w:pPr>
        <w:pStyle w:val="Anlageberschrift"/>
      </w:pPr>
      <w:bookmarkStart w:id="91" w:name="_Toc64379986"/>
      <w:r w:rsidRPr="008D0377">
        <w:t>Untersuchungsverfahren</w:t>
      </w:r>
      <w:bookmarkEnd w:id="91"/>
    </w:p>
    <w:p w14:paraId="1BA33B60" w14:textId="264277F4" w:rsidR="00B57E1B" w:rsidRPr="00B57E1B" w:rsidRDefault="001F4B00" w:rsidP="00B57E1B">
      <w:pPr>
        <w:pStyle w:val="berschrift1"/>
      </w:pPr>
      <w:r w:rsidRPr="008D0377">
        <w:t>Tabelle 1: Verfahren zur Bestimmung der physikalisch-chemischen Eigenschaften</w:t>
      </w:r>
    </w:p>
    <w:tbl>
      <w:tblPr>
        <w:tblW w:w="8930" w:type="dxa"/>
        <w:jc w:val="center"/>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68" w:type="dxa"/>
          <w:right w:w="68" w:type="dxa"/>
        </w:tblCellMar>
        <w:tblLook w:val="0000" w:firstRow="0" w:lastRow="0" w:firstColumn="0" w:lastColumn="0" w:noHBand="0" w:noVBand="0"/>
      </w:tblPr>
      <w:tblGrid>
        <w:gridCol w:w="2544"/>
        <w:gridCol w:w="3253"/>
        <w:gridCol w:w="3133"/>
      </w:tblGrid>
      <w:tr w:rsidR="00B57E1B" w:rsidRPr="005D4F27" w14:paraId="3AD17439" w14:textId="77777777" w:rsidTr="00FC7C49">
        <w:trPr>
          <w:trHeight w:val="441"/>
          <w:jc w:val="center"/>
        </w:trPr>
        <w:tc>
          <w:tcPr>
            <w:tcW w:w="2544" w:type="dxa"/>
            <w:tcBorders>
              <w:top w:val="single" w:sz="12" w:space="0" w:color="auto"/>
              <w:bottom w:val="single" w:sz="12" w:space="0" w:color="auto"/>
              <w:right w:val="single" w:sz="12" w:space="0" w:color="auto"/>
            </w:tcBorders>
            <w:shd w:val="clear" w:color="auto" w:fill="E6E6E6"/>
            <w:vAlign w:val="center"/>
          </w:tcPr>
          <w:p w14:paraId="6029A21F" w14:textId="77777777" w:rsidR="00B57E1B" w:rsidRPr="005D4F27" w:rsidRDefault="00B57E1B" w:rsidP="00FC7C49">
            <w:pPr>
              <w:rPr>
                <w:rFonts w:eastAsia="Calibri"/>
                <w:b/>
              </w:rPr>
            </w:pPr>
            <w:r w:rsidRPr="005D4F27">
              <w:rPr>
                <w:rFonts w:eastAsia="Calibri"/>
                <w:b/>
              </w:rPr>
              <w:t>Eigenschaft</w:t>
            </w:r>
          </w:p>
        </w:tc>
        <w:tc>
          <w:tcPr>
            <w:tcW w:w="3253" w:type="dxa"/>
            <w:tcBorders>
              <w:top w:val="single" w:sz="12" w:space="0" w:color="auto"/>
              <w:left w:val="single" w:sz="12" w:space="0" w:color="auto"/>
              <w:bottom w:val="single" w:sz="12" w:space="0" w:color="auto"/>
            </w:tcBorders>
            <w:shd w:val="clear" w:color="auto" w:fill="E6E6E6"/>
            <w:vAlign w:val="center"/>
          </w:tcPr>
          <w:p w14:paraId="383D6DB5" w14:textId="77777777" w:rsidR="00B57E1B" w:rsidRPr="005D4F27" w:rsidRDefault="00B57E1B" w:rsidP="00FC7C49">
            <w:pPr>
              <w:rPr>
                <w:rFonts w:eastAsia="Calibri"/>
                <w:b/>
              </w:rPr>
            </w:pPr>
            <w:r w:rsidRPr="005D4F27">
              <w:rPr>
                <w:rFonts w:eastAsia="Calibri"/>
                <w:b/>
              </w:rPr>
              <w:t>Methode</w:t>
            </w:r>
          </w:p>
        </w:tc>
        <w:tc>
          <w:tcPr>
            <w:tcW w:w="3133" w:type="dxa"/>
            <w:tcBorders>
              <w:top w:val="single" w:sz="12" w:space="0" w:color="auto"/>
              <w:bottom w:val="single" w:sz="12" w:space="0" w:color="auto"/>
            </w:tcBorders>
            <w:shd w:val="clear" w:color="auto" w:fill="E6E6E6"/>
            <w:vAlign w:val="center"/>
          </w:tcPr>
          <w:p w14:paraId="27A6888E" w14:textId="77777777" w:rsidR="00B57E1B" w:rsidRPr="005D4F27" w:rsidRDefault="00B57E1B" w:rsidP="00FC7C49">
            <w:pPr>
              <w:rPr>
                <w:rFonts w:eastAsia="Calibri"/>
                <w:b/>
              </w:rPr>
            </w:pPr>
            <w:r w:rsidRPr="005D4F27">
              <w:rPr>
                <w:rFonts w:eastAsia="Calibri"/>
                <w:b/>
              </w:rPr>
              <w:t>Norm</w:t>
            </w:r>
          </w:p>
        </w:tc>
      </w:tr>
      <w:tr w:rsidR="00B57E1B" w:rsidRPr="005D4F27" w14:paraId="3C024656" w14:textId="77777777" w:rsidTr="00FC7C49">
        <w:trPr>
          <w:trHeight w:val="554"/>
          <w:jc w:val="center"/>
        </w:trPr>
        <w:tc>
          <w:tcPr>
            <w:tcW w:w="2544" w:type="dxa"/>
            <w:vMerge w:val="restart"/>
            <w:tcBorders>
              <w:top w:val="single" w:sz="12" w:space="0" w:color="auto"/>
              <w:right w:val="single" w:sz="12" w:space="0" w:color="auto"/>
            </w:tcBorders>
          </w:tcPr>
          <w:p w14:paraId="106470DF" w14:textId="77777777" w:rsidR="00B57E1B" w:rsidRPr="005D4F27" w:rsidRDefault="00B57E1B" w:rsidP="00FC7C49">
            <w:pPr>
              <w:rPr>
                <w:rFonts w:eastAsia="Calibri"/>
              </w:rPr>
            </w:pPr>
            <w:r w:rsidRPr="005D4F27">
              <w:rPr>
                <w:rFonts w:eastAsia="Calibri"/>
              </w:rPr>
              <w:t>Bestimmung der Trockenmasse</w:t>
            </w:r>
          </w:p>
        </w:tc>
        <w:tc>
          <w:tcPr>
            <w:tcW w:w="3253" w:type="dxa"/>
            <w:vMerge w:val="restart"/>
            <w:tcBorders>
              <w:top w:val="single" w:sz="12" w:space="0" w:color="auto"/>
              <w:left w:val="single" w:sz="12" w:space="0" w:color="auto"/>
            </w:tcBorders>
          </w:tcPr>
          <w:p w14:paraId="784ADD65" w14:textId="77777777" w:rsidR="00B57E1B" w:rsidRPr="005D4F27" w:rsidRDefault="00B57E1B" w:rsidP="00FC7C49">
            <w:pPr>
              <w:rPr>
                <w:rFonts w:eastAsia="Calibri"/>
              </w:rPr>
            </w:pPr>
            <w:r w:rsidRPr="005D4F27">
              <w:rPr>
                <w:rFonts w:eastAsia="Calibri"/>
              </w:rPr>
              <w:t>feldfrische oder luftgetrocknete Bodenproben</w:t>
            </w:r>
          </w:p>
        </w:tc>
        <w:tc>
          <w:tcPr>
            <w:tcW w:w="3133" w:type="dxa"/>
            <w:tcBorders>
              <w:top w:val="single" w:sz="12" w:space="0" w:color="auto"/>
              <w:bottom w:val="single" w:sz="4" w:space="0" w:color="auto"/>
            </w:tcBorders>
          </w:tcPr>
          <w:p w14:paraId="6B1C6958" w14:textId="77777777" w:rsidR="00B57E1B" w:rsidRPr="005D4F27" w:rsidRDefault="00B57E1B" w:rsidP="00FC7C49">
            <w:pPr>
              <w:rPr>
                <w:rFonts w:eastAsia="Calibri"/>
              </w:rPr>
            </w:pPr>
            <w:r w:rsidRPr="005D4F27">
              <w:rPr>
                <w:rFonts w:eastAsia="Calibri"/>
              </w:rPr>
              <w:t>DIN EN 14346:2007-03 Verfahren A</w:t>
            </w:r>
          </w:p>
        </w:tc>
      </w:tr>
      <w:tr w:rsidR="00B57E1B" w:rsidRPr="005D4F27" w14:paraId="4CE648C3" w14:textId="77777777" w:rsidTr="00FC7C49">
        <w:trPr>
          <w:trHeight w:val="554"/>
          <w:jc w:val="center"/>
        </w:trPr>
        <w:tc>
          <w:tcPr>
            <w:tcW w:w="2544" w:type="dxa"/>
            <w:vMerge/>
            <w:tcBorders>
              <w:right w:val="single" w:sz="12" w:space="0" w:color="auto"/>
            </w:tcBorders>
          </w:tcPr>
          <w:p w14:paraId="3E512457" w14:textId="77777777" w:rsidR="00B57E1B" w:rsidRPr="005D4F27" w:rsidRDefault="00B57E1B" w:rsidP="00FC7C49">
            <w:pPr>
              <w:rPr>
                <w:rFonts w:eastAsia="Calibri"/>
              </w:rPr>
            </w:pPr>
          </w:p>
        </w:tc>
        <w:tc>
          <w:tcPr>
            <w:tcW w:w="3253" w:type="dxa"/>
            <w:vMerge/>
            <w:tcBorders>
              <w:left w:val="single" w:sz="12" w:space="0" w:color="auto"/>
            </w:tcBorders>
          </w:tcPr>
          <w:p w14:paraId="49EBE1F1" w14:textId="77777777" w:rsidR="00B57E1B" w:rsidRPr="005D4F27" w:rsidRDefault="00B57E1B" w:rsidP="00FC7C49">
            <w:pPr>
              <w:rPr>
                <w:rFonts w:eastAsia="Calibri"/>
              </w:rPr>
            </w:pPr>
          </w:p>
        </w:tc>
        <w:tc>
          <w:tcPr>
            <w:tcW w:w="3133" w:type="dxa"/>
            <w:tcBorders>
              <w:top w:val="single" w:sz="4" w:space="0" w:color="auto"/>
            </w:tcBorders>
          </w:tcPr>
          <w:p w14:paraId="7947A733" w14:textId="77777777" w:rsidR="00B57E1B" w:rsidRPr="005D4F27" w:rsidRDefault="00B57E1B" w:rsidP="00FC7C49">
            <w:pPr>
              <w:rPr>
                <w:rFonts w:eastAsia="Calibri"/>
              </w:rPr>
            </w:pPr>
            <w:r w:rsidRPr="005D4F27">
              <w:rPr>
                <w:rFonts w:eastAsia="Calibri"/>
              </w:rPr>
              <w:t>DIN EN 15934:2012-11</w:t>
            </w:r>
          </w:p>
        </w:tc>
      </w:tr>
      <w:tr w:rsidR="00B57E1B" w:rsidRPr="005D4F27" w14:paraId="1D567991" w14:textId="77777777" w:rsidTr="00FC7C49">
        <w:trPr>
          <w:trHeight w:val="895"/>
          <w:jc w:val="center"/>
        </w:trPr>
        <w:tc>
          <w:tcPr>
            <w:tcW w:w="2544" w:type="dxa"/>
            <w:tcBorders>
              <w:right w:val="single" w:sz="12" w:space="0" w:color="auto"/>
            </w:tcBorders>
          </w:tcPr>
          <w:p w14:paraId="398236C9" w14:textId="77777777" w:rsidR="00B57E1B" w:rsidRPr="005D4F27" w:rsidRDefault="00B57E1B" w:rsidP="00FC7C49">
            <w:pPr>
              <w:rPr>
                <w:rFonts w:eastAsia="Calibri"/>
              </w:rPr>
            </w:pPr>
            <w:r w:rsidRPr="005D4F27">
              <w:rPr>
                <w:rFonts w:eastAsia="Calibri"/>
              </w:rPr>
              <w:t>Organischer Kohlenstoff und Gesamtkohlenstoff nach trockener Verbrennung</w:t>
            </w:r>
          </w:p>
        </w:tc>
        <w:tc>
          <w:tcPr>
            <w:tcW w:w="3253" w:type="dxa"/>
            <w:tcBorders>
              <w:left w:val="single" w:sz="12" w:space="0" w:color="auto"/>
            </w:tcBorders>
          </w:tcPr>
          <w:p w14:paraId="537C7D9B" w14:textId="77777777" w:rsidR="00B57E1B" w:rsidRPr="005D4F27" w:rsidRDefault="00B57E1B" w:rsidP="00FC7C49">
            <w:pPr>
              <w:rPr>
                <w:rFonts w:eastAsia="Calibri"/>
              </w:rPr>
            </w:pPr>
            <w:r w:rsidRPr="005D4F27">
              <w:rPr>
                <w:rFonts w:eastAsia="Calibri"/>
              </w:rPr>
              <w:t>luftgetrocknete Bodenproben</w:t>
            </w:r>
          </w:p>
        </w:tc>
        <w:tc>
          <w:tcPr>
            <w:tcW w:w="3133" w:type="dxa"/>
          </w:tcPr>
          <w:p w14:paraId="69EB932D" w14:textId="77777777" w:rsidR="00B57E1B" w:rsidRPr="005D4F27" w:rsidRDefault="00B57E1B" w:rsidP="00FC7C49">
            <w:pPr>
              <w:rPr>
                <w:rFonts w:eastAsia="Calibri"/>
              </w:rPr>
            </w:pPr>
            <w:r w:rsidRPr="005D4F27">
              <w:rPr>
                <w:rFonts w:eastAsia="Calibri"/>
              </w:rPr>
              <w:t>DIN EN 15936:2012-11</w:t>
            </w:r>
          </w:p>
          <w:p w14:paraId="0D7A0675" w14:textId="77777777" w:rsidR="00B57E1B" w:rsidRPr="005D4F27" w:rsidRDefault="00B57E1B" w:rsidP="00FC7C49">
            <w:pPr>
              <w:rPr>
                <w:rFonts w:eastAsia="Calibri"/>
              </w:rPr>
            </w:pPr>
            <w:r w:rsidRPr="005D4F27">
              <w:rPr>
                <w:rFonts w:eastAsia="Calibri"/>
              </w:rPr>
              <w:t>DIN 19539:2016-12</w:t>
            </w:r>
          </w:p>
        </w:tc>
      </w:tr>
      <w:tr w:rsidR="00B57E1B" w:rsidRPr="005D4F27" w14:paraId="0013CE5F" w14:textId="77777777" w:rsidTr="00FC7C49">
        <w:trPr>
          <w:trHeight w:val="1020"/>
          <w:jc w:val="center"/>
        </w:trPr>
        <w:tc>
          <w:tcPr>
            <w:tcW w:w="2544" w:type="dxa"/>
            <w:tcBorders>
              <w:right w:val="single" w:sz="12" w:space="0" w:color="auto"/>
            </w:tcBorders>
          </w:tcPr>
          <w:p w14:paraId="198278F5" w14:textId="77777777" w:rsidR="00B57E1B" w:rsidRPr="005D4F27" w:rsidRDefault="00B57E1B" w:rsidP="00FC7C49">
            <w:pPr>
              <w:rPr>
                <w:rFonts w:eastAsia="Calibri"/>
              </w:rPr>
            </w:pPr>
            <w:r w:rsidRPr="005D4F27">
              <w:rPr>
                <w:rFonts w:eastAsia="Calibri"/>
              </w:rPr>
              <w:t xml:space="preserve">Organischer Kohlenstoff (TOC 400) nach trockener Verbrennung bis 400 </w:t>
            </w:r>
            <w:proofErr w:type="spellStart"/>
            <w:r w:rsidRPr="005D4F27">
              <w:rPr>
                <w:rFonts w:eastAsia="Calibri"/>
                <w:vertAlign w:val="superscript"/>
              </w:rPr>
              <w:t>o</w:t>
            </w:r>
            <w:r w:rsidRPr="005D4F27">
              <w:rPr>
                <w:rFonts w:eastAsia="Calibri"/>
              </w:rPr>
              <w:t>C</w:t>
            </w:r>
            <w:proofErr w:type="spellEnd"/>
          </w:p>
        </w:tc>
        <w:tc>
          <w:tcPr>
            <w:tcW w:w="3253" w:type="dxa"/>
            <w:tcBorders>
              <w:left w:val="single" w:sz="12" w:space="0" w:color="auto"/>
            </w:tcBorders>
          </w:tcPr>
          <w:p w14:paraId="3D671B35" w14:textId="77777777" w:rsidR="00B57E1B" w:rsidRPr="005D4F27" w:rsidRDefault="00B57E1B" w:rsidP="00FC7C49">
            <w:pPr>
              <w:rPr>
                <w:rFonts w:eastAsia="Calibri"/>
              </w:rPr>
            </w:pPr>
            <w:r w:rsidRPr="005D4F27">
              <w:rPr>
                <w:rFonts w:eastAsia="Calibri"/>
              </w:rPr>
              <w:t>luftgetrocknete Bodenproben</w:t>
            </w:r>
          </w:p>
        </w:tc>
        <w:tc>
          <w:tcPr>
            <w:tcW w:w="3133" w:type="dxa"/>
          </w:tcPr>
          <w:p w14:paraId="378B8FAE" w14:textId="77777777" w:rsidR="00B57E1B" w:rsidRPr="005D4F27" w:rsidRDefault="00B57E1B" w:rsidP="00FC7C49">
            <w:pPr>
              <w:rPr>
                <w:rFonts w:eastAsia="Calibri"/>
              </w:rPr>
            </w:pPr>
            <w:r w:rsidRPr="005D4F27">
              <w:rPr>
                <w:rFonts w:eastAsia="Calibri"/>
              </w:rPr>
              <w:t>DIN 19539:2016-12</w:t>
            </w:r>
          </w:p>
        </w:tc>
      </w:tr>
      <w:tr w:rsidR="00B57E1B" w:rsidRPr="005D4F27" w14:paraId="617C69B9" w14:textId="77777777" w:rsidTr="00FC7C49">
        <w:trPr>
          <w:trHeight w:val="1020"/>
          <w:jc w:val="center"/>
        </w:trPr>
        <w:tc>
          <w:tcPr>
            <w:tcW w:w="2544" w:type="dxa"/>
            <w:tcBorders>
              <w:right w:val="single" w:sz="12" w:space="0" w:color="auto"/>
            </w:tcBorders>
          </w:tcPr>
          <w:p w14:paraId="12E0C2EB" w14:textId="77777777" w:rsidR="00B57E1B" w:rsidRPr="005D4F27" w:rsidRDefault="00B57E1B" w:rsidP="00FC7C49">
            <w:pPr>
              <w:rPr>
                <w:rFonts w:eastAsia="Calibri"/>
              </w:rPr>
            </w:pPr>
            <w:r w:rsidRPr="005D4F27">
              <w:rPr>
                <w:rFonts w:eastAsia="Calibri"/>
              </w:rPr>
              <w:t>pH-Wert (CaCl</w:t>
            </w:r>
            <w:r w:rsidRPr="005D4F27">
              <w:rPr>
                <w:rFonts w:eastAsia="Calibri"/>
                <w:vertAlign w:val="subscript"/>
              </w:rPr>
              <w:t>2</w:t>
            </w:r>
            <w:r w:rsidRPr="005D4F27">
              <w:rPr>
                <w:rFonts w:eastAsia="Calibri"/>
              </w:rPr>
              <w:t>)</w:t>
            </w:r>
          </w:p>
        </w:tc>
        <w:tc>
          <w:tcPr>
            <w:tcW w:w="3253" w:type="dxa"/>
            <w:tcBorders>
              <w:left w:val="single" w:sz="12" w:space="0" w:color="auto"/>
            </w:tcBorders>
          </w:tcPr>
          <w:p w14:paraId="53A271E3" w14:textId="77777777" w:rsidR="00B57E1B" w:rsidRPr="005D4F27" w:rsidRDefault="00B57E1B" w:rsidP="00FC7C49">
            <w:pPr>
              <w:rPr>
                <w:rFonts w:eastAsia="Calibri"/>
              </w:rPr>
            </w:pPr>
            <w:r w:rsidRPr="005D4F27">
              <w:rPr>
                <w:rFonts w:eastAsia="Calibri"/>
              </w:rPr>
              <w:t>Suspension der feldfrischen oder luftgetrockneten Bodenprobe in CaCl</w:t>
            </w:r>
            <w:r w:rsidRPr="005D4F27">
              <w:rPr>
                <w:rFonts w:eastAsia="Calibri"/>
                <w:vertAlign w:val="subscript"/>
              </w:rPr>
              <w:t>2</w:t>
            </w:r>
            <w:r w:rsidRPr="005D4F27">
              <w:rPr>
                <w:rFonts w:eastAsia="Calibri"/>
              </w:rPr>
              <w:t>-Lösung;</w:t>
            </w:r>
          </w:p>
          <w:p w14:paraId="19F7E1A9" w14:textId="77777777" w:rsidR="00B57E1B" w:rsidRPr="005D4F27" w:rsidRDefault="00B57E1B" w:rsidP="00FC7C49">
            <w:pPr>
              <w:rPr>
                <w:rFonts w:eastAsia="Calibri"/>
                <w:lang w:val="it-IT"/>
              </w:rPr>
            </w:pPr>
            <w:proofErr w:type="spellStart"/>
            <w:r w:rsidRPr="005D4F27">
              <w:rPr>
                <w:rFonts w:eastAsia="Calibri"/>
                <w:lang w:val="it-IT"/>
              </w:rPr>
              <w:t>Konzentration</w:t>
            </w:r>
            <w:proofErr w:type="spellEnd"/>
            <w:r w:rsidRPr="005D4F27">
              <w:rPr>
                <w:rFonts w:eastAsia="Calibri"/>
                <w:lang w:val="it-IT"/>
              </w:rPr>
              <w:t xml:space="preserve"> (CaCl</w:t>
            </w:r>
            <w:r w:rsidRPr="005D4F27">
              <w:rPr>
                <w:rFonts w:eastAsia="Calibri"/>
                <w:vertAlign w:val="subscript"/>
                <w:lang w:val="it-IT"/>
              </w:rPr>
              <w:t>2</w:t>
            </w:r>
            <w:r w:rsidRPr="005D4F27">
              <w:rPr>
                <w:rFonts w:eastAsia="Calibri"/>
                <w:lang w:val="it-IT"/>
              </w:rPr>
              <w:t xml:space="preserve">): 0,01 </w:t>
            </w:r>
            <w:proofErr w:type="spellStart"/>
            <w:r w:rsidRPr="005D4F27">
              <w:rPr>
                <w:rFonts w:eastAsia="Calibri"/>
                <w:lang w:val="it-IT"/>
              </w:rPr>
              <w:t>mol</w:t>
            </w:r>
            <w:proofErr w:type="spellEnd"/>
            <w:r w:rsidRPr="005D4F27">
              <w:rPr>
                <w:rFonts w:eastAsia="Calibri"/>
                <w:lang w:val="it-IT"/>
              </w:rPr>
              <w:t xml:space="preserve">/l </w:t>
            </w:r>
          </w:p>
        </w:tc>
        <w:tc>
          <w:tcPr>
            <w:tcW w:w="3133" w:type="dxa"/>
          </w:tcPr>
          <w:p w14:paraId="5598C9A4" w14:textId="77777777" w:rsidR="00B57E1B" w:rsidRPr="005D4F27" w:rsidRDefault="00B57E1B" w:rsidP="00FC7C49">
            <w:pPr>
              <w:rPr>
                <w:rFonts w:eastAsia="Calibri"/>
              </w:rPr>
            </w:pPr>
            <w:r w:rsidRPr="005D4F27">
              <w:rPr>
                <w:rFonts w:eastAsia="Calibri"/>
              </w:rPr>
              <w:t>DIN EN 15933:2012-11</w:t>
            </w:r>
          </w:p>
        </w:tc>
      </w:tr>
      <w:tr w:rsidR="00B57E1B" w:rsidRPr="005D4F27" w14:paraId="11428ECF" w14:textId="77777777" w:rsidTr="00FC7C49">
        <w:trPr>
          <w:jc w:val="center"/>
        </w:trPr>
        <w:tc>
          <w:tcPr>
            <w:tcW w:w="2544" w:type="dxa"/>
            <w:tcBorders>
              <w:right w:val="single" w:sz="12" w:space="0" w:color="auto"/>
            </w:tcBorders>
          </w:tcPr>
          <w:p w14:paraId="7CF0D38B" w14:textId="77777777" w:rsidR="00B57E1B" w:rsidRPr="005D4F27" w:rsidRDefault="00B57E1B" w:rsidP="00FC7C49">
            <w:pPr>
              <w:rPr>
                <w:rFonts w:eastAsia="Calibri"/>
              </w:rPr>
            </w:pPr>
            <w:r w:rsidRPr="005D4F27">
              <w:rPr>
                <w:rFonts w:eastAsia="Calibri"/>
              </w:rPr>
              <w:t>Bodenart</w:t>
            </w:r>
          </w:p>
        </w:tc>
        <w:tc>
          <w:tcPr>
            <w:tcW w:w="3253" w:type="dxa"/>
            <w:tcBorders>
              <w:left w:val="single" w:sz="12" w:space="0" w:color="auto"/>
            </w:tcBorders>
          </w:tcPr>
          <w:p w14:paraId="3DF06692" w14:textId="77777777" w:rsidR="00B57E1B" w:rsidRPr="005D4F27" w:rsidRDefault="00B57E1B" w:rsidP="00FC7C49">
            <w:pPr>
              <w:rPr>
                <w:rFonts w:eastAsia="Calibri"/>
              </w:rPr>
            </w:pPr>
            <w:r w:rsidRPr="005D4F27">
              <w:rPr>
                <w:rFonts w:eastAsia="Calibri"/>
              </w:rPr>
              <w:t>Fingerprobe im Gelände</w:t>
            </w:r>
          </w:p>
        </w:tc>
        <w:tc>
          <w:tcPr>
            <w:tcW w:w="3133" w:type="dxa"/>
          </w:tcPr>
          <w:p w14:paraId="4A9BB83E" w14:textId="77777777" w:rsidR="00B57E1B" w:rsidRPr="005D4F27" w:rsidRDefault="00B57E1B" w:rsidP="00FC7C49">
            <w:pPr>
              <w:rPr>
                <w:rFonts w:eastAsia="Calibri"/>
              </w:rPr>
            </w:pPr>
            <w:r w:rsidRPr="005D4F27">
              <w:rPr>
                <w:rFonts w:eastAsia="Calibri"/>
              </w:rPr>
              <w:t xml:space="preserve">Bodenkundliche </w:t>
            </w:r>
            <w:proofErr w:type="spellStart"/>
            <w:r w:rsidRPr="005D4F27">
              <w:rPr>
                <w:rFonts w:eastAsia="Calibri"/>
              </w:rPr>
              <w:t>Kartieranleitung</w:t>
            </w:r>
            <w:proofErr w:type="spellEnd"/>
            <w:r w:rsidRPr="005D4F27">
              <w:rPr>
                <w:rFonts w:eastAsia="Calibri"/>
              </w:rPr>
              <w:t>, 5. Auflage Hannover 2009 (KA 5);</w:t>
            </w:r>
          </w:p>
          <w:p w14:paraId="52F80E1F" w14:textId="77777777" w:rsidR="00B57E1B" w:rsidRPr="005D4F27" w:rsidRDefault="00B57E1B" w:rsidP="00FC7C49">
            <w:pPr>
              <w:rPr>
                <w:rFonts w:eastAsia="Calibri"/>
              </w:rPr>
            </w:pPr>
            <w:r w:rsidRPr="005D4F27">
              <w:rPr>
                <w:rFonts w:eastAsia="Calibri"/>
              </w:rPr>
              <w:t>Arbeitshilfe für die Bodenansprache im vor- und nachsorgenden Bodenschutz, Hannover 2009; DIN ISO 11277:2002-08</w:t>
            </w:r>
          </w:p>
        </w:tc>
      </w:tr>
      <w:tr w:rsidR="00B57E1B" w:rsidRPr="005D4F27" w14:paraId="7526D3ED" w14:textId="77777777" w:rsidTr="00FC7C49">
        <w:trPr>
          <w:jc w:val="center"/>
        </w:trPr>
        <w:tc>
          <w:tcPr>
            <w:tcW w:w="2544" w:type="dxa"/>
            <w:vMerge w:val="restart"/>
            <w:tcBorders>
              <w:right w:val="single" w:sz="12" w:space="0" w:color="auto"/>
            </w:tcBorders>
          </w:tcPr>
          <w:p w14:paraId="416D62FB" w14:textId="77777777" w:rsidR="00B57E1B" w:rsidRPr="005D4F27" w:rsidRDefault="00B57E1B" w:rsidP="00FC7C49">
            <w:pPr>
              <w:rPr>
                <w:rFonts w:eastAsia="Calibri"/>
              </w:rPr>
            </w:pPr>
            <w:r w:rsidRPr="005D4F27">
              <w:rPr>
                <w:rFonts w:eastAsia="Calibri"/>
              </w:rPr>
              <w:t>Korngrößenverteilung / Bodenart</w:t>
            </w:r>
          </w:p>
        </w:tc>
        <w:tc>
          <w:tcPr>
            <w:tcW w:w="3253" w:type="dxa"/>
            <w:tcBorders>
              <w:left w:val="single" w:sz="12" w:space="0" w:color="auto"/>
            </w:tcBorders>
          </w:tcPr>
          <w:p w14:paraId="1C7B117A" w14:textId="77777777" w:rsidR="00B57E1B" w:rsidRPr="005D4F27" w:rsidRDefault="00B57E1B" w:rsidP="00FC7C49">
            <w:pPr>
              <w:rPr>
                <w:rFonts w:eastAsia="Calibri"/>
              </w:rPr>
            </w:pPr>
            <w:r w:rsidRPr="005D4F27">
              <w:rPr>
                <w:rFonts w:eastAsia="Calibri"/>
              </w:rPr>
              <w:t xml:space="preserve">Siebung, Dispergierung, </w:t>
            </w:r>
            <w:proofErr w:type="spellStart"/>
            <w:r w:rsidRPr="005D4F27">
              <w:rPr>
                <w:rFonts w:eastAsia="Calibri"/>
              </w:rPr>
              <w:t>Pipett</w:t>
            </w:r>
            <w:proofErr w:type="spellEnd"/>
            <w:r w:rsidRPr="005D4F27">
              <w:rPr>
                <w:rFonts w:eastAsia="Calibri"/>
              </w:rPr>
              <w:t>-Analyse</w:t>
            </w:r>
          </w:p>
        </w:tc>
        <w:tc>
          <w:tcPr>
            <w:tcW w:w="3133" w:type="dxa"/>
          </w:tcPr>
          <w:p w14:paraId="385A2414" w14:textId="77777777" w:rsidR="00B57E1B" w:rsidRPr="005D4F27" w:rsidRDefault="00B57E1B" w:rsidP="00FC7C49">
            <w:pPr>
              <w:rPr>
                <w:rFonts w:eastAsia="Calibri"/>
                <w:strike/>
              </w:rPr>
            </w:pPr>
            <w:r w:rsidRPr="005D4F27">
              <w:rPr>
                <w:rFonts w:eastAsia="TTE40C14E8t00"/>
              </w:rPr>
              <w:t>DIN ISO 11277:2002-08</w:t>
            </w:r>
          </w:p>
        </w:tc>
      </w:tr>
      <w:tr w:rsidR="00B57E1B" w:rsidRPr="005D4F27" w14:paraId="5A8684BB" w14:textId="77777777" w:rsidTr="00FC7C49">
        <w:trPr>
          <w:jc w:val="center"/>
        </w:trPr>
        <w:tc>
          <w:tcPr>
            <w:tcW w:w="2544" w:type="dxa"/>
            <w:vMerge/>
            <w:tcBorders>
              <w:right w:val="single" w:sz="12" w:space="0" w:color="auto"/>
            </w:tcBorders>
          </w:tcPr>
          <w:p w14:paraId="6D9D21EE" w14:textId="77777777" w:rsidR="00B57E1B" w:rsidRPr="005D4F27" w:rsidRDefault="00B57E1B" w:rsidP="00FC7C49">
            <w:pPr>
              <w:rPr>
                <w:rFonts w:eastAsia="Calibri"/>
              </w:rPr>
            </w:pPr>
          </w:p>
        </w:tc>
        <w:tc>
          <w:tcPr>
            <w:tcW w:w="3253" w:type="dxa"/>
            <w:tcBorders>
              <w:left w:val="single" w:sz="12" w:space="0" w:color="auto"/>
            </w:tcBorders>
          </w:tcPr>
          <w:p w14:paraId="402BAAF6" w14:textId="77777777" w:rsidR="00B57E1B" w:rsidRPr="005D4F27" w:rsidRDefault="00B57E1B" w:rsidP="00FC7C49">
            <w:pPr>
              <w:rPr>
                <w:rFonts w:eastAsia="Calibri"/>
              </w:rPr>
            </w:pPr>
            <w:r w:rsidRPr="005D4F27">
              <w:rPr>
                <w:rFonts w:eastAsia="Calibri"/>
              </w:rPr>
              <w:t xml:space="preserve">Siebung, Dispergierung, </w:t>
            </w:r>
            <w:proofErr w:type="spellStart"/>
            <w:r w:rsidRPr="005D4F27">
              <w:rPr>
                <w:rFonts w:eastAsia="Calibri"/>
              </w:rPr>
              <w:t>Aräometermethode</w:t>
            </w:r>
            <w:proofErr w:type="spellEnd"/>
          </w:p>
        </w:tc>
        <w:tc>
          <w:tcPr>
            <w:tcW w:w="3133" w:type="dxa"/>
          </w:tcPr>
          <w:p w14:paraId="664A70D0" w14:textId="77777777" w:rsidR="00B57E1B" w:rsidRPr="005D4F27" w:rsidRDefault="00B57E1B" w:rsidP="00FC7C49">
            <w:pPr>
              <w:rPr>
                <w:rFonts w:eastAsia="Calibri"/>
                <w:lang w:val="it-IT"/>
              </w:rPr>
            </w:pPr>
            <w:r w:rsidRPr="005D4F27">
              <w:rPr>
                <w:rFonts w:eastAsia="Calibri"/>
                <w:lang w:val="it-IT"/>
              </w:rPr>
              <w:t>DIN ISO 11277:2002-08</w:t>
            </w:r>
          </w:p>
          <w:p w14:paraId="50D6C669" w14:textId="77777777" w:rsidR="00B57E1B" w:rsidRPr="005D4F27" w:rsidRDefault="00B57E1B" w:rsidP="00FC7C49">
            <w:pPr>
              <w:rPr>
                <w:rFonts w:eastAsia="TTE40C14E8t00"/>
                <w:lang w:val="it-IT"/>
              </w:rPr>
            </w:pPr>
            <w:r w:rsidRPr="005D4F27">
              <w:rPr>
                <w:rFonts w:eastAsia="Calibri"/>
                <w:lang w:val="it-IT"/>
              </w:rPr>
              <w:t>DIN</w:t>
            </w:r>
            <w:r w:rsidRPr="00B308AB">
              <w:rPr>
                <w:rFonts w:eastAsia="Calibri"/>
              </w:rPr>
              <w:t>DIN EN ISO 17892-4:2017-04</w:t>
            </w:r>
          </w:p>
        </w:tc>
      </w:tr>
      <w:tr w:rsidR="00B57E1B" w:rsidRPr="005D4F27" w14:paraId="070BBD12" w14:textId="77777777" w:rsidTr="00FC7C49">
        <w:trPr>
          <w:jc w:val="center"/>
        </w:trPr>
        <w:tc>
          <w:tcPr>
            <w:tcW w:w="2544" w:type="dxa"/>
            <w:tcBorders>
              <w:bottom w:val="single" w:sz="12" w:space="0" w:color="auto"/>
              <w:right w:val="single" w:sz="12" w:space="0" w:color="auto"/>
            </w:tcBorders>
          </w:tcPr>
          <w:p w14:paraId="759EEAEC" w14:textId="77777777" w:rsidR="00B57E1B" w:rsidRPr="005D4F27" w:rsidRDefault="00B57E1B" w:rsidP="00FC7C49">
            <w:pPr>
              <w:rPr>
                <w:rFonts w:eastAsia="Calibri"/>
              </w:rPr>
            </w:pPr>
            <w:r w:rsidRPr="005D4F27">
              <w:rPr>
                <w:rFonts w:eastAsia="Calibri"/>
              </w:rPr>
              <w:t>Rohdichte</w:t>
            </w:r>
          </w:p>
        </w:tc>
        <w:tc>
          <w:tcPr>
            <w:tcW w:w="3253" w:type="dxa"/>
            <w:tcBorders>
              <w:left w:val="single" w:sz="12" w:space="0" w:color="auto"/>
            </w:tcBorders>
          </w:tcPr>
          <w:p w14:paraId="6CA75CA3" w14:textId="77777777" w:rsidR="00B57E1B" w:rsidRPr="005D4F27" w:rsidRDefault="00B57E1B" w:rsidP="00FC7C49">
            <w:pPr>
              <w:rPr>
                <w:rFonts w:eastAsia="Calibri"/>
              </w:rPr>
            </w:pPr>
            <w:r w:rsidRPr="005D4F27">
              <w:rPr>
                <w:rFonts w:eastAsia="Calibri"/>
              </w:rPr>
              <w:t xml:space="preserve">Trocknung einer volumen-gerecht entnommenen Bodenprobe bei 105 </w:t>
            </w:r>
            <w:r w:rsidRPr="005D4F27">
              <w:rPr>
                <w:rFonts w:eastAsia="Calibri"/>
                <w:vertAlign w:val="superscript"/>
              </w:rPr>
              <w:t>0</w:t>
            </w:r>
            <w:r w:rsidRPr="005D4F27">
              <w:rPr>
                <w:rFonts w:eastAsia="Calibri"/>
              </w:rPr>
              <w:t>C, rückwiegen</w:t>
            </w:r>
          </w:p>
        </w:tc>
        <w:tc>
          <w:tcPr>
            <w:tcW w:w="3133" w:type="dxa"/>
          </w:tcPr>
          <w:p w14:paraId="6B99D19F" w14:textId="77777777" w:rsidR="00B57E1B" w:rsidRPr="005D4F27" w:rsidRDefault="00B57E1B" w:rsidP="00FC7C49">
            <w:pPr>
              <w:rPr>
                <w:rFonts w:eastAsia="Calibri"/>
                <w:strike/>
              </w:rPr>
            </w:pPr>
            <w:r w:rsidRPr="00B308AB">
              <w:rPr>
                <w:rFonts w:ascii="Times" w:eastAsia="Times" w:hAnsi="Times" w:cs="Times"/>
                <w:sz w:val="26"/>
              </w:rPr>
              <w:t xml:space="preserve"> </w:t>
            </w:r>
            <w:r w:rsidRPr="00B308AB">
              <w:rPr>
                <w:rFonts w:eastAsia="TTE40C14E8t00"/>
              </w:rPr>
              <w:t>DIN EN ISO 11272:2017-07</w:t>
            </w:r>
          </w:p>
        </w:tc>
      </w:tr>
    </w:tbl>
    <w:p w14:paraId="4C2D9596" w14:textId="2CB530A0" w:rsidR="009030B5" w:rsidRPr="009030B5" w:rsidRDefault="009030B5" w:rsidP="009030B5">
      <w:pPr>
        <w:pStyle w:val="Text"/>
      </w:pPr>
    </w:p>
    <w:p w14:paraId="19AF7781" w14:textId="7A6E91CF" w:rsidR="00B57E1B" w:rsidRPr="008809E7" w:rsidRDefault="00B57E1B" w:rsidP="00B57E1B">
      <w:pPr>
        <w:pStyle w:val="berschrift1"/>
      </w:pPr>
      <w:r w:rsidRPr="008D0377">
        <w:lastRenderedPageBreak/>
        <w:t>Tabelle 2: Verfahren zur Herstellung von Eluaten mit Wasser</w:t>
      </w:r>
    </w:p>
    <w:tbl>
      <w:tblPr>
        <w:tblW w:w="89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315"/>
        <w:gridCol w:w="3135"/>
        <w:gridCol w:w="2481"/>
      </w:tblGrid>
      <w:tr w:rsidR="00B57E1B" w:rsidRPr="005D4F27" w14:paraId="01ADD6FF" w14:textId="77777777" w:rsidTr="00B57E1B">
        <w:trPr>
          <w:trHeight w:val="353"/>
          <w:jc w:val="center"/>
        </w:trPr>
        <w:tc>
          <w:tcPr>
            <w:tcW w:w="3315" w:type="dxa"/>
            <w:tcBorders>
              <w:top w:val="single" w:sz="12" w:space="0" w:color="auto"/>
              <w:bottom w:val="single" w:sz="12" w:space="0" w:color="auto"/>
            </w:tcBorders>
            <w:shd w:val="clear" w:color="auto" w:fill="E6E6E6"/>
            <w:vAlign w:val="center"/>
          </w:tcPr>
          <w:p w14:paraId="7B885611" w14:textId="77777777" w:rsidR="00B57E1B" w:rsidRPr="005D4F27" w:rsidRDefault="00B57E1B" w:rsidP="00FC7C49">
            <w:pPr>
              <w:rPr>
                <w:rFonts w:eastAsia="Calibri"/>
                <w:b/>
              </w:rPr>
            </w:pPr>
            <w:r w:rsidRPr="005D4F27">
              <w:rPr>
                <w:rFonts w:eastAsia="Calibri"/>
                <w:b/>
              </w:rPr>
              <w:t>Verfahren</w:t>
            </w:r>
          </w:p>
        </w:tc>
        <w:tc>
          <w:tcPr>
            <w:tcW w:w="3135" w:type="dxa"/>
            <w:tcBorders>
              <w:top w:val="single" w:sz="12" w:space="0" w:color="auto"/>
              <w:bottom w:val="single" w:sz="12" w:space="0" w:color="auto"/>
            </w:tcBorders>
            <w:shd w:val="clear" w:color="auto" w:fill="E6E6E6"/>
            <w:vAlign w:val="center"/>
          </w:tcPr>
          <w:p w14:paraId="385AD1F2" w14:textId="77777777" w:rsidR="00B57E1B" w:rsidRPr="005D4F27" w:rsidRDefault="00B57E1B" w:rsidP="00FC7C49">
            <w:pPr>
              <w:rPr>
                <w:rFonts w:eastAsia="Calibri"/>
                <w:b/>
              </w:rPr>
            </w:pPr>
            <w:r w:rsidRPr="005D4F27">
              <w:rPr>
                <w:rFonts w:eastAsia="Calibri"/>
                <w:b/>
              </w:rPr>
              <w:t>Verfahrenshinweise</w:t>
            </w:r>
          </w:p>
        </w:tc>
        <w:tc>
          <w:tcPr>
            <w:tcW w:w="2481" w:type="dxa"/>
            <w:tcBorders>
              <w:top w:val="single" w:sz="12" w:space="0" w:color="auto"/>
              <w:bottom w:val="single" w:sz="12" w:space="0" w:color="auto"/>
            </w:tcBorders>
            <w:shd w:val="clear" w:color="auto" w:fill="E6E6E6"/>
            <w:vAlign w:val="center"/>
          </w:tcPr>
          <w:p w14:paraId="0F350FDA" w14:textId="77777777" w:rsidR="00B57E1B" w:rsidRPr="005D4F27" w:rsidRDefault="00B57E1B" w:rsidP="00FC7C49">
            <w:pPr>
              <w:rPr>
                <w:rFonts w:eastAsia="Calibri"/>
                <w:b/>
              </w:rPr>
            </w:pPr>
            <w:r w:rsidRPr="005D4F27">
              <w:rPr>
                <w:rFonts w:eastAsia="Calibri"/>
                <w:b/>
              </w:rPr>
              <w:t>Norm</w:t>
            </w:r>
          </w:p>
        </w:tc>
      </w:tr>
      <w:tr w:rsidR="00B57E1B" w:rsidRPr="005D4F27" w14:paraId="5BF58729" w14:textId="77777777" w:rsidTr="00B57E1B">
        <w:trPr>
          <w:trHeight w:val="351"/>
          <w:jc w:val="center"/>
        </w:trPr>
        <w:tc>
          <w:tcPr>
            <w:tcW w:w="8931" w:type="dxa"/>
            <w:gridSpan w:val="3"/>
            <w:tcBorders>
              <w:top w:val="single" w:sz="12" w:space="0" w:color="auto"/>
            </w:tcBorders>
            <w:vAlign w:val="center"/>
          </w:tcPr>
          <w:p w14:paraId="051D9BFA" w14:textId="77777777" w:rsidR="00B57E1B" w:rsidRPr="005D4F27" w:rsidRDefault="00B57E1B" w:rsidP="00FC7C49">
            <w:pPr>
              <w:rPr>
                <w:rFonts w:eastAsia="Calibri"/>
                <w:b/>
              </w:rPr>
            </w:pPr>
            <w:r w:rsidRPr="005D4F27">
              <w:rPr>
                <w:rFonts w:eastAsia="Calibri"/>
                <w:b/>
              </w:rPr>
              <w:t>Anorganische und organische Stoffe</w:t>
            </w:r>
          </w:p>
        </w:tc>
      </w:tr>
      <w:tr w:rsidR="00B57E1B" w:rsidRPr="005D4F27" w14:paraId="635A4119" w14:textId="77777777" w:rsidTr="00B57E1B">
        <w:trPr>
          <w:jc w:val="center"/>
        </w:trPr>
        <w:tc>
          <w:tcPr>
            <w:tcW w:w="3315" w:type="dxa"/>
          </w:tcPr>
          <w:p w14:paraId="754F0959" w14:textId="77777777" w:rsidR="00B57E1B" w:rsidRPr="005D4F27" w:rsidRDefault="00B57E1B" w:rsidP="00FC7C49">
            <w:pPr>
              <w:rPr>
                <w:rFonts w:eastAsia="Calibri"/>
              </w:rPr>
            </w:pPr>
            <w:r w:rsidRPr="005D4F27">
              <w:rPr>
                <w:rFonts w:eastAsia="Calibri"/>
              </w:rPr>
              <w:t>Elution mit Wasser durch Schüttelverfahren oder Säulenschnellverfahren</w:t>
            </w:r>
          </w:p>
        </w:tc>
        <w:tc>
          <w:tcPr>
            <w:tcW w:w="3135" w:type="dxa"/>
          </w:tcPr>
          <w:p w14:paraId="7426879A" w14:textId="77777777" w:rsidR="00B57E1B" w:rsidRPr="005D4F27" w:rsidRDefault="00B57E1B" w:rsidP="00FC7C49">
            <w:pPr>
              <w:rPr>
                <w:rFonts w:eastAsia="Calibri"/>
              </w:rPr>
            </w:pPr>
            <w:r w:rsidRPr="005D4F27">
              <w:rPr>
                <w:rFonts w:eastAsia="Calibri"/>
              </w:rPr>
              <w:t>Flüssigkeits-Feststoffverhältnis 2:1</w:t>
            </w:r>
          </w:p>
        </w:tc>
        <w:tc>
          <w:tcPr>
            <w:tcW w:w="2481" w:type="dxa"/>
          </w:tcPr>
          <w:p w14:paraId="052D0AEC" w14:textId="77777777" w:rsidR="00B57E1B" w:rsidRPr="005D4F27" w:rsidRDefault="00B57E1B" w:rsidP="00FC7C49">
            <w:pPr>
              <w:rPr>
                <w:rFonts w:eastAsia="Calibri"/>
              </w:rPr>
            </w:pPr>
            <w:r w:rsidRPr="005D4F27">
              <w:rPr>
                <w:rFonts w:eastAsia="Calibri"/>
              </w:rPr>
              <w:t>DIN 19528:2009-01</w:t>
            </w:r>
          </w:p>
          <w:p w14:paraId="2C08A979" w14:textId="77777777" w:rsidR="00B57E1B" w:rsidRPr="005D4F27" w:rsidRDefault="00B57E1B" w:rsidP="00FC7C49">
            <w:pPr>
              <w:rPr>
                <w:rFonts w:eastAsia="Calibri"/>
              </w:rPr>
            </w:pPr>
            <w:r w:rsidRPr="005D4F27">
              <w:rPr>
                <w:rFonts w:eastAsia="Calibri"/>
              </w:rPr>
              <w:t>DIN 19529:2015-12</w:t>
            </w:r>
          </w:p>
        </w:tc>
      </w:tr>
    </w:tbl>
    <w:p w14:paraId="5E299A47" w14:textId="4015A6DE" w:rsidR="00B57E1B" w:rsidRPr="00B57E1B" w:rsidRDefault="00B57E1B" w:rsidP="00B57E1B">
      <w:pPr>
        <w:pStyle w:val="Text"/>
      </w:pPr>
    </w:p>
    <w:p w14:paraId="68310582" w14:textId="6D185ECC" w:rsidR="00B57E1B" w:rsidRPr="008D0377" w:rsidRDefault="00B57E1B" w:rsidP="00FC7C49">
      <w:pPr>
        <w:pStyle w:val="berschrift1"/>
      </w:pPr>
      <w:r w:rsidRPr="008D0377">
        <w:t xml:space="preserve">Tabelle 3: Nutzungsorientierte </w:t>
      </w:r>
      <w:proofErr w:type="spellStart"/>
      <w:r w:rsidRPr="008D0377">
        <w:t>Beprobungstiefe</w:t>
      </w:r>
      <w:proofErr w:type="spellEnd"/>
      <w:r w:rsidRPr="008D0377">
        <w:t xml:space="preserve"> bei Untersuchungen zu den Wirkungspfaden Boden-Mensch und Boden-Nutzpflanze </w:t>
      </w:r>
    </w:p>
    <w:tbl>
      <w:tblPr>
        <w:tblpPr w:leftFromText="141" w:rightFromText="141" w:vertAnchor="text" w:horzAnchor="margin" w:tblpXSpec="center" w:tblpY="316"/>
        <w:tblW w:w="88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35" w:type="dxa"/>
          <w:right w:w="35" w:type="dxa"/>
        </w:tblCellMar>
        <w:tblLook w:val="0000" w:firstRow="0" w:lastRow="0" w:firstColumn="0" w:lastColumn="0" w:noHBand="0" w:noVBand="0"/>
      </w:tblPr>
      <w:tblGrid>
        <w:gridCol w:w="2715"/>
        <w:gridCol w:w="3699"/>
        <w:gridCol w:w="2410"/>
      </w:tblGrid>
      <w:tr w:rsidR="00B57E1B" w:rsidRPr="005D4F27" w14:paraId="5DB79D75" w14:textId="77777777" w:rsidTr="00B57E1B">
        <w:trPr>
          <w:cantSplit/>
          <w:trHeight w:val="444"/>
        </w:trPr>
        <w:tc>
          <w:tcPr>
            <w:tcW w:w="2715" w:type="dxa"/>
            <w:tcBorders>
              <w:top w:val="single" w:sz="12" w:space="0" w:color="auto"/>
              <w:bottom w:val="single" w:sz="12" w:space="0" w:color="auto"/>
              <w:right w:val="single" w:sz="12" w:space="0" w:color="auto"/>
            </w:tcBorders>
            <w:shd w:val="clear" w:color="auto" w:fill="E6E6E6"/>
            <w:vAlign w:val="center"/>
          </w:tcPr>
          <w:p w14:paraId="4F7C493C" w14:textId="77777777" w:rsidR="00B57E1B" w:rsidRPr="005D4F27" w:rsidRDefault="00B57E1B" w:rsidP="00B57E1B">
            <w:pPr>
              <w:pStyle w:val="berschrift1"/>
              <w:rPr>
                <w:rFonts w:eastAsia="Calibri"/>
              </w:rPr>
            </w:pPr>
            <w:r w:rsidRPr="005D4F27">
              <w:rPr>
                <w:rFonts w:eastAsia="Calibri"/>
              </w:rPr>
              <w:t>Wirkungspfad</w:t>
            </w:r>
          </w:p>
        </w:tc>
        <w:tc>
          <w:tcPr>
            <w:tcW w:w="3699" w:type="dxa"/>
            <w:tcBorders>
              <w:top w:val="single" w:sz="12" w:space="0" w:color="auto"/>
              <w:left w:val="single" w:sz="12" w:space="0" w:color="auto"/>
              <w:bottom w:val="single" w:sz="12" w:space="0" w:color="auto"/>
            </w:tcBorders>
            <w:shd w:val="clear" w:color="auto" w:fill="E6E6E6"/>
            <w:vAlign w:val="center"/>
          </w:tcPr>
          <w:p w14:paraId="6E127177" w14:textId="77777777" w:rsidR="00B57E1B" w:rsidRPr="005D4F27" w:rsidRDefault="00B57E1B" w:rsidP="00FC7C49">
            <w:pPr>
              <w:ind w:left="57"/>
              <w:rPr>
                <w:rFonts w:eastAsia="Calibri"/>
                <w:b/>
              </w:rPr>
            </w:pPr>
            <w:r w:rsidRPr="005D4F27">
              <w:rPr>
                <w:rFonts w:eastAsia="Calibri"/>
                <w:b/>
              </w:rPr>
              <w:t>Nutzungsarten</w:t>
            </w:r>
          </w:p>
        </w:tc>
        <w:tc>
          <w:tcPr>
            <w:tcW w:w="2410" w:type="dxa"/>
            <w:tcBorders>
              <w:top w:val="single" w:sz="12" w:space="0" w:color="auto"/>
              <w:bottom w:val="single" w:sz="12" w:space="0" w:color="auto"/>
            </w:tcBorders>
            <w:shd w:val="clear" w:color="auto" w:fill="E6E6E6"/>
            <w:vAlign w:val="center"/>
          </w:tcPr>
          <w:p w14:paraId="5497C6EF" w14:textId="77777777" w:rsidR="00B57E1B" w:rsidRPr="005D4F27" w:rsidRDefault="00B57E1B" w:rsidP="00FC7C49">
            <w:pPr>
              <w:ind w:left="57"/>
              <w:rPr>
                <w:rFonts w:eastAsia="Calibri"/>
                <w:b/>
              </w:rPr>
            </w:pPr>
            <w:proofErr w:type="spellStart"/>
            <w:r w:rsidRPr="005D4F27">
              <w:rPr>
                <w:rFonts w:eastAsia="Calibri"/>
                <w:b/>
              </w:rPr>
              <w:t>Beprobungstiefe</w:t>
            </w:r>
            <w:proofErr w:type="spellEnd"/>
          </w:p>
        </w:tc>
      </w:tr>
      <w:tr w:rsidR="00B57E1B" w:rsidRPr="005D4F27" w14:paraId="7B8DDC65" w14:textId="77777777" w:rsidTr="00B57E1B">
        <w:trPr>
          <w:cantSplit/>
        </w:trPr>
        <w:tc>
          <w:tcPr>
            <w:tcW w:w="2715" w:type="dxa"/>
            <w:vMerge w:val="restart"/>
            <w:tcBorders>
              <w:top w:val="single" w:sz="12" w:space="0" w:color="auto"/>
              <w:right w:val="single" w:sz="12" w:space="0" w:color="auto"/>
            </w:tcBorders>
          </w:tcPr>
          <w:p w14:paraId="68207B27" w14:textId="77777777" w:rsidR="00B57E1B" w:rsidRPr="005D4F27" w:rsidRDefault="00B57E1B" w:rsidP="00FC7C49">
            <w:pPr>
              <w:ind w:left="57"/>
              <w:rPr>
                <w:rFonts w:eastAsia="Calibri"/>
              </w:rPr>
            </w:pPr>
            <w:r w:rsidRPr="005D4F27">
              <w:rPr>
                <w:rFonts w:eastAsia="Calibri"/>
              </w:rPr>
              <w:t>Boden-Mensch</w:t>
            </w:r>
          </w:p>
        </w:tc>
        <w:tc>
          <w:tcPr>
            <w:tcW w:w="3699" w:type="dxa"/>
            <w:tcBorders>
              <w:top w:val="single" w:sz="12" w:space="0" w:color="auto"/>
              <w:left w:val="single" w:sz="12" w:space="0" w:color="auto"/>
            </w:tcBorders>
          </w:tcPr>
          <w:p w14:paraId="4121655A" w14:textId="77777777" w:rsidR="00B57E1B" w:rsidRPr="005D4F27" w:rsidRDefault="00B57E1B" w:rsidP="00FC7C49">
            <w:pPr>
              <w:ind w:left="57"/>
              <w:rPr>
                <w:rFonts w:eastAsia="Calibri"/>
              </w:rPr>
            </w:pPr>
            <w:r w:rsidRPr="005D4F27">
              <w:rPr>
                <w:rFonts w:eastAsia="Calibri"/>
              </w:rPr>
              <w:t xml:space="preserve">Kinderspielflächen, Wohngebiete </w:t>
            </w:r>
          </w:p>
        </w:tc>
        <w:tc>
          <w:tcPr>
            <w:tcW w:w="2410" w:type="dxa"/>
            <w:tcBorders>
              <w:top w:val="single" w:sz="12" w:space="0" w:color="auto"/>
            </w:tcBorders>
          </w:tcPr>
          <w:p w14:paraId="393A13E6" w14:textId="77777777" w:rsidR="00B57E1B" w:rsidRPr="005D4F27" w:rsidRDefault="00B57E1B" w:rsidP="00FC7C49">
            <w:pPr>
              <w:rPr>
                <w:rFonts w:eastAsia="Calibri"/>
              </w:rPr>
            </w:pPr>
            <w:r w:rsidRPr="005D4F27">
              <w:rPr>
                <w:rFonts w:eastAsia="Calibri"/>
              </w:rPr>
              <w:t xml:space="preserve">0 - 10 cm </w:t>
            </w:r>
            <w:r w:rsidRPr="005D4F27">
              <w:rPr>
                <w:rFonts w:eastAsia="Calibri"/>
                <w:vertAlign w:val="superscript"/>
              </w:rPr>
              <w:t>1)</w:t>
            </w:r>
          </w:p>
          <w:p w14:paraId="041A2F1B" w14:textId="77777777" w:rsidR="00B57E1B" w:rsidRPr="005D4F27" w:rsidRDefault="00B57E1B" w:rsidP="00FC7C49">
            <w:pPr>
              <w:rPr>
                <w:rFonts w:eastAsia="Calibri"/>
              </w:rPr>
            </w:pPr>
            <w:r w:rsidRPr="005D4F27">
              <w:rPr>
                <w:rFonts w:eastAsia="Calibri"/>
              </w:rPr>
              <w:t xml:space="preserve">10 - 30 cm </w:t>
            </w:r>
            <w:r w:rsidRPr="005D4F27">
              <w:rPr>
                <w:rFonts w:eastAsia="Calibri"/>
                <w:vertAlign w:val="superscript"/>
              </w:rPr>
              <w:t>2)</w:t>
            </w:r>
          </w:p>
        </w:tc>
      </w:tr>
      <w:tr w:rsidR="00B57E1B" w:rsidRPr="005D4F27" w14:paraId="41705800" w14:textId="77777777" w:rsidTr="00B57E1B">
        <w:trPr>
          <w:cantSplit/>
        </w:trPr>
        <w:tc>
          <w:tcPr>
            <w:tcW w:w="2715" w:type="dxa"/>
            <w:vMerge/>
            <w:tcBorders>
              <w:right w:val="single" w:sz="12" w:space="0" w:color="auto"/>
            </w:tcBorders>
          </w:tcPr>
          <w:p w14:paraId="0C4D1ABC" w14:textId="77777777" w:rsidR="00B57E1B" w:rsidRPr="005D4F27" w:rsidRDefault="00B57E1B" w:rsidP="00FC7C49">
            <w:pPr>
              <w:rPr>
                <w:rFonts w:eastAsia="Calibri"/>
              </w:rPr>
            </w:pPr>
          </w:p>
        </w:tc>
        <w:tc>
          <w:tcPr>
            <w:tcW w:w="3699" w:type="dxa"/>
            <w:tcBorders>
              <w:left w:val="single" w:sz="12" w:space="0" w:color="auto"/>
            </w:tcBorders>
          </w:tcPr>
          <w:p w14:paraId="05076482" w14:textId="77777777" w:rsidR="00B57E1B" w:rsidRPr="005D4F27" w:rsidRDefault="00B57E1B" w:rsidP="00FC7C49">
            <w:pPr>
              <w:ind w:left="57"/>
              <w:rPr>
                <w:rFonts w:eastAsia="Calibri"/>
              </w:rPr>
            </w:pPr>
            <w:r w:rsidRPr="005D4F27">
              <w:rPr>
                <w:rFonts w:eastAsia="Calibri"/>
              </w:rPr>
              <w:t>Park- und Freizeitanlagen</w:t>
            </w:r>
          </w:p>
        </w:tc>
        <w:tc>
          <w:tcPr>
            <w:tcW w:w="2410" w:type="dxa"/>
          </w:tcPr>
          <w:p w14:paraId="07A78A46" w14:textId="77777777" w:rsidR="00B57E1B" w:rsidRPr="005D4F27" w:rsidRDefault="00B57E1B" w:rsidP="00FC7C49">
            <w:pPr>
              <w:rPr>
                <w:rFonts w:eastAsia="Calibri"/>
              </w:rPr>
            </w:pPr>
            <w:r w:rsidRPr="005D4F27">
              <w:rPr>
                <w:rFonts w:eastAsia="Calibri"/>
              </w:rPr>
              <w:t xml:space="preserve">0 - 10 cm </w:t>
            </w:r>
            <w:r w:rsidRPr="005D4F27">
              <w:rPr>
                <w:rFonts w:eastAsia="Calibri"/>
                <w:vertAlign w:val="superscript"/>
              </w:rPr>
              <w:t>1)</w:t>
            </w:r>
          </w:p>
        </w:tc>
      </w:tr>
      <w:tr w:rsidR="00B57E1B" w:rsidRPr="005D4F27" w14:paraId="121C8B33" w14:textId="77777777" w:rsidTr="00B57E1B">
        <w:trPr>
          <w:cantSplit/>
          <w:trHeight w:val="298"/>
        </w:trPr>
        <w:tc>
          <w:tcPr>
            <w:tcW w:w="2715" w:type="dxa"/>
            <w:vMerge/>
            <w:tcBorders>
              <w:right w:val="single" w:sz="12" w:space="0" w:color="auto"/>
            </w:tcBorders>
          </w:tcPr>
          <w:p w14:paraId="0DECD72A" w14:textId="77777777" w:rsidR="00B57E1B" w:rsidRPr="005D4F27" w:rsidRDefault="00B57E1B" w:rsidP="00FC7C49">
            <w:pPr>
              <w:rPr>
                <w:rFonts w:eastAsia="Calibri"/>
              </w:rPr>
            </w:pPr>
          </w:p>
        </w:tc>
        <w:tc>
          <w:tcPr>
            <w:tcW w:w="3699" w:type="dxa"/>
            <w:tcBorders>
              <w:left w:val="single" w:sz="12" w:space="0" w:color="auto"/>
            </w:tcBorders>
          </w:tcPr>
          <w:p w14:paraId="52070D98" w14:textId="77777777" w:rsidR="00B57E1B" w:rsidRPr="005D4F27" w:rsidRDefault="00B57E1B" w:rsidP="00FC7C49">
            <w:pPr>
              <w:ind w:left="57"/>
              <w:rPr>
                <w:rFonts w:eastAsia="Calibri"/>
              </w:rPr>
            </w:pPr>
            <w:r w:rsidRPr="005D4F27">
              <w:rPr>
                <w:rFonts w:eastAsia="Calibri"/>
              </w:rPr>
              <w:t>Industrie- und Gewerbegrundstücke</w:t>
            </w:r>
          </w:p>
        </w:tc>
        <w:tc>
          <w:tcPr>
            <w:tcW w:w="2410" w:type="dxa"/>
          </w:tcPr>
          <w:p w14:paraId="73A167EB" w14:textId="77777777" w:rsidR="00B57E1B" w:rsidRPr="005D4F27" w:rsidRDefault="00B57E1B" w:rsidP="00FC7C49">
            <w:pPr>
              <w:rPr>
                <w:rFonts w:eastAsia="Calibri"/>
              </w:rPr>
            </w:pPr>
            <w:r w:rsidRPr="005D4F27">
              <w:rPr>
                <w:rFonts w:eastAsia="Calibri"/>
              </w:rPr>
              <w:t xml:space="preserve">0 - 10 cm </w:t>
            </w:r>
            <w:r w:rsidRPr="005D4F27">
              <w:rPr>
                <w:rFonts w:eastAsia="Calibri"/>
                <w:vertAlign w:val="superscript"/>
              </w:rPr>
              <w:t>1)</w:t>
            </w:r>
          </w:p>
        </w:tc>
      </w:tr>
      <w:tr w:rsidR="00B57E1B" w:rsidRPr="005D4F27" w14:paraId="22BB6B4F" w14:textId="77777777" w:rsidTr="00B57E1B">
        <w:trPr>
          <w:cantSplit/>
        </w:trPr>
        <w:tc>
          <w:tcPr>
            <w:tcW w:w="2715" w:type="dxa"/>
            <w:vMerge w:val="restart"/>
            <w:tcBorders>
              <w:right w:val="single" w:sz="12" w:space="0" w:color="auto"/>
            </w:tcBorders>
          </w:tcPr>
          <w:p w14:paraId="6C14DB7F" w14:textId="77777777" w:rsidR="00B57E1B" w:rsidRPr="005D4F27" w:rsidRDefault="00B57E1B" w:rsidP="00FC7C49">
            <w:pPr>
              <w:ind w:left="57"/>
              <w:rPr>
                <w:rFonts w:eastAsia="Calibri"/>
              </w:rPr>
            </w:pPr>
            <w:r w:rsidRPr="005D4F27">
              <w:rPr>
                <w:rFonts w:eastAsia="Calibri"/>
              </w:rPr>
              <w:t>Boden-Nutzpflanze</w:t>
            </w:r>
          </w:p>
        </w:tc>
        <w:tc>
          <w:tcPr>
            <w:tcW w:w="3699" w:type="dxa"/>
            <w:tcBorders>
              <w:left w:val="single" w:sz="12" w:space="0" w:color="auto"/>
            </w:tcBorders>
          </w:tcPr>
          <w:p w14:paraId="77358B46" w14:textId="77777777" w:rsidR="00B57E1B" w:rsidRPr="005D4F27" w:rsidRDefault="00B57E1B" w:rsidP="00FC7C49">
            <w:pPr>
              <w:ind w:left="57"/>
              <w:rPr>
                <w:rFonts w:eastAsia="Calibri"/>
              </w:rPr>
            </w:pPr>
            <w:r w:rsidRPr="005D4F27">
              <w:rPr>
                <w:rFonts w:eastAsia="Calibri"/>
              </w:rPr>
              <w:t>Ackerflächen, Nutzgärten</w:t>
            </w:r>
          </w:p>
        </w:tc>
        <w:tc>
          <w:tcPr>
            <w:tcW w:w="2410" w:type="dxa"/>
          </w:tcPr>
          <w:p w14:paraId="5C2CEB3F" w14:textId="77777777" w:rsidR="00B57E1B" w:rsidRPr="005D4F27" w:rsidRDefault="00B57E1B" w:rsidP="00FC7C49">
            <w:pPr>
              <w:rPr>
                <w:rFonts w:eastAsia="Calibri"/>
              </w:rPr>
            </w:pPr>
            <w:r w:rsidRPr="005D4F27">
              <w:rPr>
                <w:rFonts w:eastAsia="Calibri"/>
              </w:rPr>
              <w:t xml:space="preserve">0 - 30 cm </w:t>
            </w:r>
            <w:r w:rsidRPr="005D4F27">
              <w:rPr>
                <w:rFonts w:eastAsia="Calibri"/>
                <w:vertAlign w:val="superscript"/>
              </w:rPr>
              <w:t>3)</w:t>
            </w:r>
          </w:p>
          <w:p w14:paraId="4249C29A" w14:textId="77777777" w:rsidR="00B57E1B" w:rsidRPr="005D4F27" w:rsidRDefault="00B57E1B" w:rsidP="00FC7C49">
            <w:pPr>
              <w:rPr>
                <w:rFonts w:eastAsia="Calibri"/>
              </w:rPr>
            </w:pPr>
            <w:r w:rsidRPr="005D4F27">
              <w:rPr>
                <w:rFonts w:eastAsia="Calibri"/>
              </w:rPr>
              <w:t xml:space="preserve">30 - 60 cm </w:t>
            </w:r>
          </w:p>
        </w:tc>
      </w:tr>
      <w:tr w:rsidR="00B57E1B" w:rsidRPr="005D4F27" w14:paraId="0376EED8" w14:textId="77777777" w:rsidTr="00B57E1B">
        <w:trPr>
          <w:cantSplit/>
        </w:trPr>
        <w:tc>
          <w:tcPr>
            <w:tcW w:w="2715" w:type="dxa"/>
            <w:vMerge/>
            <w:tcBorders>
              <w:bottom w:val="single" w:sz="12" w:space="0" w:color="auto"/>
              <w:right w:val="single" w:sz="12" w:space="0" w:color="auto"/>
            </w:tcBorders>
          </w:tcPr>
          <w:p w14:paraId="0B10759E" w14:textId="77777777" w:rsidR="00B57E1B" w:rsidRPr="005D4F27" w:rsidRDefault="00B57E1B" w:rsidP="00FC7C49">
            <w:pPr>
              <w:rPr>
                <w:rFonts w:eastAsia="Calibri"/>
              </w:rPr>
            </w:pPr>
          </w:p>
        </w:tc>
        <w:tc>
          <w:tcPr>
            <w:tcW w:w="3699" w:type="dxa"/>
            <w:tcBorders>
              <w:left w:val="single" w:sz="12" w:space="0" w:color="auto"/>
            </w:tcBorders>
          </w:tcPr>
          <w:p w14:paraId="117CDF8E" w14:textId="77777777" w:rsidR="00B57E1B" w:rsidRPr="005D4F27" w:rsidRDefault="00B57E1B" w:rsidP="00FC7C49">
            <w:pPr>
              <w:ind w:left="57"/>
              <w:rPr>
                <w:rFonts w:eastAsia="Calibri"/>
              </w:rPr>
            </w:pPr>
            <w:r w:rsidRPr="005D4F27">
              <w:rPr>
                <w:rFonts w:eastAsia="Calibri"/>
              </w:rPr>
              <w:t>Grünlandflächen</w:t>
            </w:r>
          </w:p>
        </w:tc>
        <w:tc>
          <w:tcPr>
            <w:tcW w:w="2410" w:type="dxa"/>
          </w:tcPr>
          <w:p w14:paraId="7E99040D" w14:textId="77777777" w:rsidR="00B57E1B" w:rsidRPr="005D4F27" w:rsidRDefault="00B57E1B" w:rsidP="00FC7C49">
            <w:pPr>
              <w:rPr>
                <w:rFonts w:eastAsia="Calibri"/>
              </w:rPr>
            </w:pPr>
            <w:r w:rsidRPr="005D4F27">
              <w:rPr>
                <w:rFonts w:eastAsia="Calibri"/>
              </w:rPr>
              <w:t xml:space="preserve">0 - 10 cm </w:t>
            </w:r>
            <w:r w:rsidRPr="005D4F27">
              <w:rPr>
                <w:rFonts w:eastAsia="Calibri"/>
                <w:vertAlign w:val="superscript"/>
              </w:rPr>
              <w:t>4)</w:t>
            </w:r>
          </w:p>
          <w:p w14:paraId="4F3D7323" w14:textId="77777777" w:rsidR="00B57E1B" w:rsidRPr="005D4F27" w:rsidRDefault="00B57E1B" w:rsidP="00FC7C49">
            <w:pPr>
              <w:rPr>
                <w:rFonts w:eastAsia="Calibri"/>
              </w:rPr>
            </w:pPr>
            <w:r w:rsidRPr="005D4F27">
              <w:rPr>
                <w:rFonts w:eastAsia="Calibri"/>
              </w:rPr>
              <w:t xml:space="preserve">10 - 30 cm </w:t>
            </w:r>
          </w:p>
        </w:tc>
      </w:tr>
    </w:tbl>
    <w:p w14:paraId="04B581E1" w14:textId="77777777" w:rsidR="00B57E1B" w:rsidRPr="00A11DDE" w:rsidRDefault="00B57E1B" w:rsidP="00B57E1B">
      <w:pPr>
        <w:rPr>
          <w:rFonts w:eastAsia="Calibri"/>
          <w:sz w:val="20"/>
        </w:rPr>
      </w:pPr>
      <w:r w:rsidRPr="00A11DDE">
        <w:rPr>
          <w:rFonts w:eastAsia="Calibri"/>
          <w:sz w:val="20"/>
          <w:vertAlign w:val="superscript"/>
        </w:rPr>
        <w:t>1)</w:t>
      </w:r>
      <w:r w:rsidRPr="00A11DDE">
        <w:rPr>
          <w:rFonts w:eastAsia="Calibri"/>
          <w:sz w:val="20"/>
        </w:rPr>
        <w:t xml:space="preserve"> Kontaktbereich für orale und dermale Schadstoffaufnahme, zusätzlich 0-2 cm bei Relevanz des inhalativen Aufnahmepfades.</w:t>
      </w:r>
    </w:p>
    <w:p w14:paraId="42444B10" w14:textId="77777777" w:rsidR="00B57E1B" w:rsidRPr="00A11DDE" w:rsidRDefault="00B57E1B" w:rsidP="00B57E1B">
      <w:pPr>
        <w:rPr>
          <w:rFonts w:eastAsia="Calibri"/>
          <w:sz w:val="20"/>
        </w:rPr>
      </w:pPr>
      <w:r w:rsidRPr="00A11DDE">
        <w:rPr>
          <w:rFonts w:eastAsia="Calibri"/>
          <w:sz w:val="20"/>
          <w:vertAlign w:val="superscript"/>
        </w:rPr>
        <w:t>2)</w:t>
      </w:r>
      <w:r w:rsidRPr="00A11DDE">
        <w:rPr>
          <w:rFonts w:eastAsia="Calibri"/>
          <w:sz w:val="20"/>
        </w:rPr>
        <w:t xml:space="preserve"> 30 cm durchschnittliche Mächtigkeit aufgebrachter Bodenschichten, zugleich von Kindern erreichbare Tiefe. </w:t>
      </w:r>
    </w:p>
    <w:p w14:paraId="510072BD" w14:textId="77777777" w:rsidR="00B57E1B" w:rsidRPr="00A11DDE" w:rsidRDefault="00B57E1B" w:rsidP="00B57E1B">
      <w:pPr>
        <w:rPr>
          <w:rFonts w:eastAsia="Calibri"/>
          <w:sz w:val="20"/>
        </w:rPr>
      </w:pPr>
      <w:r w:rsidRPr="00A11DDE">
        <w:rPr>
          <w:rFonts w:eastAsia="Calibri"/>
          <w:sz w:val="20"/>
          <w:vertAlign w:val="superscript"/>
        </w:rPr>
        <w:t>3)</w:t>
      </w:r>
      <w:r w:rsidRPr="00A11DDE">
        <w:rPr>
          <w:rFonts w:eastAsia="Calibri"/>
          <w:sz w:val="20"/>
        </w:rPr>
        <w:t xml:space="preserve"> Bei abweichender Mächtigkeit des Bearbeitungshorizontes bis zur Untergrenze des Bearbeitungshorizontes.</w:t>
      </w:r>
    </w:p>
    <w:p w14:paraId="193E92E8" w14:textId="77777777" w:rsidR="00B57E1B" w:rsidRPr="00A11DDE" w:rsidRDefault="00B57E1B" w:rsidP="00B57E1B">
      <w:pPr>
        <w:rPr>
          <w:rFonts w:eastAsia="Calibri"/>
          <w:sz w:val="20"/>
        </w:rPr>
      </w:pPr>
      <w:r w:rsidRPr="00A11DDE">
        <w:rPr>
          <w:rFonts w:eastAsia="Calibri"/>
          <w:sz w:val="20"/>
          <w:vertAlign w:val="superscript"/>
        </w:rPr>
        <w:t>4)</w:t>
      </w:r>
      <w:r w:rsidRPr="00A11DDE">
        <w:rPr>
          <w:rFonts w:eastAsia="Calibri"/>
          <w:sz w:val="20"/>
        </w:rPr>
        <w:t xml:space="preserve"> Bei abweichender Mächtigkeit des Hauptwurzelbereiches bis zur Untergrenze des Hauptwurzelbereiches.</w:t>
      </w:r>
    </w:p>
    <w:p w14:paraId="03BDA422" w14:textId="547915F2" w:rsidR="00B57E1B" w:rsidRPr="00B57E1B" w:rsidRDefault="00B57E1B" w:rsidP="00B57E1B">
      <w:pPr>
        <w:pStyle w:val="berschrift1"/>
      </w:pPr>
      <w:r>
        <w:br w:type="page"/>
      </w:r>
      <w:r w:rsidRPr="00B57E1B">
        <w:lastRenderedPageBreak/>
        <w:t>Tabelle 4: Verfahren zur Bestimmung anorganischer Stoffgehalte</w:t>
      </w:r>
    </w:p>
    <w:tbl>
      <w:tblPr>
        <w:tblW w:w="89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4" w:type="dxa"/>
          <w:right w:w="34" w:type="dxa"/>
        </w:tblCellMar>
        <w:tblLook w:val="0000" w:firstRow="0" w:lastRow="0" w:firstColumn="0" w:lastColumn="0" w:noHBand="0" w:noVBand="0"/>
      </w:tblPr>
      <w:tblGrid>
        <w:gridCol w:w="2956"/>
        <w:gridCol w:w="2930"/>
        <w:gridCol w:w="3044"/>
      </w:tblGrid>
      <w:tr w:rsidR="00B57E1B" w:rsidRPr="005D4F27" w14:paraId="77C38A13" w14:textId="77777777" w:rsidTr="00B57E1B">
        <w:trPr>
          <w:cantSplit/>
          <w:trHeight w:val="512"/>
          <w:jc w:val="center"/>
        </w:trPr>
        <w:tc>
          <w:tcPr>
            <w:tcW w:w="2956" w:type="dxa"/>
            <w:tcBorders>
              <w:top w:val="single" w:sz="12" w:space="0" w:color="auto"/>
              <w:bottom w:val="single" w:sz="12" w:space="0" w:color="auto"/>
              <w:right w:val="single" w:sz="12" w:space="0" w:color="auto"/>
            </w:tcBorders>
            <w:shd w:val="clear" w:color="auto" w:fill="E6E6E6"/>
            <w:vAlign w:val="center"/>
          </w:tcPr>
          <w:p w14:paraId="1D4E4DD9" w14:textId="77777777" w:rsidR="00B57E1B" w:rsidRPr="005D4F27" w:rsidRDefault="00B57E1B" w:rsidP="00FC7C49">
            <w:pPr>
              <w:ind w:left="57"/>
              <w:rPr>
                <w:rFonts w:eastAsia="Calibri"/>
                <w:b/>
              </w:rPr>
            </w:pPr>
            <w:r w:rsidRPr="005D4F27">
              <w:rPr>
                <w:rFonts w:eastAsia="Calibri"/>
                <w:b/>
              </w:rPr>
              <w:t>Stoff</w:t>
            </w:r>
          </w:p>
        </w:tc>
        <w:tc>
          <w:tcPr>
            <w:tcW w:w="2930" w:type="dxa"/>
            <w:tcBorders>
              <w:top w:val="single" w:sz="12" w:space="0" w:color="auto"/>
              <w:left w:val="single" w:sz="12" w:space="0" w:color="auto"/>
              <w:bottom w:val="single" w:sz="12" w:space="0" w:color="auto"/>
            </w:tcBorders>
            <w:shd w:val="clear" w:color="auto" w:fill="E6E6E6"/>
            <w:vAlign w:val="center"/>
          </w:tcPr>
          <w:p w14:paraId="600D38B9" w14:textId="77777777" w:rsidR="00B57E1B" w:rsidRPr="005D4F27" w:rsidRDefault="00B57E1B" w:rsidP="00FC7C49">
            <w:pPr>
              <w:ind w:left="57"/>
              <w:rPr>
                <w:rFonts w:eastAsia="Calibri"/>
                <w:b/>
              </w:rPr>
            </w:pPr>
            <w:r w:rsidRPr="005D4F27">
              <w:rPr>
                <w:rFonts w:eastAsia="Calibri"/>
                <w:b/>
              </w:rPr>
              <w:t>Methode</w:t>
            </w:r>
          </w:p>
        </w:tc>
        <w:tc>
          <w:tcPr>
            <w:tcW w:w="3044" w:type="dxa"/>
            <w:tcBorders>
              <w:top w:val="single" w:sz="12" w:space="0" w:color="auto"/>
              <w:bottom w:val="single" w:sz="12" w:space="0" w:color="auto"/>
            </w:tcBorders>
            <w:shd w:val="clear" w:color="auto" w:fill="E6E6E6"/>
            <w:vAlign w:val="center"/>
          </w:tcPr>
          <w:p w14:paraId="76460891" w14:textId="77777777" w:rsidR="00B57E1B" w:rsidRPr="005D4F27" w:rsidRDefault="00B57E1B" w:rsidP="00FC7C49">
            <w:pPr>
              <w:ind w:left="57"/>
              <w:rPr>
                <w:rFonts w:eastAsia="Calibri"/>
                <w:b/>
              </w:rPr>
            </w:pPr>
            <w:r w:rsidRPr="005D4F27">
              <w:rPr>
                <w:rFonts w:eastAsia="Calibri"/>
                <w:b/>
              </w:rPr>
              <w:t>Norm</w:t>
            </w:r>
          </w:p>
        </w:tc>
      </w:tr>
      <w:tr w:rsidR="00B57E1B" w:rsidRPr="005D4F27" w14:paraId="5E84C224" w14:textId="77777777" w:rsidTr="00B57E1B">
        <w:trPr>
          <w:cantSplit/>
          <w:jc w:val="center"/>
        </w:trPr>
        <w:tc>
          <w:tcPr>
            <w:tcW w:w="2956" w:type="dxa"/>
            <w:vMerge w:val="restart"/>
            <w:tcBorders>
              <w:right w:val="single" w:sz="12" w:space="0" w:color="auto"/>
            </w:tcBorders>
          </w:tcPr>
          <w:p w14:paraId="2394EE38" w14:textId="77777777" w:rsidR="00B57E1B" w:rsidRPr="005D4F27" w:rsidRDefault="00B57E1B" w:rsidP="00FC7C49">
            <w:pPr>
              <w:ind w:left="57"/>
              <w:rPr>
                <w:rFonts w:eastAsia="Calibri"/>
                <w:color w:val="222222"/>
              </w:rPr>
            </w:pPr>
            <w:r w:rsidRPr="005D4F27">
              <w:rPr>
                <w:rFonts w:eastAsia="Calibri"/>
                <w:color w:val="222222"/>
              </w:rPr>
              <w:t>Antimon, Arsen, Blei, Cadmium, Chrom gesamt, Kobalt, Kupfer, Nickel, Molybdän, Selen, Thallium, Vanadium, Zink</w:t>
            </w:r>
          </w:p>
        </w:tc>
        <w:tc>
          <w:tcPr>
            <w:tcW w:w="2930" w:type="dxa"/>
            <w:tcBorders>
              <w:left w:val="single" w:sz="12" w:space="0" w:color="auto"/>
            </w:tcBorders>
          </w:tcPr>
          <w:p w14:paraId="2383A2CD" w14:textId="77777777" w:rsidR="00B57E1B" w:rsidRPr="005D4F27" w:rsidRDefault="00B57E1B" w:rsidP="00FC7C49">
            <w:pPr>
              <w:ind w:left="57"/>
              <w:rPr>
                <w:rFonts w:eastAsia="Calibri"/>
                <w:color w:val="222222"/>
              </w:rPr>
            </w:pPr>
            <w:r w:rsidRPr="005D4F27">
              <w:rPr>
                <w:rFonts w:eastAsia="Calibri"/>
                <w:color w:val="222222"/>
              </w:rPr>
              <w:t>ICP-Atomemissions</w:t>
            </w:r>
            <w:r w:rsidRPr="005D4F27">
              <w:rPr>
                <w:rFonts w:eastAsia="Calibri"/>
                <w:color w:val="222222"/>
              </w:rPr>
              <w:softHyphen/>
              <w:t>spektrometrie (ICP-AES/ICP-OES)</w:t>
            </w:r>
          </w:p>
        </w:tc>
        <w:tc>
          <w:tcPr>
            <w:tcW w:w="3044" w:type="dxa"/>
          </w:tcPr>
          <w:p w14:paraId="0C095EC1" w14:textId="77777777" w:rsidR="00B57E1B" w:rsidRPr="005D4F27" w:rsidRDefault="00B57E1B" w:rsidP="00FC7C49">
            <w:pPr>
              <w:ind w:left="57"/>
              <w:rPr>
                <w:rFonts w:eastAsia="Calibri"/>
                <w:lang w:val="sv-SE"/>
              </w:rPr>
            </w:pPr>
            <w:r w:rsidRPr="005D4F27">
              <w:rPr>
                <w:rFonts w:eastAsia="Calibri"/>
                <w:lang w:val="sv-SE"/>
              </w:rPr>
              <w:t>DIN ISO 22036:2009-06</w:t>
            </w:r>
          </w:p>
        </w:tc>
      </w:tr>
      <w:tr w:rsidR="00B57E1B" w:rsidRPr="005D4F27" w14:paraId="250D7CE3" w14:textId="77777777" w:rsidTr="00B57E1B">
        <w:trPr>
          <w:cantSplit/>
          <w:jc w:val="center"/>
        </w:trPr>
        <w:tc>
          <w:tcPr>
            <w:tcW w:w="2956" w:type="dxa"/>
            <w:vMerge/>
            <w:tcBorders>
              <w:right w:val="single" w:sz="12" w:space="0" w:color="auto"/>
            </w:tcBorders>
          </w:tcPr>
          <w:p w14:paraId="2618C97A" w14:textId="77777777" w:rsidR="00B57E1B" w:rsidRPr="005D4F27" w:rsidRDefault="00B57E1B" w:rsidP="00FC7C49">
            <w:pPr>
              <w:ind w:left="57"/>
              <w:rPr>
                <w:rFonts w:eastAsia="Calibri"/>
                <w:color w:val="222222"/>
              </w:rPr>
            </w:pPr>
          </w:p>
        </w:tc>
        <w:tc>
          <w:tcPr>
            <w:tcW w:w="2930" w:type="dxa"/>
            <w:tcBorders>
              <w:left w:val="single" w:sz="12" w:space="0" w:color="auto"/>
            </w:tcBorders>
          </w:tcPr>
          <w:p w14:paraId="1FF62477" w14:textId="77777777" w:rsidR="00B57E1B" w:rsidRPr="005D4F27" w:rsidRDefault="00B57E1B" w:rsidP="00FC7C49">
            <w:pPr>
              <w:ind w:left="57"/>
              <w:rPr>
                <w:rFonts w:eastAsia="Calibri"/>
                <w:color w:val="222222"/>
              </w:rPr>
            </w:pPr>
            <w:r w:rsidRPr="005D4F27">
              <w:rPr>
                <w:rFonts w:eastAsia="Calibri"/>
                <w:color w:val="222222"/>
              </w:rPr>
              <w:t>induktiv gekoppelte</w:t>
            </w:r>
            <w:r w:rsidRPr="005D4F27">
              <w:rPr>
                <w:rFonts w:eastAsia="Calibri"/>
                <w:color w:val="222222"/>
              </w:rPr>
              <w:br/>
              <w:t>Plasma-Atom-</w:t>
            </w:r>
            <w:proofErr w:type="spellStart"/>
            <w:r w:rsidRPr="005D4F27">
              <w:rPr>
                <w:rFonts w:eastAsia="Calibri"/>
                <w:color w:val="222222"/>
              </w:rPr>
              <w:t>Emissionsspektrometrie</w:t>
            </w:r>
            <w:proofErr w:type="spellEnd"/>
            <w:r w:rsidRPr="005D4F27">
              <w:rPr>
                <w:rFonts w:eastAsia="Calibri"/>
                <w:color w:val="222222"/>
              </w:rPr>
              <w:t xml:space="preserve"> (ICP-OES)</w:t>
            </w:r>
          </w:p>
        </w:tc>
        <w:tc>
          <w:tcPr>
            <w:tcW w:w="3044" w:type="dxa"/>
          </w:tcPr>
          <w:p w14:paraId="40E1A639" w14:textId="77777777" w:rsidR="00B57E1B" w:rsidRPr="005D4F27" w:rsidRDefault="00B57E1B" w:rsidP="00FC7C49">
            <w:pPr>
              <w:rPr>
                <w:rFonts w:eastAsia="Calibri"/>
                <w:lang w:val="sv-SE"/>
              </w:rPr>
            </w:pPr>
            <w:r w:rsidRPr="005D4F27">
              <w:rPr>
                <w:rFonts w:eastAsia="Calibri"/>
                <w:lang w:val="sv-SE"/>
              </w:rPr>
              <w:t>DIN EN ISO 11885:2009-09</w:t>
            </w:r>
          </w:p>
          <w:p w14:paraId="2BB2AD01" w14:textId="77777777" w:rsidR="00B57E1B" w:rsidRPr="005D4F27" w:rsidRDefault="00B57E1B" w:rsidP="00FC7C49">
            <w:pPr>
              <w:rPr>
                <w:rFonts w:eastAsia="Calibri"/>
                <w:lang w:val="sv-SE"/>
              </w:rPr>
            </w:pPr>
            <w:r w:rsidRPr="005D4F27">
              <w:rPr>
                <w:rFonts w:eastAsia="Calibri"/>
                <w:lang w:val="sv-SE"/>
              </w:rPr>
              <w:t>DIN EN 16170:2017-01</w:t>
            </w:r>
          </w:p>
          <w:p w14:paraId="00A3C01B" w14:textId="77777777" w:rsidR="00B57E1B" w:rsidRPr="005D4F27" w:rsidRDefault="00B57E1B" w:rsidP="00FC7C49">
            <w:pPr>
              <w:rPr>
                <w:rFonts w:eastAsia="Calibri"/>
                <w:bCs/>
              </w:rPr>
            </w:pPr>
          </w:p>
        </w:tc>
      </w:tr>
      <w:tr w:rsidR="00B57E1B" w:rsidRPr="005D4F27" w14:paraId="4E6C2F5C" w14:textId="77777777" w:rsidTr="00B57E1B">
        <w:trPr>
          <w:cantSplit/>
          <w:jc w:val="center"/>
        </w:trPr>
        <w:tc>
          <w:tcPr>
            <w:tcW w:w="2956" w:type="dxa"/>
            <w:vMerge/>
            <w:tcBorders>
              <w:right w:val="single" w:sz="12" w:space="0" w:color="auto"/>
            </w:tcBorders>
          </w:tcPr>
          <w:p w14:paraId="117CE956" w14:textId="77777777" w:rsidR="00B57E1B" w:rsidRPr="005D4F27" w:rsidRDefault="00B57E1B" w:rsidP="00FC7C49">
            <w:pPr>
              <w:ind w:left="57"/>
              <w:rPr>
                <w:rFonts w:eastAsia="Calibri"/>
                <w:color w:val="222222"/>
              </w:rPr>
            </w:pPr>
          </w:p>
        </w:tc>
        <w:tc>
          <w:tcPr>
            <w:tcW w:w="2930" w:type="dxa"/>
            <w:tcBorders>
              <w:left w:val="single" w:sz="12" w:space="0" w:color="auto"/>
            </w:tcBorders>
          </w:tcPr>
          <w:p w14:paraId="00103132" w14:textId="77777777" w:rsidR="00B57E1B" w:rsidRPr="005D4F27" w:rsidRDefault="00B57E1B" w:rsidP="00FC7C49">
            <w:pPr>
              <w:ind w:left="57"/>
              <w:rPr>
                <w:rFonts w:eastAsia="Calibri"/>
              </w:rPr>
            </w:pPr>
            <w:r w:rsidRPr="005D4F27">
              <w:rPr>
                <w:rFonts w:eastAsia="Calibri"/>
              </w:rPr>
              <w:t>ICP- Massenspektrometrie (ICP-MS) möglich, Berück</w:t>
            </w:r>
            <w:r w:rsidRPr="005D4F27">
              <w:rPr>
                <w:rFonts w:eastAsia="Calibri"/>
              </w:rPr>
              <w:softHyphen/>
              <w:t>sichtigung von spektralen Störungen bei hohen Matrix</w:t>
            </w:r>
            <w:r w:rsidRPr="005D4F27">
              <w:rPr>
                <w:rFonts w:eastAsia="Calibri"/>
              </w:rPr>
              <w:softHyphen/>
              <w:t>konzentrationen erforderlich</w:t>
            </w:r>
          </w:p>
        </w:tc>
        <w:tc>
          <w:tcPr>
            <w:tcW w:w="3044" w:type="dxa"/>
          </w:tcPr>
          <w:p w14:paraId="083BF5B1" w14:textId="77777777" w:rsidR="00B57E1B" w:rsidRPr="005D4F27" w:rsidRDefault="00B57E1B" w:rsidP="00FC7C49">
            <w:pPr>
              <w:rPr>
                <w:rFonts w:eastAsia="Calibri"/>
                <w:lang w:val="sv-SE"/>
              </w:rPr>
            </w:pPr>
            <w:r w:rsidRPr="005D4F27">
              <w:rPr>
                <w:rFonts w:eastAsia="Calibri"/>
                <w:lang w:val="sv-SE"/>
              </w:rPr>
              <w:t>DIN EN 16171:2017-01</w:t>
            </w:r>
          </w:p>
          <w:p w14:paraId="7F4D2AB4" w14:textId="77777777" w:rsidR="00B57E1B" w:rsidRPr="005D4F27" w:rsidDel="003A1368" w:rsidRDefault="00B57E1B" w:rsidP="00FC7C49">
            <w:pPr>
              <w:rPr>
                <w:rFonts w:eastAsia="Calibri"/>
                <w:lang w:val="sv-SE"/>
              </w:rPr>
            </w:pPr>
            <w:r w:rsidRPr="005D4F27">
              <w:rPr>
                <w:rFonts w:eastAsia="Calibri"/>
                <w:lang w:val="sv-SE"/>
              </w:rPr>
              <w:t>DIN EN ISO 17294-2:2017-01</w:t>
            </w:r>
          </w:p>
        </w:tc>
      </w:tr>
      <w:tr w:rsidR="00B57E1B" w:rsidRPr="005D4F27" w14:paraId="5BB92B21" w14:textId="77777777" w:rsidTr="00B57E1B">
        <w:trPr>
          <w:cantSplit/>
          <w:jc w:val="center"/>
        </w:trPr>
        <w:tc>
          <w:tcPr>
            <w:tcW w:w="2956" w:type="dxa"/>
            <w:vMerge w:val="restart"/>
            <w:tcBorders>
              <w:right w:val="single" w:sz="12" w:space="0" w:color="auto"/>
            </w:tcBorders>
          </w:tcPr>
          <w:p w14:paraId="2761C519" w14:textId="77777777" w:rsidR="00B57E1B" w:rsidRPr="005D4F27" w:rsidRDefault="00B57E1B" w:rsidP="00FC7C49">
            <w:pPr>
              <w:ind w:left="57"/>
              <w:rPr>
                <w:rFonts w:eastAsia="Calibri"/>
                <w:lang w:val="fr-FR"/>
              </w:rPr>
            </w:pPr>
            <w:r w:rsidRPr="005D4F27">
              <w:rPr>
                <w:rFonts w:eastAsia="Calibri"/>
              </w:rPr>
              <w:t>Arsen</w:t>
            </w:r>
          </w:p>
        </w:tc>
        <w:tc>
          <w:tcPr>
            <w:tcW w:w="2930" w:type="dxa"/>
            <w:tcBorders>
              <w:left w:val="single" w:sz="12" w:space="0" w:color="auto"/>
            </w:tcBorders>
          </w:tcPr>
          <w:p w14:paraId="6CD32067" w14:textId="77777777" w:rsidR="00B57E1B" w:rsidRPr="005D4F27" w:rsidRDefault="00B57E1B" w:rsidP="00FC7C49">
            <w:pPr>
              <w:ind w:left="57"/>
              <w:rPr>
                <w:rFonts w:eastAsia="Calibri"/>
                <w:lang w:val="fr-FR"/>
              </w:rPr>
            </w:pPr>
            <w:r w:rsidRPr="005D4F27">
              <w:rPr>
                <w:rFonts w:eastAsia="Calibri"/>
              </w:rPr>
              <w:t>ICP-AES/ICP-OES</w:t>
            </w:r>
          </w:p>
        </w:tc>
        <w:tc>
          <w:tcPr>
            <w:tcW w:w="3044" w:type="dxa"/>
          </w:tcPr>
          <w:p w14:paraId="7A8F04D4" w14:textId="77777777" w:rsidR="00B57E1B" w:rsidRPr="005D4F27" w:rsidRDefault="00B57E1B" w:rsidP="00FC7C49">
            <w:pPr>
              <w:ind w:left="57"/>
              <w:rPr>
                <w:rFonts w:eastAsia="Calibri"/>
              </w:rPr>
            </w:pPr>
            <w:r w:rsidRPr="005D4F27">
              <w:rPr>
                <w:rFonts w:eastAsia="Calibri"/>
                <w:lang w:val="sv-SE"/>
              </w:rPr>
              <w:t>DIN ISO 22036:2009-06</w:t>
            </w:r>
          </w:p>
        </w:tc>
      </w:tr>
      <w:tr w:rsidR="00B57E1B" w:rsidRPr="005D4F27" w14:paraId="30BFB440" w14:textId="77777777" w:rsidTr="00B57E1B">
        <w:trPr>
          <w:cantSplit/>
          <w:jc w:val="center"/>
        </w:trPr>
        <w:tc>
          <w:tcPr>
            <w:tcW w:w="2956" w:type="dxa"/>
            <w:vMerge/>
            <w:tcBorders>
              <w:right w:val="single" w:sz="12" w:space="0" w:color="auto"/>
            </w:tcBorders>
          </w:tcPr>
          <w:p w14:paraId="69B88367" w14:textId="77777777" w:rsidR="00B57E1B" w:rsidRPr="005D4F27" w:rsidRDefault="00B57E1B" w:rsidP="00FC7C49">
            <w:pPr>
              <w:rPr>
                <w:rFonts w:eastAsia="Calibri"/>
              </w:rPr>
            </w:pPr>
          </w:p>
        </w:tc>
        <w:tc>
          <w:tcPr>
            <w:tcW w:w="2930" w:type="dxa"/>
            <w:tcBorders>
              <w:left w:val="single" w:sz="12" w:space="0" w:color="auto"/>
            </w:tcBorders>
          </w:tcPr>
          <w:p w14:paraId="6695EE44" w14:textId="77777777" w:rsidR="00B57E1B" w:rsidRPr="005D4F27" w:rsidRDefault="00B57E1B" w:rsidP="00FC7C49">
            <w:pPr>
              <w:ind w:left="57"/>
              <w:rPr>
                <w:rFonts w:eastAsia="Calibri"/>
              </w:rPr>
            </w:pPr>
            <w:r w:rsidRPr="005D4F27">
              <w:rPr>
                <w:rFonts w:eastAsia="Calibri"/>
              </w:rPr>
              <w:t>ICP-MS</w:t>
            </w:r>
          </w:p>
        </w:tc>
        <w:tc>
          <w:tcPr>
            <w:tcW w:w="3044" w:type="dxa"/>
          </w:tcPr>
          <w:p w14:paraId="20E29D77" w14:textId="77777777" w:rsidR="00B57E1B" w:rsidRPr="005D4F27" w:rsidRDefault="00B57E1B" w:rsidP="00FC7C49">
            <w:pPr>
              <w:ind w:left="57"/>
              <w:rPr>
                <w:rFonts w:eastAsia="Calibri"/>
              </w:rPr>
            </w:pPr>
            <w:r w:rsidRPr="005D4F27">
              <w:rPr>
                <w:rFonts w:eastAsia="Calibri"/>
              </w:rPr>
              <w:t>DIN EN ISO 17294-2:</w:t>
            </w:r>
            <w:r w:rsidRPr="005D4F27">
              <w:rPr>
                <w:rFonts w:eastAsia="Calibri"/>
                <w:lang w:val="sv-SE"/>
              </w:rPr>
              <w:t>2017-01</w:t>
            </w:r>
          </w:p>
        </w:tc>
      </w:tr>
      <w:tr w:rsidR="00B57E1B" w:rsidRPr="005D4F27" w14:paraId="0BE34172" w14:textId="77777777" w:rsidTr="00B57E1B">
        <w:trPr>
          <w:cantSplit/>
          <w:jc w:val="center"/>
        </w:trPr>
        <w:tc>
          <w:tcPr>
            <w:tcW w:w="2956" w:type="dxa"/>
            <w:vMerge/>
            <w:tcBorders>
              <w:right w:val="single" w:sz="12" w:space="0" w:color="auto"/>
            </w:tcBorders>
          </w:tcPr>
          <w:p w14:paraId="4572C2CE" w14:textId="77777777" w:rsidR="00B57E1B" w:rsidRPr="005D4F27" w:rsidRDefault="00B57E1B" w:rsidP="00FC7C49">
            <w:pPr>
              <w:rPr>
                <w:rFonts w:eastAsia="Calibri"/>
              </w:rPr>
            </w:pPr>
          </w:p>
        </w:tc>
        <w:tc>
          <w:tcPr>
            <w:tcW w:w="2930" w:type="dxa"/>
            <w:tcBorders>
              <w:left w:val="single" w:sz="12" w:space="0" w:color="auto"/>
            </w:tcBorders>
          </w:tcPr>
          <w:p w14:paraId="5EA84495" w14:textId="77777777" w:rsidR="00B57E1B" w:rsidRPr="005D4F27" w:rsidRDefault="00B57E1B" w:rsidP="00FC7C49">
            <w:pPr>
              <w:ind w:left="57"/>
              <w:rPr>
                <w:rFonts w:eastAsia="Calibri"/>
              </w:rPr>
            </w:pPr>
            <w:r w:rsidRPr="005D4F27">
              <w:rPr>
                <w:rFonts w:eastAsia="Calibri"/>
              </w:rPr>
              <w:t>Hydrid-</w:t>
            </w:r>
            <w:hyperlink r:id="rId11" w:tooltip="Atomabsorptionsspektrometrie" w:history="1">
              <w:r w:rsidRPr="005D4F27">
                <w:rPr>
                  <w:rFonts w:eastAsia="Calibri"/>
                </w:rPr>
                <w:t>Atom-</w:t>
              </w:r>
              <w:proofErr w:type="spellStart"/>
              <w:r w:rsidRPr="005D4F27">
                <w:rPr>
                  <w:rFonts w:eastAsia="Calibri"/>
                </w:rPr>
                <w:t>absorptionsspektrometrie</w:t>
              </w:r>
              <w:proofErr w:type="spellEnd"/>
            </w:hyperlink>
            <w:r w:rsidRPr="005D4F27">
              <w:rPr>
                <w:rFonts w:eastAsia="Calibri"/>
              </w:rPr>
              <w:t xml:space="preserve"> (Hydrid–AAS)</w:t>
            </w:r>
          </w:p>
        </w:tc>
        <w:tc>
          <w:tcPr>
            <w:tcW w:w="3044" w:type="dxa"/>
          </w:tcPr>
          <w:p w14:paraId="785BE99C" w14:textId="77777777" w:rsidR="00B57E1B" w:rsidRPr="005D4F27" w:rsidRDefault="00B57E1B" w:rsidP="00FC7C49">
            <w:pPr>
              <w:ind w:left="57"/>
              <w:rPr>
                <w:rFonts w:eastAsia="Calibri"/>
                <w:lang w:val="sv-SE"/>
              </w:rPr>
            </w:pPr>
            <w:r w:rsidRPr="005D4F27">
              <w:rPr>
                <w:rFonts w:eastAsia="Calibri"/>
                <w:lang w:val="sv-SE"/>
              </w:rPr>
              <w:t>E DIN ISO 17378-2:2017-01</w:t>
            </w:r>
          </w:p>
          <w:p w14:paraId="791DEB92" w14:textId="77777777" w:rsidR="00B57E1B" w:rsidRPr="005D4F27" w:rsidRDefault="00B57E1B" w:rsidP="00FC7C49">
            <w:pPr>
              <w:ind w:left="57"/>
              <w:rPr>
                <w:rFonts w:eastAsia="Calibri"/>
                <w:lang w:val="sv-SE"/>
              </w:rPr>
            </w:pPr>
            <w:r w:rsidRPr="005D4F27">
              <w:rPr>
                <w:rFonts w:eastAsia="Calibri"/>
                <w:lang w:val="sv-SE"/>
              </w:rPr>
              <w:t>DIN ISO 20280:2010-05</w:t>
            </w:r>
          </w:p>
        </w:tc>
      </w:tr>
      <w:tr w:rsidR="00B57E1B" w:rsidRPr="005D4F27" w14:paraId="27CE7980" w14:textId="77777777" w:rsidTr="00B57E1B">
        <w:trPr>
          <w:cantSplit/>
          <w:jc w:val="center"/>
        </w:trPr>
        <w:tc>
          <w:tcPr>
            <w:tcW w:w="2956" w:type="dxa"/>
            <w:vMerge w:val="restart"/>
            <w:tcBorders>
              <w:right w:val="single" w:sz="12" w:space="0" w:color="auto"/>
            </w:tcBorders>
          </w:tcPr>
          <w:p w14:paraId="28525A34" w14:textId="77777777" w:rsidR="00B57E1B" w:rsidRPr="005D4F27" w:rsidRDefault="00B57E1B" w:rsidP="00FC7C49">
            <w:pPr>
              <w:ind w:left="57"/>
              <w:rPr>
                <w:rFonts w:eastAsia="Calibri"/>
              </w:rPr>
            </w:pPr>
            <w:r w:rsidRPr="005D4F27">
              <w:rPr>
                <w:rFonts w:eastAsia="Calibri"/>
              </w:rPr>
              <w:t>Quecksilber</w:t>
            </w:r>
          </w:p>
        </w:tc>
        <w:tc>
          <w:tcPr>
            <w:tcW w:w="2930" w:type="dxa"/>
            <w:tcBorders>
              <w:left w:val="single" w:sz="12" w:space="0" w:color="auto"/>
            </w:tcBorders>
          </w:tcPr>
          <w:p w14:paraId="7A5B41AC" w14:textId="77777777" w:rsidR="00B57E1B" w:rsidRPr="005D4F27" w:rsidRDefault="00B57E1B" w:rsidP="00FC7C49">
            <w:pPr>
              <w:ind w:left="57"/>
              <w:rPr>
                <w:rFonts w:eastAsia="Calibri"/>
              </w:rPr>
            </w:pPr>
            <w:r w:rsidRPr="005D4F27">
              <w:rPr>
                <w:rFonts w:eastAsia="Calibri"/>
              </w:rPr>
              <w:t>AAS - Kaltdampftechnik; bei der Probenvorbehandlung darf die Trocknungs</w:t>
            </w:r>
            <w:r w:rsidRPr="005D4F27">
              <w:rPr>
                <w:rFonts w:eastAsia="Calibri"/>
              </w:rPr>
              <w:softHyphen/>
              <w:t>temperatur 40 ºC nicht überschreiten</w:t>
            </w:r>
          </w:p>
        </w:tc>
        <w:tc>
          <w:tcPr>
            <w:tcW w:w="3044" w:type="dxa"/>
          </w:tcPr>
          <w:p w14:paraId="19F359F3" w14:textId="77777777" w:rsidR="00B57E1B" w:rsidRPr="005D4F27" w:rsidRDefault="00B57E1B" w:rsidP="00FC7C49">
            <w:pPr>
              <w:ind w:left="57"/>
              <w:rPr>
                <w:rFonts w:eastAsia="Calibri"/>
                <w:lang w:val="sv-SE"/>
              </w:rPr>
            </w:pPr>
            <w:r w:rsidRPr="005D4F27">
              <w:rPr>
                <w:rFonts w:eastAsia="Calibri"/>
              </w:rPr>
              <w:t>DIN EN ISO 15586:2004-02</w:t>
            </w:r>
          </w:p>
        </w:tc>
      </w:tr>
      <w:tr w:rsidR="00B57E1B" w:rsidRPr="005D4F27" w14:paraId="7BC99AFE" w14:textId="77777777" w:rsidTr="00B57E1B">
        <w:trPr>
          <w:cantSplit/>
          <w:jc w:val="center"/>
        </w:trPr>
        <w:tc>
          <w:tcPr>
            <w:tcW w:w="2956" w:type="dxa"/>
            <w:vMerge/>
            <w:tcBorders>
              <w:right w:val="single" w:sz="12" w:space="0" w:color="auto"/>
            </w:tcBorders>
          </w:tcPr>
          <w:p w14:paraId="3717DC26" w14:textId="77777777" w:rsidR="00B57E1B" w:rsidRPr="005D4F27" w:rsidRDefault="00B57E1B" w:rsidP="00FC7C49">
            <w:pPr>
              <w:ind w:left="57"/>
              <w:rPr>
                <w:rFonts w:eastAsia="Calibri"/>
              </w:rPr>
            </w:pPr>
          </w:p>
        </w:tc>
        <w:tc>
          <w:tcPr>
            <w:tcW w:w="2930" w:type="dxa"/>
            <w:tcBorders>
              <w:left w:val="single" w:sz="12" w:space="0" w:color="auto"/>
            </w:tcBorders>
          </w:tcPr>
          <w:p w14:paraId="29655D92" w14:textId="77777777" w:rsidR="00B57E1B" w:rsidRPr="005D4F27" w:rsidRDefault="00B57E1B" w:rsidP="00FC7C49">
            <w:pPr>
              <w:ind w:left="57"/>
              <w:rPr>
                <w:rFonts w:eastAsia="Calibri"/>
              </w:rPr>
            </w:pPr>
          </w:p>
          <w:p w14:paraId="30C3739F" w14:textId="77777777" w:rsidR="00B57E1B" w:rsidRPr="005D4F27" w:rsidRDefault="00B57E1B" w:rsidP="00FC7C49">
            <w:pPr>
              <w:ind w:left="57"/>
              <w:rPr>
                <w:rFonts w:eastAsia="Calibri"/>
              </w:rPr>
            </w:pPr>
            <w:r w:rsidRPr="005D4F27">
              <w:rPr>
                <w:rFonts w:eastAsia="Calibri"/>
              </w:rPr>
              <w:t>ICP-MS</w:t>
            </w:r>
          </w:p>
        </w:tc>
        <w:tc>
          <w:tcPr>
            <w:tcW w:w="3044" w:type="dxa"/>
          </w:tcPr>
          <w:p w14:paraId="55375C79" w14:textId="77777777" w:rsidR="00B57E1B" w:rsidRPr="005D4F27" w:rsidRDefault="00B57E1B" w:rsidP="00FC7C49">
            <w:pPr>
              <w:ind w:left="57"/>
              <w:rPr>
                <w:rFonts w:eastAsia="Calibri"/>
              </w:rPr>
            </w:pPr>
          </w:p>
          <w:p w14:paraId="47E37343" w14:textId="77777777" w:rsidR="00B57E1B" w:rsidRPr="005D4F27" w:rsidRDefault="00B57E1B" w:rsidP="00FC7C49">
            <w:pPr>
              <w:ind w:left="57"/>
              <w:rPr>
                <w:rFonts w:eastAsia="Calibri"/>
                <w:lang w:val="sv-SE"/>
              </w:rPr>
            </w:pPr>
            <w:r w:rsidRPr="005D4F27">
              <w:rPr>
                <w:rFonts w:eastAsia="Calibri"/>
              </w:rPr>
              <w:t>DIN EN ISO 17294-2:</w:t>
            </w:r>
            <w:r w:rsidRPr="005D4F27">
              <w:rPr>
                <w:rFonts w:eastAsia="Calibri"/>
                <w:lang w:val="sv-SE"/>
              </w:rPr>
              <w:t>2017-01</w:t>
            </w:r>
          </w:p>
        </w:tc>
      </w:tr>
      <w:tr w:rsidR="00B57E1B" w:rsidRPr="005D4F27" w14:paraId="656FBBB7" w14:textId="77777777" w:rsidTr="00B57E1B">
        <w:trPr>
          <w:cantSplit/>
          <w:jc w:val="center"/>
        </w:trPr>
        <w:tc>
          <w:tcPr>
            <w:tcW w:w="2956" w:type="dxa"/>
            <w:tcBorders>
              <w:right w:val="single" w:sz="12" w:space="0" w:color="auto"/>
            </w:tcBorders>
          </w:tcPr>
          <w:p w14:paraId="004BF152" w14:textId="77777777" w:rsidR="00B57E1B" w:rsidRPr="005D4F27" w:rsidRDefault="00B57E1B" w:rsidP="00FC7C49">
            <w:pPr>
              <w:ind w:left="57"/>
              <w:rPr>
                <w:rFonts w:eastAsia="Calibri"/>
              </w:rPr>
            </w:pPr>
            <w:r w:rsidRPr="005D4F27">
              <w:rPr>
                <w:rFonts w:eastAsia="Calibri"/>
              </w:rPr>
              <w:t xml:space="preserve">Chrom </w:t>
            </w:r>
            <w:r w:rsidRPr="005D4F27">
              <w:rPr>
                <w:rFonts w:eastAsia="Calibri"/>
                <w:vertAlign w:val="subscript"/>
              </w:rPr>
              <w:t>VI</w:t>
            </w:r>
          </w:p>
        </w:tc>
        <w:tc>
          <w:tcPr>
            <w:tcW w:w="2930" w:type="dxa"/>
            <w:tcBorders>
              <w:left w:val="single" w:sz="12" w:space="0" w:color="auto"/>
            </w:tcBorders>
          </w:tcPr>
          <w:p w14:paraId="7C7591C1" w14:textId="77777777" w:rsidR="00B57E1B" w:rsidRPr="005D4F27" w:rsidRDefault="00B57E1B" w:rsidP="00FC7C49">
            <w:pPr>
              <w:ind w:left="57"/>
              <w:rPr>
                <w:rFonts w:eastAsia="Calibri"/>
              </w:rPr>
            </w:pPr>
            <w:r w:rsidRPr="005D4F27">
              <w:rPr>
                <w:rFonts w:eastAsia="Calibri"/>
              </w:rPr>
              <w:t xml:space="preserve">alkalisches Heiß-Extraktionsverfahren mit Natronlauge (0,5 </w:t>
            </w:r>
            <w:proofErr w:type="spellStart"/>
            <w:r w:rsidRPr="005D4F27">
              <w:rPr>
                <w:rFonts w:eastAsia="Calibri"/>
              </w:rPr>
              <w:t>mol</w:t>
            </w:r>
            <w:proofErr w:type="spellEnd"/>
            <w:r w:rsidRPr="005D4F27">
              <w:rPr>
                <w:rFonts w:eastAsia="Calibri"/>
              </w:rPr>
              <w:t>/</w:t>
            </w:r>
            <w:proofErr w:type="gramStart"/>
            <w:r w:rsidRPr="005D4F27">
              <w:rPr>
                <w:rFonts w:eastAsia="Calibri"/>
              </w:rPr>
              <w:t>l)/</w:t>
            </w:r>
            <w:proofErr w:type="gramEnd"/>
            <w:r w:rsidRPr="005D4F27">
              <w:rPr>
                <w:rFonts w:eastAsia="Calibri"/>
              </w:rPr>
              <w:t>Na</w:t>
            </w:r>
            <w:r w:rsidRPr="005D4F27">
              <w:rPr>
                <w:rFonts w:eastAsia="Calibri"/>
                <w:vertAlign w:val="subscript"/>
              </w:rPr>
              <w:t>2</w:t>
            </w:r>
            <w:r w:rsidRPr="005D4F27">
              <w:rPr>
                <w:rFonts w:eastAsia="Calibri"/>
              </w:rPr>
              <w:t>CO</w:t>
            </w:r>
            <w:r w:rsidRPr="005D4F27">
              <w:rPr>
                <w:rFonts w:eastAsia="Calibri"/>
                <w:vertAlign w:val="subscript"/>
              </w:rPr>
              <w:t>3</w:t>
            </w:r>
            <w:r w:rsidRPr="005D4F27">
              <w:rPr>
                <w:rFonts w:eastAsia="Calibri"/>
              </w:rPr>
              <w:t xml:space="preserve">-Lösung (0,28 </w:t>
            </w:r>
            <w:proofErr w:type="spellStart"/>
            <w:r w:rsidRPr="005D4F27">
              <w:rPr>
                <w:rFonts w:eastAsia="Calibri"/>
              </w:rPr>
              <w:t>mol</w:t>
            </w:r>
            <w:proofErr w:type="spellEnd"/>
            <w:r w:rsidRPr="005D4F27">
              <w:rPr>
                <w:rFonts w:eastAsia="Calibri"/>
              </w:rPr>
              <w:t>/l)</w:t>
            </w:r>
          </w:p>
        </w:tc>
        <w:tc>
          <w:tcPr>
            <w:tcW w:w="3044" w:type="dxa"/>
          </w:tcPr>
          <w:p w14:paraId="45659772" w14:textId="77777777" w:rsidR="00B57E1B" w:rsidRPr="005D4F27" w:rsidRDefault="00B57E1B" w:rsidP="00FC7C49">
            <w:pPr>
              <w:ind w:left="57"/>
              <w:rPr>
                <w:rFonts w:eastAsia="Calibri"/>
                <w:lang w:val="fr-FR"/>
              </w:rPr>
            </w:pPr>
            <w:r w:rsidRPr="005D4F27">
              <w:rPr>
                <w:rFonts w:eastAsia="Calibri"/>
                <w:lang w:val="fr-FR"/>
              </w:rPr>
              <w:t xml:space="preserve">DIN EN </w:t>
            </w:r>
            <w:proofErr w:type="gramStart"/>
            <w:r w:rsidRPr="005D4F27">
              <w:rPr>
                <w:rFonts w:eastAsia="Calibri"/>
                <w:lang w:val="fr-FR"/>
              </w:rPr>
              <w:t>15192:</w:t>
            </w:r>
            <w:proofErr w:type="gramEnd"/>
            <w:r w:rsidRPr="005D4F27">
              <w:rPr>
                <w:rFonts w:eastAsia="Calibri"/>
                <w:lang w:val="fr-FR"/>
              </w:rPr>
              <w:t>2007-02</w:t>
            </w:r>
          </w:p>
        </w:tc>
      </w:tr>
      <w:tr w:rsidR="00B57E1B" w:rsidRPr="005D4F27" w14:paraId="65B55F2D" w14:textId="77777777" w:rsidTr="00B57E1B">
        <w:trPr>
          <w:cantSplit/>
          <w:jc w:val="center"/>
        </w:trPr>
        <w:tc>
          <w:tcPr>
            <w:tcW w:w="2956" w:type="dxa"/>
            <w:tcBorders>
              <w:bottom w:val="single" w:sz="12" w:space="0" w:color="auto"/>
              <w:right w:val="single" w:sz="12" w:space="0" w:color="auto"/>
            </w:tcBorders>
          </w:tcPr>
          <w:p w14:paraId="0A814A61" w14:textId="77777777" w:rsidR="00B57E1B" w:rsidRPr="005D4F27" w:rsidRDefault="00B57E1B" w:rsidP="00FC7C49">
            <w:pPr>
              <w:ind w:left="57"/>
              <w:rPr>
                <w:rFonts w:eastAsia="Calibri"/>
                <w:lang w:val="fr-FR"/>
              </w:rPr>
            </w:pPr>
            <w:r w:rsidRPr="005D4F27">
              <w:rPr>
                <w:rFonts w:eastAsia="Calibri"/>
              </w:rPr>
              <w:t>Cyanide</w:t>
            </w:r>
          </w:p>
        </w:tc>
        <w:tc>
          <w:tcPr>
            <w:tcW w:w="2930" w:type="dxa"/>
            <w:tcBorders>
              <w:left w:val="single" w:sz="12" w:space="0" w:color="auto"/>
            </w:tcBorders>
          </w:tcPr>
          <w:p w14:paraId="1D0F181F" w14:textId="77777777" w:rsidR="00B57E1B" w:rsidRPr="005D4F27" w:rsidRDefault="00B57E1B" w:rsidP="00FC7C49">
            <w:pPr>
              <w:rPr>
                <w:rFonts w:eastAsia="Calibri"/>
              </w:rPr>
            </w:pPr>
            <w:r w:rsidRPr="005D4F27">
              <w:rPr>
                <w:rFonts w:eastAsia="Calibri"/>
              </w:rPr>
              <w:t>Verfahren mittels kontinuierlicher Durchflussanalyse</w:t>
            </w:r>
          </w:p>
        </w:tc>
        <w:tc>
          <w:tcPr>
            <w:tcW w:w="3044" w:type="dxa"/>
          </w:tcPr>
          <w:p w14:paraId="671D2F88" w14:textId="77777777" w:rsidR="00B57E1B" w:rsidRPr="005D4F27" w:rsidRDefault="00B57E1B" w:rsidP="00FC7C49">
            <w:pPr>
              <w:ind w:left="57"/>
              <w:rPr>
                <w:rFonts w:eastAsia="Calibri"/>
              </w:rPr>
            </w:pPr>
            <w:r w:rsidRPr="005D4F27">
              <w:rPr>
                <w:rFonts w:eastAsia="Calibri"/>
              </w:rPr>
              <w:t>DIN EN ISO 17380:</w:t>
            </w:r>
            <w:r w:rsidRPr="005D4F27">
              <w:rPr>
                <w:rFonts w:eastAsia="Calibri"/>
                <w:lang w:val="fr-FR"/>
              </w:rPr>
              <w:t>2013-10</w:t>
            </w:r>
          </w:p>
        </w:tc>
      </w:tr>
    </w:tbl>
    <w:p w14:paraId="6B421E8F" w14:textId="6BCEF645" w:rsidR="00B57E1B" w:rsidRDefault="00B57E1B" w:rsidP="00B57E1B">
      <w:pPr>
        <w:pStyle w:val="Text"/>
      </w:pPr>
    </w:p>
    <w:p w14:paraId="6DFB13CF" w14:textId="444BD78E" w:rsidR="00B57E1B" w:rsidRPr="008D0377" w:rsidRDefault="00B57E1B" w:rsidP="00B57E1B">
      <w:pPr>
        <w:pStyle w:val="berschrift1"/>
      </w:pPr>
      <w:r>
        <w:br w:type="page"/>
      </w:r>
      <w:r w:rsidRPr="008D0377">
        <w:lastRenderedPageBreak/>
        <w:t>Tabelle 5: Verfahren zur Bestimmung organischer Stoffgehalte</w:t>
      </w:r>
    </w:p>
    <w:p w14:paraId="4AB9D735" w14:textId="77777777" w:rsidR="00B57E1B" w:rsidRPr="005D4F27" w:rsidRDefault="00B57E1B" w:rsidP="00B57E1B">
      <w:pPr>
        <w:ind w:left="1418" w:hanging="1418"/>
        <w:rPr>
          <w:rFonts w:eastAsia="Calibri"/>
          <w:b/>
        </w:rPr>
      </w:pPr>
    </w:p>
    <w:tbl>
      <w:tblPr>
        <w:tblW w:w="921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35" w:type="dxa"/>
          <w:right w:w="35" w:type="dxa"/>
        </w:tblCellMar>
        <w:tblLook w:val="0000" w:firstRow="0" w:lastRow="0" w:firstColumn="0" w:lastColumn="0" w:noHBand="0" w:noVBand="0"/>
      </w:tblPr>
      <w:tblGrid>
        <w:gridCol w:w="2949"/>
        <w:gridCol w:w="3741"/>
        <w:gridCol w:w="2524"/>
      </w:tblGrid>
      <w:tr w:rsidR="00B57E1B" w:rsidRPr="005D4F27" w14:paraId="784E84A1" w14:textId="77777777" w:rsidTr="00B57E1B">
        <w:trPr>
          <w:cantSplit/>
          <w:trHeight w:val="449"/>
          <w:tblHeader/>
          <w:jc w:val="center"/>
        </w:trPr>
        <w:tc>
          <w:tcPr>
            <w:tcW w:w="2949" w:type="dxa"/>
            <w:tcBorders>
              <w:top w:val="single" w:sz="12" w:space="0" w:color="auto"/>
              <w:left w:val="single" w:sz="12" w:space="0" w:color="auto"/>
              <w:bottom w:val="single" w:sz="4" w:space="0" w:color="auto"/>
            </w:tcBorders>
            <w:shd w:val="clear" w:color="auto" w:fill="E6E6E6"/>
            <w:vAlign w:val="center"/>
          </w:tcPr>
          <w:p w14:paraId="5681EFE8" w14:textId="77777777" w:rsidR="00B57E1B" w:rsidRPr="005D4F27" w:rsidRDefault="00B57E1B" w:rsidP="00FC7C49">
            <w:pPr>
              <w:ind w:left="57"/>
              <w:rPr>
                <w:rFonts w:eastAsia="Calibri"/>
                <w:b/>
              </w:rPr>
            </w:pPr>
            <w:r w:rsidRPr="005D4F27">
              <w:rPr>
                <w:rFonts w:eastAsia="Calibri"/>
                <w:b/>
              </w:rPr>
              <w:t>Stoff</w:t>
            </w:r>
          </w:p>
        </w:tc>
        <w:tc>
          <w:tcPr>
            <w:tcW w:w="3741" w:type="dxa"/>
            <w:tcBorders>
              <w:top w:val="single" w:sz="12" w:space="0" w:color="auto"/>
              <w:bottom w:val="single" w:sz="4" w:space="0" w:color="auto"/>
            </w:tcBorders>
            <w:shd w:val="clear" w:color="auto" w:fill="E6E6E6"/>
            <w:vAlign w:val="center"/>
          </w:tcPr>
          <w:p w14:paraId="51DD8773" w14:textId="77777777" w:rsidR="00B57E1B" w:rsidRPr="005D4F27" w:rsidRDefault="00B57E1B" w:rsidP="00FC7C49">
            <w:pPr>
              <w:ind w:left="85"/>
              <w:rPr>
                <w:rFonts w:eastAsia="Calibri"/>
                <w:b/>
              </w:rPr>
            </w:pPr>
            <w:r w:rsidRPr="005D4F27">
              <w:rPr>
                <w:rFonts w:eastAsia="Calibri"/>
                <w:b/>
              </w:rPr>
              <w:t>Methode</w:t>
            </w:r>
          </w:p>
        </w:tc>
        <w:tc>
          <w:tcPr>
            <w:tcW w:w="2524" w:type="dxa"/>
            <w:tcBorders>
              <w:top w:val="single" w:sz="12" w:space="0" w:color="auto"/>
              <w:bottom w:val="single" w:sz="4" w:space="0" w:color="auto"/>
              <w:right w:val="single" w:sz="12" w:space="0" w:color="auto"/>
            </w:tcBorders>
            <w:shd w:val="clear" w:color="auto" w:fill="E6E6E6"/>
            <w:vAlign w:val="center"/>
          </w:tcPr>
          <w:p w14:paraId="3AA21D65" w14:textId="77777777" w:rsidR="00B57E1B" w:rsidRPr="005D4F27" w:rsidRDefault="00B57E1B" w:rsidP="00FC7C49">
            <w:pPr>
              <w:ind w:left="57"/>
              <w:rPr>
                <w:rFonts w:eastAsia="Calibri"/>
                <w:b/>
              </w:rPr>
            </w:pPr>
            <w:r w:rsidRPr="005D4F27">
              <w:rPr>
                <w:rFonts w:eastAsia="Calibri"/>
                <w:b/>
              </w:rPr>
              <w:t>Norm</w:t>
            </w:r>
          </w:p>
        </w:tc>
      </w:tr>
      <w:tr w:rsidR="00B57E1B" w:rsidRPr="005D4F27" w14:paraId="43398F9D" w14:textId="77777777" w:rsidTr="00B57E1B">
        <w:trPr>
          <w:cantSplit/>
          <w:jc w:val="center"/>
        </w:trPr>
        <w:tc>
          <w:tcPr>
            <w:tcW w:w="2949" w:type="dxa"/>
            <w:tcBorders>
              <w:top w:val="single" w:sz="4" w:space="0" w:color="auto"/>
              <w:left w:val="single" w:sz="12" w:space="0" w:color="auto"/>
              <w:bottom w:val="single" w:sz="4" w:space="0" w:color="auto"/>
            </w:tcBorders>
          </w:tcPr>
          <w:p w14:paraId="774305A1" w14:textId="77777777" w:rsidR="00B57E1B" w:rsidRPr="005D4F27" w:rsidRDefault="00B57E1B" w:rsidP="00FC7C49">
            <w:pPr>
              <w:ind w:left="57"/>
              <w:rPr>
                <w:rFonts w:eastAsia="Calibri"/>
              </w:rPr>
            </w:pPr>
            <w:r w:rsidRPr="005D4F27">
              <w:rPr>
                <w:rFonts w:eastAsia="Calibri"/>
              </w:rPr>
              <w:t>PAK</w:t>
            </w:r>
            <w:r w:rsidRPr="005D4F27">
              <w:rPr>
                <w:rFonts w:eastAsia="Calibri"/>
                <w:vertAlign w:val="subscript"/>
              </w:rPr>
              <w:t>16</w:t>
            </w:r>
          </w:p>
          <w:p w14:paraId="613BD61E" w14:textId="77777777" w:rsidR="00B57E1B" w:rsidRPr="005D4F27" w:rsidRDefault="00B57E1B" w:rsidP="00FC7C49">
            <w:pPr>
              <w:ind w:left="57"/>
              <w:rPr>
                <w:rFonts w:eastAsia="Calibri"/>
                <w:lang w:val="it-IT"/>
              </w:rPr>
            </w:pPr>
            <w:r w:rsidRPr="005D4F27">
              <w:rPr>
                <w:rFonts w:eastAsia="Calibri"/>
                <w:lang w:val="it-IT"/>
              </w:rPr>
              <w:t>Benzo(a)</w:t>
            </w:r>
            <w:proofErr w:type="spellStart"/>
            <w:r w:rsidRPr="005D4F27">
              <w:rPr>
                <w:rFonts w:eastAsia="Calibri"/>
                <w:lang w:val="it-IT"/>
              </w:rPr>
              <w:t>pyren</w:t>
            </w:r>
            <w:proofErr w:type="spellEnd"/>
          </w:p>
        </w:tc>
        <w:tc>
          <w:tcPr>
            <w:tcW w:w="3741" w:type="dxa"/>
            <w:tcBorders>
              <w:top w:val="single" w:sz="4" w:space="0" w:color="auto"/>
              <w:bottom w:val="single" w:sz="4" w:space="0" w:color="auto"/>
            </w:tcBorders>
          </w:tcPr>
          <w:p w14:paraId="4F9214A4" w14:textId="77777777" w:rsidR="00B57E1B" w:rsidRPr="005D4F27" w:rsidRDefault="00B57E1B" w:rsidP="00FC7C49">
            <w:pPr>
              <w:ind w:left="85"/>
              <w:rPr>
                <w:rFonts w:eastAsia="Calibri"/>
                <w:strike/>
              </w:rPr>
            </w:pPr>
            <w:r w:rsidRPr="005D4F27">
              <w:rPr>
                <w:rFonts w:eastAsia="Calibri"/>
              </w:rPr>
              <w:t xml:space="preserve">Extraktion mit Aceton, Zugeben von Petrolether, Entfernen des Acetons, chromatographische Reinigung des </w:t>
            </w:r>
            <w:proofErr w:type="spellStart"/>
            <w:r w:rsidRPr="005D4F27">
              <w:rPr>
                <w:rFonts w:eastAsia="Calibri"/>
              </w:rPr>
              <w:t>Petroletherextraktes</w:t>
            </w:r>
            <w:proofErr w:type="spellEnd"/>
            <w:r w:rsidRPr="005D4F27">
              <w:rPr>
                <w:rFonts w:eastAsia="Calibri"/>
              </w:rPr>
              <w:t xml:space="preserve">; Quantifizierung mittels GC-MS oder Aufnahme des </w:t>
            </w:r>
            <w:proofErr w:type="spellStart"/>
            <w:r w:rsidRPr="005D4F27">
              <w:rPr>
                <w:rFonts w:eastAsia="Calibri"/>
              </w:rPr>
              <w:t>Petroletherextraktes</w:t>
            </w:r>
            <w:proofErr w:type="spellEnd"/>
            <w:r w:rsidRPr="005D4F27">
              <w:rPr>
                <w:rFonts w:eastAsia="Calibri"/>
              </w:rPr>
              <w:t xml:space="preserve"> in Acetonitril; Quantifizierung mittels HPLC mit UV/DAD bzw. FLD</w:t>
            </w:r>
          </w:p>
        </w:tc>
        <w:tc>
          <w:tcPr>
            <w:tcW w:w="2524" w:type="dxa"/>
            <w:tcBorders>
              <w:top w:val="single" w:sz="4" w:space="0" w:color="auto"/>
              <w:bottom w:val="single" w:sz="4" w:space="0" w:color="auto"/>
              <w:right w:val="single" w:sz="12" w:space="0" w:color="auto"/>
            </w:tcBorders>
          </w:tcPr>
          <w:p w14:paraId="322EA5F4" w14:textId="77777777" w:rsidR="00B57E1B" w:rsidRPr="005D4F27" w:rsidRDefault="00B57E1B" w:rsidP="00FC7C49">
            <w:pPr>
              <w:ind w:left="57"/>
              <w:rPr>
                <w:rFonts w:eastAsia="Calibri"/>
              </w:rPr>
            </w:pPr>
            <w:r w:rsidRPr="005D4F27">
              <w:rPr>
                <w:rFonts w:eastAsia="Calibri"/>
              </w:rPr>
              <w:t>DIN ISO 18287:2006-05</w:t>
            </w:r>
          </w:p>
          <w:p w14:paraId="42A15B54" w14:textId="77777777" w:rsidR="00B57E1B" w:rsidRPr="005D4F27" w:rsidRDefault="00B57E1B" w:rsidP="00FC7C49">
            <w:pPr>
              <w:ind w:left="57"/>
              <w:rPr>
                <w:rFonts w:eastAsia="Calibri"/>
              </w:rPr>
            </w:pPr>
            <w:r w:rsidRPr="00B308AB">
              <w:rPr>
                <w:rFonts w:ascii="Times" w:eastAsia="Times" w:hAnsi="Times" w:cs="Times"/>
                <w:sz w:val="26"/>
              </w:rPr>
              <w:t xml:space="preserve"> </w:t>
            </w:r>
            <w:r w:rsidRPr="00B308AB">
              <w:rPr>
                <w:rFonts w:eastAsia="Calibri"/>
              </w:rPr>
              <w:t>DIN EN 16181:2019-08</w:t>
            </w:r>
          </w:p>
        </w:tc>
      </w:tr>
      <w:tr w:rsidR="00B57E1B" w:rsidRPr="005D4F27" w14:paraId="63B97410" w14:textId="77777777" w:rsidTr="00B57E1B">
        <w:trPr>
          <w:cantSplit/>
          <w:jc w:val="center"/>
        </w:trPr>
        <w:tc>
          <w:tcPr>
            <w:tcW w:w="2949" w:type="dxa"/>
            <w:tcBorders>
              <w:top w:val="single" w:sz="4" w:space="0" w:color="auto"/>
              <w:left w:val="single" w:sz="12" w:space="0" w:color="auto"/>
              <w:bottom w:val="single" w:sz="4" w:space="0" w:color="auto"/>
            </w:tcBorders>
          </w:tcPr>
          <w:p w14:paraId="12475BAB" w14:textId="77777777" w:rsidR="00B57E1B" w:rsidRPr="005D4F27" w:rsidRDefault="00B57E1B" w:rsidP="00FC7C49">
            <w:pPr>
              <w:ind w:left="57"/>
              <w:rPr>
                <w:rFonts w:eastAsia="Calibri"/>
              </w:rPr>
            </w:pPr>
            <w:r w:rsidRPr="005D4F27">
              <w:rPr>
                <w:rFonts w:eastAsia="Calibri"/>
              </w:rPr>
              <w:t>Hexachlorbenzol</w:t>
            </w:r>
          </w:p>
        </w:tc>
        <w:tc>
          <w:tcPr>
            <w:tcW w:w="3741" w:type="dxa"/>
            <w:tcBorders>
              <w:top w:val="single" w:sz="4" w:space="0" w:color="auto"/>
            </w:tcBorders>
          </w:tcPr>
          <w:p w14:paraId="56947C99" w14:textId="77777777" w:rsidR="00B57E1B" w:rsidRPr="005D4F27" w:rsidRDefault="00B57E1B" w:rsidP="00FC7C49">
            <w:pPr>
              <w:ind w:left="85"/>
              <w:rPr>
                <w:rFonts w:eastAsia="Calibri"/>
              </w:rPr>
            </w:pPr>
            <w:r w:rsidRPr="005D4F27">
              <w:rPr>
                <w:rFonts w:eastAsia="Calibri"/>
              </w:rPr>
              <w:t>Extraktion mit Aceton/ Cyclohexan-Gemisch oder Aceton/Petrolether, ggf. chromatographische Reinigung nach Entfernen des Acetons; Quantifizie</w:t>
            </w:r>
            <w:r w:rsidRPr="005D4F27">
              <w:rPr>
                <w:rFonts w:eastAsia="Calibri"/>
              </w:rPr>
              <w:softHyphen/>
              <w:t>rung mittels GC-ECD oder GC-MS</w:t>
            </w:r>
          </w:p>
        </w:tc>
        <w:tc>
          <w:tcPr>
            <w:tcW w:w="2524" w:type="dxa"/>
            <w:tcBorders>
              <w:top w:val="single" w:sz="4" w:space="0" w:color="auto"/>
              <w:bottom w:val="single" w:sz="4" w:space="0" w:color="auto"/>
              <w:right w:val="single" w:sz="12" w:space="0" w:color="auto"/>
            </w:tcBorders>
          </w:tcPr>
          <w:p w14:paraId="197CCC61" w14:textId="77777777" w:rsidR="00B57E1B" w:rsidRPr="005D4F27" w:rsidRDefault="00B57E1B" w:rsidP="00FC7C49">
            <w:pPr>
              <w:ind w:left="57"/>
              <w:rPr>
                <w:rFonts w:eastAsia="Calibri"/>
              </w:rPr>
            </w:pPr>
            <w:r w:rsidRPr="005D4F27">
              <w:rPr>
                <w:rFonts w:eastAsia="Calibri"/>
              </w:rPr>
              <w:t>DIN ISO 10382:2003-05</w:t>
            </w:r>
          </w:p>
        </w:tc>
      </w:tr>
      <w:tr w:rsidR="00B57E1B" w:rsidRPr="005D4F27" w14:paraId="2B0A6EDC" w14:textId="77777777" w:rsidTr="00B57E1B">
        <w:trPr>
          <w:cantSplit/>
          <w:jc w:val="center"/>
        </w:trPr>
        <w:tc>
          <w:tcPr>
            <w:tcW w:w="2949" w:type="dxa"/>
            <w:tcBorders>
              <w:top w:val="single" w:sz="4" w:space="0" w:color="auto"/>
              <w:left w:val="single" w:sz="12" w:space="0" w:color="auto"/>
              <w:bottom w:val="single" w:sz="4" w:space="0" w:color="auto"/>
            </w:tcBorders>
          </w:tcPr>
          <w:p w14:paraId="5CA666F2" w14:textId="77777777" w:rsidR="00B57E1B" w:rsidRPr="005D4F27" w:rsidRDefault="00B57E1B" w:rsidP="00FC7C49">
            <w:pPr>
              <w:ind w:left="57"/>
              <w:rPr>
                <w:rFonts w:eastAsia="Calibri"/>
                <w:lang w:val="en-GB"/>
              </w:rPr>
            </w:pPr>
            <w:proofErr w:type="spellStart"/>
            <w:r w:rsidRPr="005D4F27">
              <w:rPr>
                <w:rFonts w:eastAsia="Calibri"/>
                <w:lang w:val="en-GB"/>
              </w:rPr>
              <w:t>Pentachlorphenol</w:t>
            </w:r>
            <w:proofErr w:type="spellEnd"/>
          </w:p>
        </w:tc>
        <w:tc>
          <w:tcPr>
            <w:tcW w:w="3741" w:type="dxa"/>
          </w:tcPr>
          <w:p w14:paraId="76C849A5" w14:textId="77777777" w:rsidR="00B57E1B" w:rsidRPr="005D4F27" w:rsidRDefault="00B57E1B" w:rsidP="00FC7C49">
            <w:pPr>
              <w:ind w:left="85"/>
              <w:rPr>
                <w:rFonts w:eastAsia="Calibri"/>
              </w:rPr>
            </w:pPr>
            <w:r w:rsidRPr="005D4F27">
              <w:rPr>
                <w:rFonts w:eastAsia="Calibri"/>
              </w:rPr>
              <w:t>Soxhlet-Extraktion mit Heptan oder Aceton/ Heptan (50:50); Derivatisie</w:t>
            </w:r>
            <w:r w:rsidRPr="005D4F27">
              <w:rPr>
                <w:rFonts w:eastAsia="Calibri"/>
              </w:rPr>
              <w:softHyphen/>
              <w:t>rung mit Essigsäureanhydrid; Quanti</w:t>
            </w:r>
            <w:r w:rsidRPr="005D4F27">
              <w:rPr>
                <w:rFonts w:eastAsia="Calibri"/>
              </w:rPr>
              <w:softHyphen/>
              <w:t>fizierung mittels GC-ECD oder GC-MS</w:t>
            </w:r>
          </w:p>
        </w:tc>
        <w:tc>
          <w:tcPr>
            <w:tcW w:w="2524" w:type="dxa"/>
            <w:tcBorders>
              <w:top w:val="single" w:sz="4" w:space="0" w:color="auto"/>
              <w:bottom w:val="single" w:sz="4" w:space="0" w:color="auto"/>
              <w:right w:val="single" w:sz="12" w:space="0" w:color="auto"/>
            </w:tcBorders>
          </w:tcPr>
          <w:p w14:paraId="7CBE492E" w14:textId="77777777" w:rsidR="00B57E1B" w:rsidRPr="005D4F27" w:rsidRDefault="00B57E1B" w:rsidP="00FC7C49">
            <w:pPr>
              <w:ind w:left="57"/>
              <w:rPr>
                <w:rFonts w:eastAsia="Calibri"/>
                <w:strike/>
              </w:rPr>
            </w:pPr>
            <w:r w:rsidRPr="005D4F27">
              <w:rPr>
                <w:rFonts w:eastAsia="Calibri"/>
              </w:rPr>
              <w:t>DIN ISO 14154:2005-12</w:t>
            </w:r>
          </w:p>
        </w:tc>
      </w:tr>
      <w:tr w:rsidR="00B57E1B" w:rsidRPr="005D4F27" w14:paraId="58374D32" w14:textId="77777777" w:rsidTr="00B57E1B">
        <w:trPr>
          <w:cantSplit/>
          <w:jc w:val="center"/>
        </w:trPr>
        <w:tc>
          <w:tcPr>
            <w:tcW w:w="2949" w:type="dxa"/>
            <w:tcBorders>
              <w:top w:val="single" w:sz="4" w:space="0" w:color="auto"/>
              <w:left w:val="single" w:sz="12" w:space="0" w:color="auto"/>
              <w:bottom w:val="single" w:sz="4" w:space="0" w:color="auto"/>
            </w:tcBorders>
          </w:tcPr>
          <w:p w14:paraId="4A4BBF38" w14:textId="77777777" w:rsidR="00B57E1B" w:rsidRPr="005D4F27" w:rsidRDefault="00B57E1B" w:rsidP="00FC7C49">
            <w:pPr>
              <w:ind w:left="57"/>
              <w:rPr>
                <w:rFonts w:eastAsia="Calibri"/>
              </w:rPr>
            </w:pPr>
            <w:r w:rsidRPr="005D4F27">
              <w:rPr>
                <w:rFonts w:eastAsia="Calibri"/>
              </w:rPr>
              <w:t>Aldrin,</w:t>
            </w:r>
          </w:p>
          <w:p w14:paraId="56F3A441" w14:textId="77777777" w:rsidR="00B57E1B" w:rsidRPr="005D4F27" w:rsidRDefault="00B57E1B" w:rsidP="00FC7C49">
            <w:pPr>
              <w:ind w:left="57"/>
              <w:rPr>
                <w:rFonts w:eastAsia="Calibri"/>
              </w:rPr>
            </w:pPr>
            <w:r w:rsidRPr="005D4F27">
              <w:rPr>
                <w:rFonts w:eastAsia="Calibri"/>
              </w:rPr>
              <w:t>DDT,</w:t>
            </w:r>
          </w:p>
          <w:p w14:paraId="5BF13471" w14:textId="77777777" w:rsidR="00B57E1B" w:rsidRPr="005D4F27" w:rsidRDefault="00B57E1B" w:rsidP="00FC7C49">
            <w:pPr>
              <w:ind w:left="57"/>
              <w:rPr>
                <w:rFonts w:eastAsia="Calibri"/>
              </w:rPr>
            </w:pPr>
            <w:proofErr w:type="spellStart"/>
            <w:r w:rsidRPr="005D4F27">
              <w:rPr>
                <w:rFonts w:eastAsia="Calibri"/>
              </w:rPr>
              <w:t>Hexachlorcyclohexan</w:t>
            </w:r>
            <w:proofErr w:type="spellEnd"/>
            <w:r w:rsidRPr="005D4F27">
              <w:rPr>
                <w:rFonts w:eastAsia="Calibri"/>
              </w:rPr>
              <w:t xml:space="preserve"> (HCH-Gemisch oder </w:t>
            </w:r>
            <w:r w:rsidRPr="005D4F27">
              <w:rPr>
                <w:rFonts w:eastAsia="Calibri"/>
              </w:rPr>
              <w:sym w:font="Symbol" w:char="F062"/>
            </w:r>
            <w:r w:rsidRPr="005D4F27">
              <w:rPr>
                <w:rFonts w:eastAsia="Calibri"/>
              </w:rPr>
              <w:t xml:space="preserve">-HCH) </w:t>
            </w:r>
          </w:p>
        </w:tc>
        <w:tc>
          <w:tcPr>
            <w:tcW w:w="3741" w:type="dxa"/>
          </w:tcPr>
          <w:p w14:paraId="4F75C34B" w14:textId="77777777" w:rsidR="00B57E1B" w:rsidRPr="005D4F27" w:rsidRDefault="00B57E1B" w:rsidP="00FC7C49">
            <w:pPr>
              <w:ind w:left="85"/>
            </w:pPr>
            <w:r w:rsidRPr="005D4F27">
              <w:t>Extraktion mit Aceton/ Cyclohexan-Gemisch oder Aceton/Petrolether, ggf. chromatographische Reinigung nach Entfernen des Acetons; Quantifizierung mittels GC-ECD oder GC-MS</w:t>
            </w:r>
          </w:p>
        </w:tc>
        <w:tc>
          <w:tcPr>
            <w:tcW w:w="2524" w:type="dxa"/>
            <w:tcBorders>
              <w:top w:val="single" w:sz="4" w:space="0" w:color="auto"/>
              <w:bottom w:val="single" w:sz="4" w:space="0" w:color="auto"/>
              <w:right w:val="single" w:sz="12" w:space="0" w:color="auto"/>
            </w:tcBorders>
          </w:tcPr>
          <w:p w14:paraId="73D1F1D4" w14:textId="77777777" w:rsidR="00B57E1B" w:rsidRPr="005D4F27" w:rsidRDefault="00B57E1B" w:rsidP="00FC7C49">
            <w:pPr>
              <w:ind w:left="57"/>
              <w:rPr>
                <w:rFonts w:eastAsia="Calibri"/>
              </w:rPr>
            </w:pPr>
            <w:r w:rsidRPr="005D4F27">
              <w:rPr>
                <w:rFonts w:eastAsia="Calibri"/>
              </w:rPr>
              <w:t>DIN ISO 10382:2003-05</w:t>
            </w:r>
          </w:p>
        </w:tc>
      </w:tr>
      <w:tr w:rsidR="00B57E1B" w:rsidRPr="005D4F27" w14:paraId="5040B01E" w14:textId="77777777" w:rsidTr="00B57E1B">
        <w:trPr>
          <w:cantSplit/>
          <w:jc w:val="center"/>
        </w:trPr>
        <w:tc>
          <w:tcPr>
            <w:tcW w:w="2949" w:type="dxa"/>
            <w:tcBorders>
              <w:top w:val="single" w:sz="4" w:space="0" w:color="auto"/>
              <w:left w:val="single" w:sz="12" w:space="0" w:color="auto"/>
              <w:bottom w:val="single" w:sz="4" w:space="0" w:color="auto"/>
            </w:tcBorders>
          </w:tcPr>
          <w:p w14:paraId="5C9968AE" w14:textId="77777777" w:rsidR="00B57E1B" w:rsidRPr="005D4F27" w:rsidRDefault="00B57E1B" w:rsidP="00FC7C49">
            <w:pPr>
              <w:ind w:left="57"/>
              <w:rPr>
                <w:rFonts w:eastAsia="Calibri"/>
              </w:rPr>
            </w:pPr>
            <w:r w:rsidRPr="005D4F27">
              <w:rPr>
                <w:rFonts w:eastAsia="Calibri"/>
              </w:rPr>
              <w:t>PCB</w:t>
            </w:r>
            <w:r w:rsidRPr="005D4F27">
              <w:rPr>
                <w:rFonts w:eastAsia="Calibri"/>
                <w:vertAlign w:val="subscript"/>
              </w:rPr>
              <w:t>6</w:t>
            </w:r>
          </w:p>
        </w:tc>
        <w:tc>
          <w:tcPr>
            <w:tcW w:w="3741" w:type="dxa"/>
          </w:tcPr>
          <w:p w14:paraId="0451BC2C" w14:textId="77777777" w:rsidR="00B57E1B" w:rsidRPr="005D4F27" w:rsidRDefault="00B57E1B" w:rsidP="00FC7C49">
            <w:pPr>
              <w:ind w:left="85"/>
            </w:pPr>
            <w:r w:rsidRPr="005D4F27">
              <w:t>Extraktion mit Aceton/ Cyclohexan-Gemisch oder Aceton/Petrolether, ggf. chromatographische Reinigung nach Entfernen des Acetons; Quantifizierung mittels GC-ECD oder GC-MS</w:t>
            </w:r>
          </w:p>
        </w:tc>
        <w:tc>
          <w:tcPr>
            <w:tcW w:w="2524" w:type="dxa"/>
            <w:tcBorders>
              <w:top w:val="single" w:sz="4" w:space="0" w:color="auto"/>
              <w:bottom w:val="single" w:sz="4" w:space="0" w:color="auto"/>
              <w:right w:val="single" w:sz="12" w:space="0" w:color="auto"/>
            </w:tcBorders>
          </w:tcPr>
          <w:p w14:paraId="4EAC991C" w14:textId="77777777" w:rsidR="00B57E1B" w:rsidRPr="005D4F27" w:rsidRDefault="00B57E1B" w:rsidP="00FC7C49">
            <w:pPr>
              <w:ind w:left="57"/>
              <w:rPr>
                <w:rFonts w:eastAsia="Calibri"/>
              </w:rPr>
            </w:pPr>
            <w:r w:rsidRPr="005D4F27">
              <w:rPr>
                <w:rFonts w:eastAsia="Calibri"/>
              </w:rPr>
              <w:t>DIN ISO 10382:2003-05</w:t>
            </w:r>
          </w:p>
          <w:p w14:paraId="4E7A98B1" w14:textId="77777777" w:rsidR="00B57E1B" w:rsidRPr="005D4F27" w:rsidRDefault="00B57E1B" w:rsidP="00FC7C49">
            <w:pPr>
              <w:ind w:left="57"/>
              <w:rPr>
                <w:rFonts w:eastAsia="Calibri"/>
                <w:bCs/>
                <w:color w:val="1A171B"/>
                <w:kern w:val="36"/>
              </w:rPr>
            </w:pPr>
            <w:r w:rsidRPr="00B308AB">
              <w:rPr>
                <w:rFonts w:ascii="Times" w:eastAsia="Times" w:hAnsi="Times" w:cs="Times"/>
                <w:sz w:val="26"/>
              </w:rPr>
              <w:t xml:space="preserve"> </w:t>
            </w:r>
            <w:r w:rsidRPr="00B308AB">
              <w:rPr>
                <w:rFonts w:eastAsia="Calibri"/>
                <w:bCs/>
                <w:color w:val="1A171B"/>
                <w:kern w:val="36"/>
              </w:rPr>
              <w:t>DIN EN 16167:2019-06</w:t>
            </w:r>
          </w:p>
        </w:tc>
      </w:tr>
      <w:tr w:rsidR="00B57E1B" w:rsidRPr="005D4F27" w14:paraId="12635531" w14:textId="77777777" w:rsidTr="00B57E1B">
        <w:trPr>
          <w:cantSplit/>
          <w:jc w:val="center"/>
        </w:trPr>
        <w:tc>
          <w:tcPr>
            <w:tcW w:w="2949" w:type="dxa"/>
            <w:tcBorders>
              <w:top w:val="single" w:sz="4" w:space="0" w:color="auto"/>
              <w:left w:val="single" w:sz="12" w:space="0" w:color="auto"/>
              <w:bottom w:val="single" w:sz="4" w:space="0" w:color="auto"/>
            </w:tcBorders>
          </w:tcPr>
          <w:p w14:paraId="5CB1455D" w14:textId="77777777" w:rsidR="00B57E1B" w:rsidRPr="005D4F27" w:rsidRDefault="00B57E1B" w:rsidP="00FC7C49">
            <w:pPr>
              <w:ind w:left="57"/>
              <w:rPr>
                <w:rFonts w:eastAsia="Calibri"/>
                <w:lang w:val="it-IT"/>
              </w:rPr>
            </w:pPr>
            <w:r w:rsidRPr="005D4F27">
              <w:rPr>
                <w:rFonts w:eastAsia="Calibri"/>
                <w:lang w:val="it-IT"/>
              </w:rPr>
              <w:t>PCDD/F,</w:t>
            </w:r>
          </w:p>
          <w:p w14:paraId="17BEF228" w14:textId="77777777" w:rsidR="00B57E1B" w:rsidRPr="005D4F27" w:rsidRDefault="00B57E1B" w:rsidP="00FC7C49">
            <w:pPr>
              <w:ind w:left="57"/>
              <w:rPr>
                <w:rFonts w:eastAsia="Calibri"/>
                <w:lang w:val="en-US"/>
              </w:rPr>
            </w:pPr>
            <w:r w:rsidRPr="005D4F27">
              <w:rPr>
                <w:rFonts w:eastAsia="Calibri"/>
                <w:lang w:val="it-IT"/>
              </w:rPr>
              <w:t>dl-PCB</w:t>
            </w:r>
          </w:p>
        </w:tc>
        <w:tc>
          <w:tcPr>
            <w:tcW w:w="3741" w:type="dxa"/>
          </w:tcPr>
          <w:p w14:paraId="135C9531" w14:textId="77777777" w:rsidR="00B57E1B" w:rsidRPr="005D4F27" w:rsidRDefault="00B57E1B" w:rsidP="00FC7C49">
            <w:pPr>
              <w:ind w:left="85"/>
              <w:rPr>
                <w:rFonts w:eastAsia="Calibri"/>
              </w:rPr>
            </w:pPr>
            <w:r w:rsidRPr="005D4F27">
              <w:rPr>
                <w:rFonts w:eastAsia="Calibri"/>
              </w:rPr>
              <w:t>Soxhlet-Extraktion der Proben mit To</w:t>
            </w:r>
            <w:r w:rsidRPr="005D4F27">
              <w:rPr>
                <w:rFonts w:eastAsia="Calibri"/>
              </w:rPr>
              <w:softHyphen/>
              <w:t>luol, chromatographische Reinigung; Quantifizierung mittels HR GC-MS</w:t>
            </w:r>
          </w:p>
        </w:tc>
        <w:tc>
          <w:tcPr>
            <w:tcW w:w="2524" w:type="dxa"/>
            <w:tcBorders>
              <w:top w:val="single" w:sz="4" w:space="0" w:color="auto"/>
              <w:bottom w:val="single" w:sz="4" w:space="0" w:color="auto"/>
              <w:right w:val="single" w:sz="12" w:space="0" w:color="auto"/>
            </w:tcBorders>
          </w:tcPr>
          <w:p w14:paraId="61D4362A" w14:textId="77777777" w:rsidR="00B57E1B" w:rsidRPr="005D4F27" w:rsidRDefault="00B57E1B" w:rsidP="00FC7C49">
            <w:pPr>
              <w:ind w:left="57" w:firstLine="28"/>
              <w:rPr>
                <w:rFonts w:eastAsia="Calibri"/>
              </w:rPr>
            </w:pPr>
            <w:r w:rsidRPr="005D4F27">
              <w:rPr>
                <w:rFonts w:eastAsia="Calibri"/>
              </w:rPr>
              <w:t>DIN 38414-24:2000-10</w:t>
            </w:r>
          </w:p>
          <w:p w14:paraId="252EE065" w14:textId="77777777" w:rsidR="00B57E1B" w:rsidRPr="005D4F27" w:rsidRDefault="00B57E1B" w:rsidP="00FC7C49">
            <w:pPr>
              <w:ind w:left="57" w:firstLine="28"/>
              <w:rPr>
                <w:rFonts w:eastAsia="Calibri"/>
                <w:lang w:val="it-IT"/>
              </w:rPr>
            </w:pPr>
            <w:r w:rsidRPr="00B308AB">
              <w:rPr>
                <w:rFonts w:ascii="Times" w:eastAsia="Times" w:hAnsi="Times" w:cs="Times"/>
                <w:sz w:val="26"/>
              </w:rPr>
              <w:t xml:space="preserve"> </w:t>
            </w:r>
            <w:r w:rsidRPr="00B308AB">
              <w:rPr>
                <w:rFonts w:eastAsia="Calibri"/>
              </w:rPr>
              <w:t>DIN EN 16190:2019-10</w:t>
            </w:r>
          </w:p>
        </w:tc>
      </w:tr>
      <w:tr w:rsidR="00B57E1B" w:rsidRPr="005D4F27" w14:paraId="76CE3FEE" w14:textId="77777777" w:rsidTr="00B57E1B">
        <w:trPr>
          <w:cantSplit/>
          <w:jc w:val="center"/>
        </w:trPr>
        <w:tc>
          <w:tcPr>
            <w:tcW w:w="2949" w:type="dxa"/>
            <w:tcBorders>
              <w:top w:val="single" w:sz="4" w:space="0" w:color="auto"/>
              <w:left w:val="single" w:sz="12" w:space="0" w:color="auto"/>
              <w:bottom w:val="single" w:sz="4" w:space="0" w:color="auto"/>
            </w:tcBorders>
          </w:tcPr>
          <w:p w14:paraId="07C7EBC1" w14:textId="77777777" w:rsidR="00B57E1B" w:rsidRPr="005D4F27" w:rsidRDefault="00B57E1B" w:rsidP="00FC7C49">
            <w:pPr>
              <w:ind w:left="57"/>
              <w:rPr>
                <w:rFonts w:eastAsia="Calibri"/>
                <w:lang w:val="it-IT"/>
              </w:rPr>
            </w:pPr>
            <w:r w:rsidRPr="005D4F27">
              <w:rPr>
                <w:rFonts w:eastAsia="Calibri"/>
                <w:lang w:val="it-IT"/>
              </w:rPr>
              <w:lastRenderedPageBreak/>
              <w:t>2,4-Dinitrotoluol,</w:t>
            </w:r>
          </w:p>
          <w:p w14:paraId="1BAC125F" w14:textId="77777777" w:rsidR="00B57E1B" w:rsidRPr="005D4F27" w:rsidRDefault="00B57E1B" w:rsidP="00FC7C49">
            <w:pPr>
              <w:ind w:left="57"/>
              <w:rPr>
                <w:rFonts w:eastAsia="Calibri"/>
                <w:lang w:val="it-IT"/>
              </w:rPr>
            </w:pPr>
            <w:r w:rsidRPr="005D4F27">
              <w:rPr>
                <w:rFonts w:eastAsia="Calibri"/>
                <w:lang w:val="it-IT"/>
              </w:rPr>
              <w:t>2,6-Dinitrotoluol,</w:t>
            </w:r>
          </w:p>
          <w:p w14:paraId="33499663" w14:textId="77777777" w:rsidR="00B57E1B" w:rsidRPr="005D4F27" w:rsidRDefault="00B57E1B" w:rsidP="00FC7C49">
            <w:pPr>
              <w:ind w:left="57"/>
              <w:rPr>
                <w:rFonts w:eastAsia="Calibri"/>
                <w:lang w:val="it-IT"/>
              </w:rPr>
            </w:pPr>
            <w:r w:rsidRPr="005D4F27">
              <w:rPr>
                <w:rFonts w:eastAsia="Calibri"/>
                <w:lang w:val="it-IT"/>
              </w:rPr>
              <w:t>2,2', 4,4', 6,6'-Hexanitro</w:t>
            </w:r>
            <w:r w:rsidRPr="005D4F27">
              <w:rPr>
                <w:rFonts w:eastAsia="Calibri"/>
                <w:lang w:val="it-IT"/>
              </w:rPr>
              <w:softHyphen/>
              <w:t>diphenylamin (</w:t>
            </w:r>
            <w:proofErr w:type="spellStart"/>
            <w:r w:rsidRPr="005D4F27">
              <w:rPr>
                <w:rFonts w:eastAsia="Calibri"/>
                <w:lang w:val="it-IT"/>
              </w:rPr>
              <w:t>Hexyl</w:t>
            </w:r>
            <w:proofErr w:type="spellEnd"/>
            <w:r w:rsidRPr="005D4F27">
              <w:rPr>
                <w:rFonts w:eastAsia="Calibri"/>
                <w:lang w:val="it-IT"/>
              </w:rPr>
              <w:t>),</w:t>
            </w:r>
          </w:p>
          <w:p w14:paraId="291B1F92" w14:textId="77777777" w:rsidR="00B57E1B" w:rsidRPr="005D4F27" w:rsidRDefault="00B57E1B" w:rsidP="00FC7C49">
            <w:pPr>
              <w:ind w:left="57"/>
              <w:rPr>
                <w:rFonts w:eastAsia="Calibri"/>
                <w:lang w:val="it-IT"/>
              </w:rPr>
            </w:pPr>
            <w:r w:rsidRPr="005D4F27">
              <w:rPr>
                <w:rFonts w:eastAsia="Calibri"/>
                <w:lang w:val="it-IT"/>
              </w:rPr>
              <w:t>1,3,5-Trinitro-hexahydro-1,3,5-triazin (</w:t>
            </w:r>
            <w:proofErr w:type="spellStart"/>
            <w:r w:rsidRPr="005D4F27">
              <w:rPr>
                <w:rFonts w:eastAsia="Calibri"/>
                <w:lang w:val="it-IT"/>
              </w:rPr>
              <w:t>Hexogen</w:t>
            </w:r>
            <w:proofErr w:type="spellEnd"/>
            <w:r w:rsidRPr="005D4F27">
              <w:rPr>
                <w:rFonts w:eastAsia="Calibri"/>
                <w:lang w:val="it-IT"/>
              </w:rPr>
              <w:t>),</w:t>
            </w:r>
          </w:p>
          <w:p w14:paraId="1096E215" w14:textId="77777777" w:rsidR="00B57E1B" w:rsidRPr="005D4F27" w:rsidRDefault="00B57E1B" w:rsidP="00FC7C49">
            <w:pPr>
              <w:ind w:left="57"/>
              <w:rPr>
                <w:rFonts w:eastAsia="Calibri"/>
                <w:lang w:val="it-IT"/>
              </w:rPr>
            </w:pPr>
            <w:proofErr w:type="spellStart"/>
            <w:r w:rsidRPr="005D4F27">
              <w:rPr>
                <w:rFonts w:eastAsia="Calibri"/>
                <w:lang w:val="it-IT"/>
              </w:rPr>
              <w:t>Nitropenta</w:t>
            </w:r>
            <w:proofErr w:type="spellEnd"/>
            <w:r w:rsidRPr="005D4F27">
              <w:rPr>
                <w:rFonts w:eastAsia="Calibri"/>
                <w:lang w:val="it-IT"/>
              </w:rPr>
              <w:t xml:space="preserve">, </w:t>
            </w:r>
          </w:p>
          <w:p w14:paraId="076C0265" w14:textId="77777777" w:rsidR="00B57E1B" w:rsidRPr="005D4F27" w:rsidRDefault="00B57E1B" w:rsidP="00FC7C49">
            <w:pPr>
              <w:ind w:left="57"/>
              <w:rPr>
                <w:rFonts w:eastAsia="Calibri"/>
                <w:lang w:val="it-IT"/>
              </w:rPr>
            </w:pPr>
            <w:r w:rsidRPr="005D4F27">
              <w:rPr>
                <w:rFonts w:eastAsia="Calibri"/>
                <w:lang w:val="it-IT"/>
              </w:rPr>
              <w:t>2,4,6-Trinitrotoluol (TNT)</w:t>
            </w:r>
          </w:p>
        </w:tc>
        <w:tc>
          <w:tcPr>
            <w:tcW w:w="3741" w:type="dxa"/>
            <w:tcBorders>
              <w:bottom w:val="single" w:sz="4" w:space="0" w:color="auto"/>
            </w:tcBorders>
          </w:tcPr>
          <w:p w14:paraId="55A48A19" w14:textId="77777777" w:rsidR="00B57E1B" w:rsidRPr="005D4F27" w:rsidRDefault="00B57E1B" w:rsidP="00FC7C49">
            <w:pPr>
              <w:ind w:left="85"/>
              <w:rPr>
                <w:rFonts w:eastAsia="Calibri"/>
              </w:rPr>
            </w:pPr>
            <w:r w:rsidRPr="005D4F27">
              <w:rPr>
                <w:rFonts w:eastAsia="Calibri"/>
              </w:rPr>
              <w:t xml:space="preserve">Extraktion mit Methanol oder Acetonitril und Quantifizierung mittels HPLC mit UV/DAD </w:t>
            </w:r>
          </w:p>
          <w:p w14:paraId="2452BDC5" w14:textId="77777777" w:rsidR="00B57E1B" w:rsidRPr="005D4F27" w:rsidRDefault="00B57E1B" w:rsidP="00FC7C49">
            <w:pPr>
              <w:ind w:left="85"/>
              <w:rPr>
                <w:rFonts w:eastAsia="Calibri"/>
              </w:rPr>
            </w:pPr>
            <w:r w:rsidRPr="005D4F27">
              <w:rPr>
                <w:rFonts w:eastAsia="Calibri"/>
              </w:rPr>
              <w:t xml:space="preserve">oder Extraktion mit Methanol, </w:t>
            </w:r>
            <w:proofErr w:type="spellStart"/>
            <w:r w:rsidRPr="005D4F27">
              <w:rPr>
                <w:rFonts w:eastAsia="Calibri"/>
              </w:rPr>
              <w:t>Umlösen</w:t>
            </w:r>
            <w:proofErr w:type="spellEnd"/>
            <w:r w:rsidRPr="005D4F27">
              <w:rPr>
                <w:rFonts w:eastAsia="Calibri"/>
              </w:rPr>
              <w:t xml:space="preserve"> in Toluol und Quantifizierung mittels GC-ECD oder GC-MS</w:t>
            </w:r>
          </w:p>
        </w:tc>
        <w:tc>
          <w:tcPr>
            <w:tcW w:w="2524" w:type="dxa"/>
            <w:tcBorders>
              <w:top w:val="single" w:sz="4" w:space="0" w:color="auto"/>
              <w:bottom w:val="single" w:sz="4" w:space="0" w:color="auto"/>
              <w:right w:val="single" w:sz="12" w:space="0" w:color="auto"/>
            </w:tcBorders>
          </w:tcPr>
          <w:p w14:paraId="1546FC7F" w14:textId="77777777" w:rsidR="00B57E1B" w:rsidRPr="005D4F27" w:rsidRDefault="00B57E1B" w:rsidP="00FC7C49">
            <w:pPr>
              <w:widowControl w:val="0"/>
              <w:ind w:left="85"/>
              <w:rPr>
                <w:rFonts w:eastAsia="Calibri"/>
                <w:lang w:val="it-IT"/>
              </w:rPr>
            </w:pPr>
            <w:r w:rsidRPr="005D4F27">
              <w:rPr>
                <w:rFonts w:eastAsia="Calibri"/>
                <w:lang w:val="it-IT"/>
              </w:rPr>
              <w:t>DIN ISO 11916-1:2014-11</w:t>
            </w:r>
          </w:p>
          <w:p w14:paraId="5F514404" w14:textId="77777777" w:rsidR="00B57E1B" w:rsidRPr="005D4F27" w:rsidRDefault="00B57E1B" w:rsidP="00FC7C49">
            <w:pPr>
              <w:widowControl w:val="0"/>
              <w:ind w:left="85"/>
              <w:rPr>
                <w:rFonts w:eastAsia="Calibri"/>
                <w:lang w:val="it-IT"/>
              </w:rPr>
            </w:pPr>
            <w:r w:rsidRPr="005D4F27">
              <w:rPr>
                <w:rFonts w:eastAsia="Calibri"/>
                <w:lang w:val="it-IT"/>
              </w:rPr>
              <w:t>DIN ISO 11916-2:2014-11</w:t>
            </w:r>
          </w:p>
          <w:p w14:paraId="4BAB29EA" w14:textId="77777777" w:rsidR="00B57E1B" w:rsidRPr="005D4F27" w:rsidRDefault="00B57E1B" w:rsidP="00FC7C49">
            <w:pPr>
              <w:widowControl w:val="0"/>
              <w:ind w:left="85"/>
              <w:rPr>
                <w:rFonts w:eastAsia="Calibri"/>
                <w:lang w:val="it-IT"/>
              </w:rPr>
            </w:pPr>
          </w:p>
          <w:p w14:paraId="0073D565" w14:textId="77777777" w:rsidR="00B57E1B" w:rsidRPr="005D4F27" w:rsidRDefault="00B57E1B" w:rsidP="00FC7C49">
            <w:pPr>
              <w:widowControl w:val="0"/>
              <w:ind w:left="85"/>
              <w:rPr>
                <w:rFonts w:eastAsia="Calibri"/>
                <w:lang w:val="it-IT"/>
              </w:rPr>
            </w:pPr>
            <w:proofErr w:type="spellStart"/>
            <w:r w:rsidRPr="005D4F27">
              <w:rPr>
                <w:rFonts w:eastAsia="Calibri"/>
                <w:lang w:val="it-IT"/>
              </w:rPr>
              <w:t>für</w:t>
            </w:r>
            <w:proofErr w:type="spellEnd"/>
            <w:r w:rsidRPr="005D4F27">
              <w:rPr>
                <w:rFonts w:eastAsia="Calibri"/>
                <w:lang w:val="it-IT"/>
              </w:rPr>
              <w:t xml:space="preserve"> </w:t>
            </w:r>
            <w:proofErr w:type="spellStart"/>
            <w:r w:rsidRPr="005D4F27">
              <w:rPr>
                <w:rFonts w:eastAsia="Calibri"/>
                <w:lang w:val="it-IT"/>
              </w:rPr>
              <w:t>Hexogen</w:t>
            </w:r>
            <w:proofErr w:type="spellEnd"/>
            <w:r w:rsidRPr="005D4F27">
              <w:rPr>
                <w:rFonts w:eastAsia="Calibri"/>
                <w:lang w:val="it-IT"/>
              </w:rPr>
              <w:t xml:space="preserve"> und </w:t>
            </w:r>
            <w:proofErr w:type="spellStart"/>
            <w:r w:rsidRPr="005D4F27">
              <w:rPr>
                <w:rFonts w:eastAsia="Calibri"/>
                <w:lang w:val="it-IT"/>
              </w:rPr>
              <w:t>Hexyl</w:t>
            </w:r>
            <w:proofErr w:type="spellEnd"/>
            <w:r w:rsidRPr="005D4F27">
              <w:rPr>
                <w:rFonts w:eastAsia="Calibri"/>
                <w:lang w:val="it-IT"/>
              </w:rPr>
              <w:t xml:space="preserve"> </w:t>
            </w:r>
            <w:proofErr w:type="spellStart"/>
            <w:r w:rsidRPr="005D4F27">
              <w:rPr>
                <w:rFonts w:eastAsia="Calibri"/>
                <w:lang w:val="it-IT"/>
              </w:rPr>
              <w:t>ausschließlich</w:t>
            </w:r>
            <w:proofErr w:type="spellEnd"/>
            <w:r w:rsidRPr="005D4F27">
              <w:rPr>
                <w:rFonts w:eastAsia="Calibri"/>
                <w:lang w:val="it-IT"/>
              </w:rPr>
              <w:t>: DIN ISO 11916-1:2014-11</w:t>
            </w:r>
          </w:p>
        </w:tc>
      </w:tr>
      <w:tr w:rsidR="00B57E1B" w:rsidRPr="005D4F27" w14:paraId="65E63107" w14:textId="77777777" w:rsidTr="00B57E1B">
        <w:trPr>
          <w:cantSplit/>
          <w:jc w:val="center"/>
        </w:trPr>
        <w:tc>
          <w:tcPr>
            <w:tcW w:w="2949" w:type="dxa"/>
            <w:tcBorders>
              <w:top w:val="single" w:sz="4" w:space="0" w:color="auto"/>
              <w:left w:val="single" w:sz="12" w:space="0" w:color="auto"/>
              <w:bottom w:val="single" w:sz="12" w:space="0" w:color="auto"/>
            </w:tcBorders>
          </w:tcPr>
          <w:p w14:paraId="61778F29" w14:textId="77777777" w:rsidR="00B57E1B" w:rsidRPr="005D4F27" w:rsidRDefault="00B57E1B" w:rsidP="00FC7C49">
            <w:pPr>
              <w:ind w:left="57"/>
              <w:rPr>
                <w:rFonts w:eastAsia="Calibri"/>
                <w:lang w:val="it-IT"/>
              </w:rPr>
            </w:pPr>
            <w:r w:rsidRPr="005D4F27">
              <w:rPr>
                <w:rFonts w:eastAsia="Calibri"/>
                <w:lang w:val="it-IT"/>
              </w:rPr>
              <w:t>EOX</w:t>
            </w:r>
          </w:p>
        </w:tc>
        <w:tc>
          <w:tcPr>
            <w:tcW w:w="3741" w:type="dxa"/>
            <w:tcBorders>
              <w:top w:val="single" w:sz="4" w:space="0" w:color="auto"/>
              <w:bottom w:val="single" w:sz="12" w:space="0" w:color="auto"/>
            </w:tcBorders>
          </w:tcPr>
          <w:p w14:paraId="42BC0D75" w14:textId="77777777" w:rsidR="00B57E1B" w:rsidRPr="005D4F27" w:rsidRDefault="00B57E1B" w:rsidP="00FC7C49">
            <w:pPr>
              <w:ind w:left="57"/>
              <w:rPr>
                <w:rFonts w:eastAsia="Calibri"/>
              </w:rPr>
            </w:pPr>
            <w:r w:rsidRPr="005D4F27">
              <w:rPr>
                <w:rFonts w:eastAsia="Calibri"/>
              </w:rPr>
              <w:t>Die extrahierbare organisch gebunde</w:t>
            </w:r>
            <w:r w:rsidRPr="005D4F27">
              <w:rPr>
                <w:rFonts w:eastAsia="Calibri"/>
              </w:rPr>
              <w:softHyphen/>
              <w:t>nen Halogene werden nach Gefrier</w:t>
            </w:r>
            <w:r w:rsidRPr="005D4F27">
              <w:rPr>
                <w:rFonts w:eastAsia="Calibri"/>
              </w:rPr>
              <w:softHyphen/>
              <w:t>trocknung und Extraktion mit z. B. Hexan erfasst und im Sauerstoffstrom verbrannt. Die Temperatur im Verbren</w:t>
            </w:r>
            <w:r w:rsidRPr="005D4F27">
              <w:rPr>
                <w:rFonts w:eastAsia="Calibri"/>
              </w:rPr>
              <w:softHyphen/>
              <w:t>nungsraum während der gesamten Analysenzeit muss mindestens 950 °</w:t>
            </w:r>
            <w:proofErr w:type="spellStart"/>
            <w:r w:rsidRPr="005D4F27">
              <w:rPr>
                <w:rFonts w:eastAsia="Calibri"/>
              </w:rPr>
              <w:t>Cbetragen</w:t>
            </w:r>
            <w:proofErr w:type="spellEnd"/>
            <w:r w:rsidRPr="005D4F27">
              <w:rPr>
                <w:rFonts w:eastAsia="Calibri"/>
              </w:rPr>
              <w:t xml:space="preserve"> (Gerät, z. B. </w:t>
            </w:r>
            <w:proofErr w:type="spellStart"/>
            <w:r w:rsidRPr="005D4F27">
              <w:rPr>
                <w:rFonts w:eastAsia="Calibri"/>
              </w:rPr>
              <w:t>Microcoulometer</w:t>
            </w:r>
            <w:proofErr w:type="spellEnd"/>
            <w:r w:rsidRPr="005D4F27">
              <w:rPr>
                <w:rFonts w:eastAsia="Calibri"/>
              </w:rPr>
              <w:t>)</w:t>
            </w:r>
          </w:p>
        </w:tc>
        <w:tc>
          <w:tcPr>
            <w:tcW w:w="2524" w:type="dxa"/>
            <w:tcBorders>
              <w:top w:val="single" w:sz="4" w:space="0" w:color="auto"/>
              <w:bottom w:val="single" w:sz="12" w:space="0" w:color="auto"/>
              <w:right w:val="single" w:sz="12" w:space="0" w:color="auto"/>
            </w:tcBorders>
          </w:tcPr>
          <w:p w14:paraId="435D1B1E" w14:textId="77777777" w:rsidR="00B57E1B" w:rsidRPr="005D4F27" w:rsidRDefault="00B57E1B" w:rsidP="00FC7C49">
            <w:pPr>
              <w:widowControl w:val="0"/>
              <w:ind w:left="85"/>
              <w:rPr>
                <w:rFonts w:eastAsia="Calibri"/>
                <w:bCs/>
                <w:color w:val="1A171B"/>
                <w:kern w:val="36"/>
                <w:lang w:val="it-IT"/>
              </w:rPr>
            </w:pPr>
            <w:r w:rsidRPr="005D4F27">
              <w:rPr>
                <w:rFonts w:eastAsia="Calibri"/>
                <w:lang w:val="it-IT"/>
              </w:rPr>
              <w:t>DIN 38414-17:2017-01</w:t>
            </w:r>
          </w:p>
        </w:tc>
      </w:tr>
    </w:tbl>
    <w:p w14:paraId="18388102" w14:textId="3DBB23E5" w:rsidR="00B57E1B" w:rsidRDefault="00B57E1B" w:rsidP="00B57E1B">
      <w:pPr>
        <w:pStyle w:val="Text"/>
      </w:pPr>
    </w:p>
    <w:p w14:paraId="43F7DB35" w14:textId="2C9938FB" w:rsidR="00B57E1B" w:rsidRPr="008809E7" w:rsidRDefault="00B57E1B" w:rsidP="00B57E1B">
      <w:pPr>
        <w:pStyle w:val="berschrift1"/>
      </w:pPr>
      <w:r>
        <w:br w:type="page"/>
      </w:r>
      <w:r w:rsidRPr="008D0377">
        <w:lastRenderedPageBreak/>
        <w:t>Tabelle 6: Verfahren zur Bestimmung der Konzentration anorganischer Stoffe</w:t>
      </w:r>
    </w:p>
    <w:tbl>
      <w:tblPr>
        <w:tblW w:w="9639" w:type="dxa"/>
        <w:tblInd w:w="-15"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CellMar>
          <w:left w:w="59" w:type="dxa"/>
          <w:right w:w="59" w:type="dxa"/>
        </w:tblCellMar>
        <w:tblLook w:val="0000" w:firstRow="0" w:lastRow="0" w:firstColumn="0" w:lastColumn="0" w:noHBand="0" w:noVBand="0"/>
      </w:tblPr>
      <w:tblGrid>
        <w:gridCol w:w="3045"/>
        <w:gridCol w:w="2905"/>
        <w:gridCol w:w="3689"/>
      </w:tblGrid>
      <w:tr w:rsidR="00B57E1B" w:rsidRPr="005D4F27" w14:paraId="785FCAF8" w14:textId="77777777" w:rsidTr="00B57E1B">
        <w:trPr>
          <w:trHeight w:val="385"/>
        </w:trPr>
        <w:tc>
          <w:tcPr>
            <w:tcW w:w="3045" w:type="dxa"/>
            <w:tcBorders>
              <w:top w:val="single" w:sz="12" w:space="0" w:color="auto"/>
              <w:bottom w:val="single" w:sz="12" w:space="0" w:color="auto"/>
              <w:right w:val="single" w:sz="12" w:space="0" w:color="auto"/>
            </w:tcBorders>
            <w:shd w:val="clear" w:color="auto" w:fill="E6E6E6"/>
            <w:vAlign w:val="center"/>
          </w:tcPr>
          <w:p w14:paraId="16A14737" w14:textId="77777777" w:rsidR="00B57E1B" w:rsidRPr="005D4F27" w:rsidRDefault="00B57E1B" w:rsidP="00FC7C49">
            <w:pPr>
              <w:rPr>
                <w:rFonts w:eastAsia="Calibri"/>
                <w:b/>
              </w:rPr>
            </w:pPr>
            <w:r w:rsidRPr="005D4F27">
              <w:rPr>
                <w:rFonts w:eastAsia="Calibri"/>
                <w:b/>
              </w:rPr>
              <w:t>Stoff</w:t>
            </w:r>
          </w:p>
        </w:tc>
        <w:tc>
          <w:tcPr>
            <w:tcW w:w="2905" w:type="dxa"/>
            <w:tcBorders>
              <w:top w:val="single" w:sz="12" w:space="0" w:color="auto"/>
              <w:left w:val="single" w:sz="12" w:space="0" w:color="auto"/>
              <w:bottom w:val="single" w:sz="12" w:space="0" w:color="auto"/>
            </w:tcBorders>
            <w:shd w:val="clear" w:color="auto" w:fill="E6E6E6"/>
            <w:vAlign w:val="center"/>
          </w:tcPr>
          <w:p w14:paraId="4435BCFB" w14:textId="77777777" w:rsidR="00B57E1B" w:rsidRPr="005D4F27" w:rsidRDefault="00B57E1B" w:rsidP="00FC7C49">
            <w:pPr>
              <w:numPr>
                <w:ilvl w:val="4"/>
                <w:numId w:val="0"/>
              </w:numPr>
              <w:outlineLvl w:val="4"/>
              <w:rPr>
                <w:b/>
              </w:rPr>
            </w:pPr>
            <w:r w:rsidRPr="005D4F27">
              <w:rPr>
                <w:b/>
              </w:rPr>
              <w:t>Methode</w:t>
            </w:r>
          </w:p>
        </w:tc>
        <w:tc>
          <w:tcPr>
            <w:tcW w:w="3689" w:type="dxa"/>
            <w:tcBorders>
              <w:top w:val="single" w:sz="12" w:space="0" w:color="auto"/>
              <w:bottom w:val="single" w:sz="12" w:space="0" w:color="auto"/>
            </w:tcBorders>
            <w:shd w:val="clear" w:color="auto" w:fill="E6E6E6"/>
            <w:vAlign w:val="center"/>
          </w:tcPr>
          <w:p w14:paraId="5C9FC545" w14:textId="77777777" w:rsidR="00B57E1B" w:rsidRPr="005D4F27" w:rsidRDefault="00B57E1B" w:rsidP="00FC7C49">
            <w:pPr>
              <w:rPr>
                <w:rFonts w:eastAsia="Calibri"/>
              </w:rPr>
            </w:pPr>
            <w:r w:rsidRPr="005D4F27">
              <w:rPr>
                <w:rFonts w:eastAsia="Calibri"/>
                <w:b/>
              </w:rPr>
              <w:t>Norm</w:t>
            </w:r>
          </w:p>
        </w:tc>
      </w:tr>
      <w:tr w:rsidR="00B57E1B" w:rsidRPr="005D4F27" w14:paraId="6ED22AA4" w14:textId="77777777" w:rsidTr="00B57E1B">
        <w:trPr>
          <w:trHeight w:val="666"/>
        </w:trPr>
        <w:tc>
          <w:tcPr>
            <w:tcW w:w="3045" w:type="dxa"/>
            <w:vMerge w:val="restart"/>
            <w:tcBorders>
              <w:top w:val="single" w:sz="12" w:space="0" w:color="auto"/>
              <w:right w:val="single" w:sz="12" w:space="0" w:color="auto"/>
            </w:tcBorders>
          </w:tcPr>
          <w:p w14:paraId="0DFA834F" w14:textId="77777777" w:rsidR="00B57E1B" w:rsidRPr="005D4F27" w:rsidRDefault="00B57E1B" w:rsidP="00FC7C49">
            <w:pPr>
              <w:rPr>
                <w:rFonts w:eastAsia="Calibri"/>
              </w:rPr>
            </w:pPr>
            <w:r w:rsidRPr="005D4F27">
              <w:rPr>
                <w:rFonts w:eastAsia="Calibri"/>
              </w:rPr>
              <w:t>Antimon, Arsen, Barium</w:t>
            </w:r>
            <w:r w:rsidRPr="005D4F27">
              <w:rPr>
                <w:rFonts w:eastAsia="Calibri"/>
                <w:color w:val="0000FF"/>
              </w:rPr>
              <w:t xml:space="preserve">, </w:t>
            </w:r>
            <w:r w:rsidRPr="005D4F27">
              <w:rPr>
                <w:rFonts w:eastAsia="Calibri"/>
              </w:rPr>
              <w:t>Blei, Bor, Cadmium, Chrom gesamt, Kobalt, Kupfer, Molybdän, Nickel, Selen, Thallium, Vanadium, Zink</w:t>
            </w:r>
          </w:p>
        </w:tc>
        <w:tc>
          <w:tcPr>
            <w:tcW w:w="2905" w:type="dxa"/>
            <w:tcBorders>
              <w:top w:val="single" w:sz="12" w:space="0" w:color="auto"/>
              <w:left w:val="single" w:sz="12" w:space="0" w:color="auto"/>
            </w:tcBorders>
          </w:tcPr>
          <w:p w14:paraId="5E8C20E0" w14:textId="77777777" w:rsidR="00B57E1B" w:rsidRPr="005D4F27" w:rsidRDefault="00B57E1B" w:rsidP="00FC7C49">
            <w:pPr>
              <w:rPr>
                <w:rFonts w:eastAsia="Calibri"/>
              </w:rPr>
            </w:pPr>
            <w:r w:rsidRPr="005D4F27">
              <w:rPr>
                <w:rFonts w:eastAsia="Calibri"/>
              </w:rPr>
              <w:t>ICP-AES/ICP-OES</w:t>
            </w:r>
          </w:p>
        </w:tc>
        <w:tc>
          <w:tcPr>
            <w:tcW w:w="3689" w:type="dxa"/>
            <w:tcBorders>
              <w:top w:val="single" w:sz="12" w:space="0" w:color="auto"/>
            </w:tcBorders>
          </w:tcPr>
          <w:p w14:paraId="40D60D89" w14:textId="77777777" w:rsidR="00B57E1B" w:rsidRPr="005D4F27" w:rsidRDefault="00B57E1B" w:rsidP="00FC7C49">
            <w:pPr>
              <w:rPr>
                <w:rFonts w:eastAsia="Calibri"/>
              </w:rPr>
            </w:pPr>
            <w:r w:rsidRPr="005D4F27">
              <w:rPr>
                <w:rFonts w:eastAsia="Calibri"/>
              </w:rPr>
              <w:t>DIN ISO 22036:2009-06</w:t>
            </w:r>
          </w:p>
        </w:tc>
      </w:tr>
      <w:tr w:rsidR="00B57E1B" w:rsidRPr="005D4F27" w14:paraId="6E84D505" w14:textId="77777777" w:rsidTr="00B57E1B">
        <w:trPr>
          <w:trHeight w:val="666"/>
        </w:trPr>
        <w:tc>
          <w:tcPr>
            <w:tcW w:w="3045" w:type="dxa"/>
            <w:vMerge/>
            <w:tcBorders>
              <w:right w:val="single" w:sz="12" w:space="0" w:color="auto"/>
            </w:tcBorders>
          </w:tcPr>
          <w:p w14:paraId="0FBAC8AC" w14:textId="77777777" w:rsidR="00B57E1B" w:rsidRPr="005D4F27" w:rsidRDefault="00B57E1B" w:rsidP="00FC7C49">
            <w:pPr>
              <w:rPr>
                <w:rFonts w:eastAsia="Calibri"/>
              </w:rPr>
            </w:pPr>
          </w:p>
        </w:tc>
        <w:tc>
          <w:tcPr>
            <w:tcW w:w="2905" w:type="dxa"/>
            <w:tcBorders>
              <w:top w:val="single" w:sz="12" w:space="0" w:color="auto"/>
              <w:left w:val="single" w:sz="12" w:space="0" w:color="auto"/>
            </w:tcBorders>
          </w:tcPr>
          <w:p w14:paraId="0BB121F7" w14:textId="77777777" w:rsidR="00B57E1B" w:rsidRPr="005D4F27" w:rsidRDefault="00B57E1B" w:rsidP="00FC7C49">
            <w:pPr>
              <w:rPr>
                <w:rFonts w:eastAsia="Calibri"/>
              </w:rPr>
            </w:pPr>
            <w:r w:rsidRPr="005D4F27">
              <w:rPr>
                <w:rFonts w:eastAsia="Calibri"/>
              </w:rPr>
              <w:t>ICP-MS möglich</w:t>
            </w:r>
          </w:p>
        </w:tc>
        <w:tc>
          <w:tcPr>
            <w:tcW w:w="3689" w:type="dxa"/>
            <w:tcBorders>
              <w:top w:val="single" w:sz="12" w:space="0" w:color="auto"/>
            </w:tcBorders>
          </w:tcPr>
          <w:p w14:paraId="2570AC0A" w14:textId="77777777" w:rsidR="00B57E1B" w:rsidRPr="005D4F27" w:rsidRDefault="00B57E1B" w:rsidP="00FC7C49">
            <w:pPr>
              <w:rPr>
                <w:rFonts w:eastAsia="Calibri"/>
              </w:rPr>
            </w:pPr>
            <w:r w:rsidRPr="005D4F27">
              <w:rPr>
                <w:rFonts w:eastAsia="Calibri"/>
              </w:rPr>
              <w:t>DIN EN ISO 17294-2:</w:t>
            </w:r>
            <w:r w:rsidRPr="005D4F27">
              <w:rPr>
                <w:rFonts w:eastAsia="Calibri"/>
                <w:lang w:val="sv-SE"/>
              </w:rPr>
              <w:t>2017-01</w:t>
            </w:r>
          </w:p>
        </w:tc>
      </w:tr>
      <w:tr w:rsidR="00B57E1B" w:rsidRPr="005D4F27" w14:paraId="68881923" w14:textId="77777777" w:rsidTr="00B57E1B">
        <w:tc>
          <w:tcPr>
            <w:tcW w:w="3045" w:type="dxa"/>
            <w:vMerge w:val="restart"/>
            <w:tcBorders>
              <w:top w:val="single" w:sz="6" w:space="0" w:color="auto"/>
              <w:right w:val="single" w:sz="12" w:space="0" w:color="auto"/>
            </w:tcBorders>
          </w:tcPr>
          <w:p w14:paraId="78ED1567" w14:textId="77777777" w:rsidR="00B57E1B" w:rsidRPr="005D4F27" w:rsidRDefault="00B57E1B" w:rsidP="00FC7C49">
            <w:pPr>
              <w:rPr>
                <w:rFonts w:eastAsia="Calibri"/>
                <w:lang w:val="en-US"/>
              </w:rPr>
            </w:pPr>
            <w:proofErr w:type="spellStart"/>
            <w:r w:rsidRPr="005D4F27">
              <w:rPr>
                <w:rFonts w:eastAsia="Calibri"/>
                <w:lang w:val="en-US"/>
              </w:rPr>
              <w:t>Arsen</w:t>
            </w:r>
            <w:proofErr w:type="spellEnd"/>
            <w:r w:rsidRPr="005D4F27">
              <w:rPr>
                <w:rFonts w:eastAsia="Calibri"/>
                <w:lang w:val="en-US"/>
              </w:rPr>
              <w:t xml:space="preserve">, </w:t>
            </w:r>
            <w:proofErr w:type="spellStart"/>
            <w:r w:rsidRPr="005D4F27">
              <w:rPr>
                <w:rFonts w:eastAsia="Calibri"/>
                <w:lang w:val="en-US"/>
              </w:rPr>
              <w:t>Antimon</w:t>
            </w:r>
            <w:proofErr w:type="spellEnd"/>
          </w:p>
        </w:tc>
        <w:tc>
          <w:tcPr>
            <w:tcW w:w="2905" w:type="dxa"/>
            <w:tcBorders>
              <w:left w:val="single" w:sz="12" w:space="0" w:color="auto"/>
            </w:tcBorders>
          </w:tcPr>
          <w:p w14:paraId="3A5B0289" w14:textId="77777777" w:rsidR="00B57E1B" w:rsidRPr="005D4F27" w:rsidRDefault="00B57E1B" w:rsidP="00FC7C49">
            <w:pPr>
              <w:rPr>
                <w:rFonts w:eastAsia="Calibri"/>
              </w:rPr>
            </w:pPr>
            <w:r w:rsidRPr="005D4F27">
              <w:rPr>
                <w:rFonts w:eastAsia="Calibri"/>
              </w:rPr>
              <w:t>AAS-Graphitrohr</w:t>
            </w:r>
          </w:p>
        </w:tc>
        <w:tc>
          <w:tcPr>
            <w:tcW w:w="3689" w:type="dxa"/>
            <w:tcBorders>
              <w:top w:val="single" w:sz="6" w:space="0" w:color="auto"/>
            </w:tcBorders>
          </w:tcPr>
          <w:p w14:paraId="507D0DD2" w14:textId="77777777" w:rsidR="00B57E1B" w:rsidRPr="005D4F27" w:rsidRDefault="00B57E1B" w:rsidP="00FC7C49">
            <w:pPr>
              <w:rPr>
                <w:rFonts w:eastAsia="Calibri"/>
              </w:rPr>
            </w:pPr>
            <w:r w:rsidRPr="005D4F27">
              <w:rPr>
                <w:rFonts w:eastAsia="Calibri"/>
              </w:rPr>
              <w:t xml:space="preserve">DIN EN ISO 15586:2004-02 </w:t>
            </w:r>
          </w:p>
        </w:tc>
      </w:tr>
      <w:tr w:rsidR="00B57E1B" w:rsidRPr="005D4F27" w14:paraId="17FCFDA5" w14:textId="77777777" w:rsidTr="00B57E1B">
        <w:tc>
          <w:tcPr>
            <w:tcW w:w="3045" w:type="dxa"/>
            <w:vMerge/>
            <w:tcBorders>
              <w:top w:val="single" w:sz="6" w:space="0" w:color="auto"/>
              <w:right w:val="single" w:sz="12" w:space="0" w:color="auto"/>
            </w:tcBorders>
          </w:tcPr>
          <w:p w14:paraId="48394A7A" w14:textId="77777777" w:rsidR="00B57E1B" w:rsidRPr="005D4F27" w:rsidRDefault="00B57E1B" w:rsidP="00FC7C49">
            <w:pPr>
              <w:rPr>
                <w:rFonts w:eastAsia="Calibri"/>
              </w:rPr>
            </w:pPr>
          </w:p>
        </w:tc>
        <w:tc>
          <w:tcPr>
            <w:tcW w:w="2905" w:type="dxa"/>
            <w:tcBorders>
              <w:left w:val="single" w:sz="12" w:space="0" w:color="auto"/>
            </w:tcBorders>
          </w:tcPr>
          <w:p w14:paraId="58EB0056" w14:textId="77777777" w:rsidR="00B57E1B" w:rsidRPr="005D4F27" w:rsidRDefault="00B57E1B" w:rsidP="00FC7C49">
            <w:pPr>
              <w:rPr>
                <w:rFonts w:eastAsia="Calibri"/>
              </w:rPr>
            </w:pPr>
            <w:r w:rsidRPr="005D4F27">
              <w:rPr>
                <w:rFonts w:eastAsia="Calibri"/>
              </w:rPr>
              <w:t>ICP-AES/ICP-OES</w:t>
            </w:r>
          </w:p>
        </w:tc>
        <w:tc>
          <w:tcPr>
            <w:tcW w:w="3689" w:type="dxa"/>
            <w:tcBorders>
              <w:top w:val="single" w:sz="6" w:space="0" w:color="auto"/>
            </w:tcBorders>
          </w:tcPr>
          <w:p w14:paraId="4A78D129" w14:textId="77777777" w:rsidR="00B57E1B" w:rsidRPr="005D4F27" w:rsidRDefault="00B57E1B" w:rsidP="00FC7C49">
            <w:pPr>
              <w:rPr>
                <w:rFonts w:eastAsia="Calibri"/>
              </w:rPr>
            </w:pPr>
            <w:r w:rsidRPr="005D4F27">
              <w:rPr>
                <w:rFonts w:eastAsia="Calibri"/>
                <w:lang w:val="sv-SE"/>
              </w:rPr>
              <w:t>DIN ISO 22036:2009-06</w:t>
            </w:r>
          </w:p>
        </w:tc>
      </w:tr>
      <w:tr w:rsidR="00B57E1B" w:rsidRPr="005D4F27" w14:paraId="1E527860" w14:textId="77777777" w:rsidTr="00B57E1B">
        <w:tc>
          <w:tcPr>
            <w:tcW w:w="3045" w:type="dxa"/>
            <w:vMerge/>
            <w:tcBorders>
              <w:right w:val="single" w:sz="12" w:space="0" w:color="auto"/>
            </w:tcBorders>
          </w:tcPr>
          <w:p w14:paraId="5F9B5E0F" w14:textId="77777777" w:rsidR="00B57E1B" w:rsidRPr="005D4F27" w:rsidRDefault="00B57E1B" w:rsidP="00FC7C49">
            <w:pPr>
              <w:rPr>
                <w:rFonts w:eastAsia="Calibri"/>
              </w:rPr>
            </w:pPr>
          </w:p>
        </w:tc>
        <w:tc>
          <w:tcPr>
            <w:tcW w:w="2905" w:type="dxa"/>
            <w:tcBorders>
              <w:left w:val="single" w:sz="12" w:space="0" w:color="auto"/>
            </w:tcBorders>
          </w:tcPr>
          <w:p w14:paraId="66744B5A" w14:textId="77777777" w:rsidR="00B57E1B" w:rsidRPr="005D4F27" w:rsidDel="00CD1FFC" w:rsidRDefault="00B57E1B" w:rsidP="00FC7C49">
            <w:pPr>
              <w:rPr>
                <w:rFonts w:eastAsia="Calibri"/>
              </w:rPr>
            </w:pPr>
            <w:r w:rsidRPr="005D4F27">
              <w:rPr>
                <w:rFonts w:eastAsia="Calibri"/>
              </w:rPr>
              <w:t>ICP-MS</w:t>
            </w:r>
          </w:p>
        </w:tc>
        <w:tc>
          <w:tcPr>
            <w:tcW w:w="3689" w:type="dxa"/>
            <w:tcBorders>
              <w:top w:val="single" w:sz="6" w:space="0" w:color="auto"/>
            </w:tcBorders>
          </w:tcPr>
          <w:p w14:paraId="167B96BC" w14:textId="77777777" w:rsidR="00B57E1B" w:rsidRPr="005D4F27" w:rsidRDefault="00B57E1B" w:rsidP="00FC7C49">
            <w:pPr>
              <w:rPr>
                <w:rFonts w:eastAsia="Calibri"/>
              </w:rPr>
            </w:pPr>
            <w:r w:rsidRPr="005D4F27">
              <w:rPr>
                <w:rFonts w:eastAsia="Calibri"/>
              </w:rPr>
              <w:t>DIN EN ISO 17294-2:</w:t>
            </w:r>
            <w:r w:rsidRPr="005D4F27">
              <w:rPr>
                <w:rFonts w:eastAsia="Calibri"/>
                <w:lang w:val="sv-SE"/>
              </w:rPr>
              <w:t>2017-01</w:t>
            </w:r>
          </w:p>
        </w:tc>
      </w:tr>
      <w:tr w:rsidR="00B57E1B" w:rsidRPr="005D4F27" w14:paraId="62182F57" w14:textId="77777777" w:rsidTr="00B57E1B">
        <w:tc>
          <w:tcPr>
            <w:tcW w:w="3045" w:type="dxa"/>
            <w:tcBorders>
              <w:top w:val="single" w:sz="6" w:space="0" w:color="auto"/>
              <w:right w:val="single" w:sz="12" w:space="0" w:color="auto"/>
            </w:tcBorders>
          </w:tcPr>
          <w:p w14:paraId="5CE0B8B0" w14:textId="77777777" w:rsidR="00B57E1B" w:rsidRPr="005D4F27" w:rsidRDefault="00B57E1B" w:rsidP="00FC7C49">
            <w:pPr>
              <w:rPr>
                <w:rFonts w:eastAsia="Calibri"/>
              </w:rPr>
            </w:pPr>
            <w:r w:rsidRPr="005D4F27">
              <w:rPr>
                <w:rFonts w:eastAsia="Calibri"/>
              </w:rPr>
              <w:t xml:space="preserve">Chrom </w:t>
            </w:r>
            <w:r w:rsidRPr="005D4F27">
              <w:rPr>
                <w:rFonts w:eastAsia="Calibri"/>
                <w:vertAlign w:val="subscript"/>
              </w:rPr>
              <w:t>VI</w:t>
            </w:r>
            <w:r w:rsidRPr="005D4F27" w:rsidDel="00525B15">
              <w:rPr>
                <w:rFonts w:eastAsia="Calibri"/>
              </w:rPr>
              <w:t xml:space="preserve"> </w:t>
            </w:r>
          </w:p>
        </w:tc>
        <w:tc>
          <w:tcPr>
            <w:tcW w:w="2905" w:type="dxa"/>
            <w:tcBorders>
              <w:left w:val="single" w:sz="12" w:space="0" w:color="auto"/>
            </w:tcBorders>
            <w:shd w:val="clear" w:color="auto" w:fill="FFFFFF"/>
          </w:tcPr>
          <w:p w14:paraId="341A3285" w14:textId="77777777" w:rsidR="00B57E1B" w:rsidRPr="005D4F27" w:rsidRDefault="00B57E1B" w:rsidP="00FC7C49">
            <w:pPr>
              <w:rPr>
                <w:rFonts w:eastAsia="Calibri"/>
              </w:rPr>
            </w:pPr>
            <w:r w:rsidRPr="005D4F27">
              <w:rPr>
                <w:rFonts w:eastAsia="Calibri"/>
              </w:rPr>
              <w:t>Trennung und Bestimmung analog der Behandlung der Extraktionslösung</w:t>
            </w:r>
          </w:p>
        </w:tc>
        <w:tc>
          <w:tcPr>
            <w:tcW w:w="3689" w:type="dxa"/>
            <w:tcBorders>
              <w:top w:val="single" w:sz="6" w:space="0" w:color="auto"/>
            </w:tcBorders>
            <w:shd w:val="clear" w:color="auto" w:fill="FFFFFF"/>
          </w:tcPr>
          <w:p w14:paraId="6C10F872" w14:textId="77777777" w:rsidR="00B57E1B" w:rsidRPr="005D4F27" w:rsidRDefault="00B57E1B" w:rsidP="00FC7C49">
            <w:pPr>
              <w:rPr>
                <w:rFonts w:eastAsia="Calibri"/>
              </w:rPr>
            </w:pPr>
            <w:r w:rsidRPr="005D4F27">
              <w:rPr>
                <w:rFonts w:eastAsia="Calibri"/>
              </w:rPr>
              <w:t>DIN EN 15192:2007-02</w:t>
            </w:r>
          </w:p>
        </w:tc>
      </w:tr>
      <w:tr w:rsidR="00B57E1B" w:rsidRPr="005D4F27" w14:paraId="1D13E9DE" w14:textId="77777777" w:rsidTr="00B57E1B">
        <w:tc>
          <w:tcPr>
            <w:tcW w:w="3045" w:type="dxa"/>
            <w:vMerge w:val="restart"/>
            <w:tcBorders>
              <w:top w:val="single" w:sz="6" w:space="0" w:color="auto"/>
              <w:right w:val="single" w:sz="12" w:space="0" w:color="auto"/>
            </w:tcBorders>
          </w:tcPr>
          <w:p w14:paraId="54DCF53F" w14:textId="77777777" w:rsidR="00B57E1B" w:rsidRPr="005D4F27" w:rsidRDefault="00B57E1B" w:rsidP="00FC7C49">
            <w:pPr>
              <w:rPr>
                <w:rFonts w:eastAsia="Calibri"/>
              </w:rPr>
            </w:pPr>
            <w:r w:rsidRPr="005D4F27">
              <w:rPr>
                <w:rFonts w:eastAsia="Calibri"/>
              </w:rPr>
              <w:t>Quecksilber</w:t>
            </w:r>
          </w:p>
        </w:tc>
        <w:tc>
          <w:tcPr>
            <w:tcW w:w="2905" w:type="dxa"/>
            <w:tcBorders>
              <w:left w:val="single" w:sz="12" w:space="0" w:color="auto"/>
            </w:tcBorders>
          </w:tcPr>
          <w:p w14:paraId="3BB94728" w14:textId="77777777" w:rsidR="00B57E1B" w:rsidRPr="005D4F27" w:rsidRDefault="00B57E1B" w:rsidP="00FC7C49">
            <w:pPr>
              <w:rPr>
                <w:rFonts w:eastAsia="Calibri"/>
              </w:rPr>
            </w:pPr>
            <w:r w:rsidRPr="005D4F27">
              <w:rPr>
                <w:rFonts w:eastAsia="Calibri"/>
              </w:rPr>
              <w:t>AAS</w:t>
            </w:r>
          </w:p>
        </w:tc>
        <w:tc>
          <w:tcPr>
            <w:tcW w:w="3689" w:type="dxa"/>
            <w:tcBorders>
              <w:top w:val="single" w:sz="6" w:space="0" w:color="auto"/>
            </w:tcBorders>
          </w:tcPr>
          <w:p w14:paraId="4DEB9821" w14:textId="77777777" w:rsidR="00B57E1B" w:rsidRPr="005D4F27" w:rsidRDefault="00B57E1B" w:rsidP="00FC7C49">
            <w:pPr>
              <w:rPr>
                <w:rFonts w:eastAsia="Calibri"/>
              </w:rPr>
            </w:pPr>
            <w:r w:rsidRPr="005D4F27">
              <w:rPr>
                <w:rFonts w:eastAsia="Calibri"/>
              </w:rPr>
              <w:t>DIN EN 16175-1:2016-12</w:t>
            </w:r>
          </w:p>
          <w:p w14:paraId="62381895" w14:textId="77777777" w:rsidR="00B57E1B" w:rsidRPr="005D4F27" w:rsidRDefault="00B57E1B" w:rsidP="00FC7C49">
            <w:pPr>
              <w:rPr>
                <w:rFonts w:eastAsia="Calibri"/>
              </w:rPr>
            </w:pPr>
            <w:r w:rsidRPr="005D4F27">
              <w:rPr>
                <w:rFonts w:eastAsia="Calibri"/>
                <w:bCs/>
                <w:color w:val="1A171B"/>
                <w:kern w:val="36"/>
              </w:rPr>
              <w:t>DIN EN ISO 12846:2012-08</w:t>
            </w:r>
          </w:p>
        </w:tc>
      </w:tr>
      <w:tr w:rsidR="00B57E1B" w:rsidRPr="005D4F27" w14:paraId="32C5955B" w14:textId="77777777" w:rsidTr="00B57E1B">
        <w:tc>
          <w:tcPr>
            <w:tcW w:w="3045" w:type="dxa"/>
            <w:vMerge/>
            <w:tcBorders>
              <w:right w:val="single" w:sz="12" w:space="0" w:color="auto"/>
            </w:tcBorders>
          </w:tcPr>
          <w:p w14:paraId="1FFFA60B" w14:textId="77777777" w:rsidR="00B57E1B" w:rsidRPr="005D4F27" w:rsidRDefault="00B57E1B" w:rsidP="00FC7C49">
            <w:pPr>
              <w:rPr>
                <w:rFonts w:eastAsia="Calibri"/>
              </w:rPr>
            </w:pPr>
          </w:p>
        </w:tc>
        <w:tc>
          <w:tcPr>
            <w:tcW w:w="2905" w:type="dxa"/>
            <w:tcBorders>
              <w:left w:val="single" w:sz="12" w:space="0" w:color="auto"/>
            </w:tcBorders>
          </w:tcPr>
          <w:p w14:paraId="2D91B6E9" w14:textId="77777777" w:rsidR="00B57E1B" w:rsidRPr="005D4F27" w:rsidRDefault="00B57E1B" w:rsidP="00FC7C49">
            <w:pPr>
              <w:rPr>
                <w:rFonts w:eastAsia="Calibri"/>
              </w:rPr>
            </w:pPr>
            <w:r w:rsidRPr="005D4F27">
              <w:rPr>
                <w:rFonts w:eastAsia="Calibri"/>
              </w:rPr>
              <w:t>ICP-MS</w:t>
            </w:r>
          </w:p>
        </w:tc>
        <w:tc>
          <w:tcPr>
            <w:tcW w:w="3689" w:type="dxa"/>
            <w:tcBorders>
              <w:top w:val="single" w:sz="6" w:space="0" w:color="auto"/>
            </w:tcBorders>
          </w:tcPr>
          <w:p w14:paraId="4A22C3FD" w14:textId="77777777" w:rsidR="00B57E1B" w:rsidRPr="005D4F27" w:rsidRDefault="00B57E1B" w:rsidP="00FC7C49">
            <w:pPr>
              <w:rPr>
                <w:rFonts w:eastAsia="Calibri"/>
                <w:bCs/>
                <w:color w:val="1A171B"/>
                <w:kern w:val="36"/>
              </w:rPr>
            </w:pPr>
            <w:r w:rsidRPr="005D4F27">
              <w:rPr>
                <w:rFonts w:eastAsia="Calibri"/>
                <w:bCs/>
                <w:color w:val="1A171B"/>
                <w:kern w:val="36"/>
              </w:rPr>
              <w:t>DIN EN ISO 17294-2:</w:t>
            </w:r>
            <w:r w:rsidRPr="005D4F27">
              <w:rPr>
                <w:rFonts w:eastAsia="Calibri"/>
                <w:lang w:val="sv-SE"/>
              </w:rPr>
              <w:t>2017-01</w:t>
            </w:r>
          </w:p>
        </w:tc>
      </w:tr>
      <w:tr w:rsidR="00B57E1B" w:rsidRPr="005D4F27" w14:paraId="0DAE677F" w14:textId="77777777" w:rsidTr="00B57E1B">
        <w:tc>
          <w:tcPr>
            <w:tcW w:w="3045" w:type="dxa"/>
            <w:vMerge/>
            <w:tcBorders>
              <w:right w:val="single" w:sz="12" w:space="0" w:color="auto"/>
            </w:tcBorders>
          </w:tcPr>
          <w:p w14:paraId="60FF92BB" w14:textId="77777777" w:rsidR="00B57E1B" w:rsidRPr="005D4F27" w:rsidRDefault="00B57E1B" w:rsidP="00FC7C49">
            <w:pPr>
              <w:rPr>
                <w:rFonts w:eastAsia="Calibri"/>
              </w:rPr>
            </w:pPr>
          </w:p>
        </w:tc>
        <w:tc>
          <w:tcPr>
            <w:tcW w:w="2905" w:type="dxa"/>
            <w:tcBorders>
              <w:left w:val="single" w:sz="12" w:space="0" w:color="auto"/>
            </w:tcBorders>
          </w:tcPr>
          <w:p w14:paraId="47AD057F" w14:textId="77777777" w:rsidR="00B57E1B" w:rsidRPr="005D4F27" w:rsidRDefault="00B57E1B" w:rsidP="00FC7C49">
            <w:pPr>
              <w:rPr>
                <w:rFonts w:eastAsia="Calibri"/>
              </w:rPr>
            </w:pPr>
            <w:r w:rsidRPr="005D4F27">
              <w:rPr>
                <w:rFonts w:eastAsia="Calibri"/>
              </w:rPr>
              <w:t>Atomfluoreszenz-</w:t>
            </w:r>
            <w:proofErr w:type="spellStart"/>
            <w:r w:rsidRPr="005D4F27">
              <w:rPr>
                <w:rFonts w:eastAsia="Calibri"/>
              </w:rPr>
              <w:t>spektrometrie</w:t>
            </w:r>
            <w:proofErr w:type="spellEnd"/>
            <w:r w:rsidRPr="005D4F27">
              <w:rPr>
                <w:rFonts w:eastAsia="Calibri"/>
              </w:rPr>
              <w:t xml:space="preserve"> (AFS)</w:t>
            </w:r>
          </w:p>
        </w:tc>
        <w:tc>
          <w:tcPr>
            <w:tcW w:w="3689" w:type="dxa"/>
            <w:tcBorders>
              <w:top w:val="single" w:sz="6" w:space="0" w:color="auto"/>
            </w:tcBorders>
          </w:tcPr>
          <w:p w14:paraId="53B8B2C0" w14:textId="77777777" w:rsidR="00B57E1B" w:rsidRPr="005D4F27" w:rsidRDefault="00B57E1B" w:rsidP="00FC7C49">
            <w:pPr>
              <w:rPr>
                <w:rFonts w:eastAsia="Calibri"/>
              </w:rPr>
            </w:pPr>
            <w:r w:rsidRPr="005D4F27">
              <w:rPr>
                <w:rFonts w:eastAsia="Calibri"/>
              </w:rPr>
              <w:t>DIN EN 16175-2:2016-12</w:t>
            </w:r>
          </w:p>
          <w:p w14:paraId="6FAE52E1" w14:textId="77777777" w:rsidR="00B57E1B" w:rsidRPr="005D4F27" w:rsidRDefault="00B57E1B" w:rsidP="00FC7C49">
            <w:pPr>
              <w:rPr>
                <w:rFonts w:eastAsia="Calibri"/>
              </w:rPr>
            </w:pPr>
            <w:r w:rsidRPr="005D4F27">
              <w:rPr>
                <w:rFonts w:eastAsia="Calibri"/>
              </w:rPr>
              <w:t>DIN EN ISO 17852:2008-04</w:t>
            </w:r>
          </w:p>
        </w:tc>
      </w:tr>
      <w:tr w:rsidR="00B57E1B" w:rsidRPr="005D4F27" w14:paraId="3389C259" w14:textId="77777777" w:rsidTr="00B57E1B">
        <w:tc>
          <w:tcPr>
            <w:tcW w:w="3045" w:type="dxa"/>
            <w:vMerge w:val="restart"/>
            <w:tcBorders>
              <w:top w:val="single" w:sz="6" w:space="0" w:color="auto"/>
              <w:right w:val="single" w:sz="12" w:space="0" w:color="auto"/>
            </w:tcBorders>
          </w:tcPr>
          <w:p w14:paraId="76C51A06" w14:textId="77777777" w:rsidR="00B57E1B" w:rsidRPr="005D4F27" w:rsidRDefault="00B57E1B" w:rsidP="00FC7C49">
            <w:pPr>
              <w:rPr>
                <w:rFonts w:eastAsia="Calibri"/>
              </w:rPr>
            </w:pPr>
            <w:r w:rsidRPr="005D4F27">
              <w:rPr>
                <w:rFonts w:eastAsia="Calibri"/>
              </w:rPr>
              <w:t>Selen</w:t>
            </w:r>
          </w:p>
        </w:tc>
        <w:tc>
          <w:tcPr>
            <w:tcW w:w="2905" w:type="dxa"/>
            <w:tcBorders>
              <w:left w:val="single" w:sz="12" w:space="0" w:color="auto"/>
            </w:tcBorders>
          </w:tcPr>
          <w:p w14:paraId="02843C70" w14:textId="77777777" w:rsidR="00B57E1B" w:rsidRPr="005D4F27" w:rsidRDefault="00B57E1B" w:rsidP="00FC7C49">
            <w:pPr>
              <w:rPr>
                <w:rFonts w:eastAsia="Calibri"/>
              </w:rPr>
            </w:pPr>
            <w:r w:rsidRPr="005D4F27">
              <w:rPr>
                <w:rFonts w:eastAsia="Calibri"/>
              </w:rPr>
              <w:t>ICP-AES/ICP-OES</w:t>
            </w:r>
          </w:p>
        </w:tc>
        <w:tc>
          <w:tcPr>
            <w:tcW w:w="3689" w:type="dxa"/>
            <w:tcBorders>
              <w:top w:val="single" w:sz="6" w:space="0" w:color="auto"/>
            </w:tcBorders>
          </w:tcPr>
          <w:p w14:paraId="260F49AA" w14:textId="77777777" w:rsidR="00B57E1B" w:rsidRPr="005D4F27" w:rsidRDefault="00B57E1B" w:rsidP="00FC7C49">
            <w:pPr>
              <w:rPr>
                <w:rFonts w:eastAsia="Calibri"/>
              </w:rPr>
            </w:pPr>
            <w:r w:rsidRPr="005D4F27">
              <w:rPr>
                <w:rFonts w:eastAsia="Calibri"/>
              </w:rPr>
              <w:t xml:space="preserve">DIN ISO 22036:2009-06 </w:t>
            </w:r>
          </w:p>
        </w:tc>
      </w:tr>
      <w:tr w:rsidR="00B57E1B" w:rsidRPr="005D4F27" w14:paraId="258E0444" w14:textId="77777777" w:rsidTr="00B57E1B">
        <w:tc>
          <w:tcPr>
            <w:tcW w:w="3045" w:type="dxa"/>
            <w:vMerge/>
            <w:tcBorders>
              <w:right w:val="single" w:sz="12" w:space="0" w:color="auto"/>
            </w:tcBorders>
          </w:tcPr>
          <w:p w14:paraId="46F194AB" w14:textId="77777777" w:rsidR="00B57E1B" w:rsidRPr="005D4F27" w:rsidRDefault="00B57E1B" w:rsidP="00FC7C49">
            <w:pPr>
              <w:rPr>
                <w:rFonts w:eastAsia="Calibri"/>
              </w:rPr>
            </w:pPr>
          </w:p>
        </w:tc>
        <w:tc>
          <w:tcPr>
            <w:tcW w:w="2905" w:type="dxa"/>
            <w:tcBorders>
              <w:left w:val="single" w:sz="12" w:space="0" w:color="auto"/>
            </w:tcBorders>
          </w:tcPr>
          <w:p w14:paraId="3CE130C6" w14:textId="77777777" w:rsidR="00B57E1B" w:rsidRPr="005D4F27" w:rsidDel="0017190F" w:rsidRDefault="00B57E1B" w:rsidP="00FC7C49">
            <w:pPr>
              <w:rPr>
                <w:rFonts w:eastAsia="Calibri"/>
              </w:rPr>
            </w:pPr>
            <w:r w:rsidRPr="005D4F27">
              <w:rPr>
                <w:rFonts w:eastAsia="Calibri"/>
              </w:rPr>
              <w:t>ICP-MS</w:t>
            </w:r>
          </w:p>
        </w:tc>
        <w:tc>
          <w:tcPr>
            <w:tcW w:w="3689" w:type="dxa"/>
            <w:tcBorders>
              <w:top w:val="single" w:sz="6" w:space="0" w:color="auto"/>
            </w:tcBorders>
          </w:tcPr>
          <w:p w14:paraId="2618EECD" w14:textId="77777777" w:rsidR="00B57E1B" w:rsidRPr="005D4F27" w:rsidRDefault="00B57E1B" w:rsidP="00FC7C49">
            <w:pPr>
              <w:rPr>
                <w:rFonts w:eastAsia="Calibri"/>
              </w:rPr>
            </w:pPr>
            <w:r w:rsidRPr="005D4F27">
              <w:rPr>
                <w:rFonts w:eastAsia="Calibri"/>
              </w:rPr>
              <w:t>DIN EN ISO 17294-2:</w:t>
            </w:r>
            <w:r w:rsidRPr="005D4F27">
              <w:rPr>
                <w:rFonts w:eastAsia="Calibri"/>
                <w:lang w:val="sv-SE"/>
              </w:rPr>
              <w:t>2017-01</w:t>
            </w:r>
          </w:p>
        </w:tc>
      </w:tr>
      <w:tr w:rsidR="00B57E1B" w:rsidRPr="005D4F27" w14:paraId="58A52F96" w14:textId="77777777" w:rsidTr="00B57E1B">
        <w:tc>
          <w:tcPr>
            <w:tcW w:w="3045" w:type="dxa"/>
            <w:tcBorders>
              <w:top w:val="single" w:sz="6" w:space="0" w:color="auto"/>
              <w:right w:val="single" w:sz="12" w:space="0" w:color="auto"/>
            </w:tcBorders>
          </w:tcPr>
          <w:p w14:paraId="54467DB8" w14:textId="77777777" w:rsidR="00B57E1B" w:rsidRPr="005D4F27" w:rsidRDefault="00B57E1B" w:rsidP="00FC7C49">
            <w:pPr>
              <w:rPr>
                <w:rFonts w:eastAsia="Calibri"/>
              </w:rPr>
            </w:pPr>
            <w:r w:rsidRPr="005D4F27">
              <w:rPr>
                <w:rFonts w:eastAsia="Calibri"/>
              </w:rPr>
              <w:t xml:space="preserve">Cyanide </w:t>
            </w:r>
            <w:r w:rsidRPr="005D4F27">
              <w:rPr>
                <w:rFonts w:eastAsia="Calibri"/>
                <w:vertAlign w:val="subscript"/>
              </w:rPr>
              <w:t>gesamt</w:t>
            </w:r>
          </w:p>
        </w:tc>
        <w:tc>
          <w:tcPr>
            <w:tcW w:w="2905" w:type="dxa"/>
            <w:tcBorders>
              <w:left w:val="single" w:sz="12" w:space="0" w:color="auto"/>
            </w:tcBorders>
          </w:tcPr>
          <w:p w14:paraId="2F51CD98" w14:textId="77777777" w:rsidR="00B57E1B" w:rsidRPr="005D4F27" w:rsidRDefault="00B57E1B" w:rsidP="00FC7C49">
            <w:pPr>
              <w:rPr>
                <w:rFonts w:eastAsia="Calibri"/>
              </w:rPr>
            </w:pPr>
            <w:r w:rsidRPr="005D4F27">
              <w:rPr>
                <w:rFonts w:eastAsia="Calibri"/>
              </w:rPr>
              <w:t>Spektralphotometrie</w:t>
            </w:r>
          </w:p>
        </w:tc>
        <w:tc>
          <w:tcPr>
            <w:tcW w:w="3689" w:type="dxa"/>
            <w:tcBorders>
              <w:top w:val="single" w:sz="6" w:space="0" w:color="auto"/>
            </w:tcBorders>
          </w:tcPr>
          <w:p w14:paraId="7048FA36" w14:textId="77777777" w:rsidR="00B57E1B" w:rsidRPr="005D4F27" w:rsidRDefault="00B57E1B" w:rsidP="00FC7C49">
            <w:pPr>
              <w:rPr>
                <w:rFonts w:eastAsia="Calibri"/>
              </w:rPr>
            </w:pPr>
            <w:r w:rsidRPr="005D4F27">
              <w:rPr>
                <w:rFonts w:eastAsia="Calibri"/>
              </w:rPr>
              <w:t>DIN 38405-13:2011-04</w:t>
            </w:r>
          </w:p>
          <w:p w14:paraId="3AB3DA16" w14:textId="77777777" w:rsidR="00B57E1B" w:rsidRPr="005D4F27" w:rsidRDefault="00B57E1B" w:rsidP="00FC7C49">
            <w:pPr>
              <w:rPr>
                <w:rFonts w:eastAsia="Calibri"/>
              </w:rPr>
            </w:pPr>
            <w:r w:rsidRPr="005D4F27">
              <w:rPr>
                <w:rFonts w:eastAsia="Calibri"/>
              </w:rPr>
              <w:t>DIN EN ISO 14403-1:2012-10</w:t>
            </w:r>
          </w:p>
          <w:p w14:paraId="20C24A32" w14:textId="77777777" w:rsidR="00B57E1B" w:rsidRPr="005D4F27" w:rsidRDefault="00B57E1B" w:rsidP="00FC7C49">
            <w:pPr>
              <w:rPr>
                <w:rFonts w:eastAsia="Calibri"/>
              </w:rPr>
            </w:pPr>
            <w:r w:rsidRPr="005D4F27">
              <w:rPr>
                <w:rFonts w:eastAsia="Calibri"/>
              </w:rPr>
              <w:t>DIN EN ISO 14403-2:2012-10</w:t>
            </w:r>
          </w:p>
        </w:tc>
      </w:tr>
      <w:tr w:rsidR="00B57E1B" w:rsidRPr="005D4F27" w14:paraId="2D572CE0" w14:textId="77777777" w:rsidTr="00B57E1B">
        <w:tc>
          <w:tcPr>
            <w:tcW w:w="3045" w:type="dxa"/>
            <w:tcBorders>
              <w:top w:val="single" w:sz="6" w:space="0" w:color="auto"/>
              <w:right w:val="single" w:sz="12" w:space="0" w:color="auto"/>
            </w:tcBorders>
          </w:tcPr>
          <w:p w14:paraId="541F7C03" w14:textId="77777777" w:rsidR="00B57E1B" w:rsidRPr="005D4F27" w:rsidRDefault="00B57E1B" w:rsidP="00FC7C49">
            <w:pPr>
              <w:rPr>
                <w:rFonts w:eastAsia="Calibri"/>
              </w:rPr>
            </w:pPr>
            <w:r w:rsidRPr="005D4F27">
              <w:rPr>
                <w:rFonts w:eastAsia="Calibri"/>
              </w:rPr>
              <w:t xml:space="preserve">Cyanide </w:t>
            </w:r>
            <w:r w:rsidRPr="005D4F27">
              <w:rPr>
                <w:rFonts w:eastAsia="Calibri"/>
                <w:vertAlign w:val="subscript"/>
              </w:rPr>
              <w:t>leicht freisetzbar</w:t>
            </w:r>
          </w:p>
        </w:tc>
        <w:tc>
          <w:tcPr>
            <w:tcW w:w="2905" w:type="dxa"/>
            <w:tcBorders>
              <w:left w:val="single" w:sz="12" w:space="0" w:color="auto"/>
            </w:tcBorders>
          </w:tcPr>
          <w:p w14:paraId="56E555DB" w14:textId="77777777" w:rsidR="00B57E1B" w:rsidRPr="005D4F27" w:rsidRDefault="00B57E1B" w:rsidP="00FC7C49">
            <w:pPr>
              <w:rPr>
                <w:rFonts w:eastAsia="Calibri"/>
              </w:rPr>
            </w:pPr>
            <w:r w:rsidRPr="005D4F27">
              <w:rPr>
                <w:rFonts w:eastAsia="Calibri"/>
              </w:rPr>
              <w:t>Spektralphotometrie</w:t>
            </w:r>
          </w:p>
        </w:tc>
        <w:tc>
          <w:tcPr>
            <w:tcW w:w="3689" w:type="dxa"/>
            <w:tcBorders>
              <w:top w:val="single" w:sz="6" w:space="0" w:color="auto"/>
            </w:tcBorders>
          </w:tcPr>
          <w:p w14:paraId="371B9970" w14:textId="77777777" w:rsidR="00B57E1B" w:rsidRPr="005D4F27" w:rsidRDefault="00B57E1B" w:rsidP="00FC7C49">
            <w:pPr>
              <w:rPr>
                <w:rFonts w:eastAsia="Calibri"/>
              </w:rPr>
            </w:pPr>
            <w:r w:rsidRPr="005D4F27">
              <w:rPr>
                <w:rFonts w:eastAsia="Calibri"/>
              </w:rPr>
              <w:t>DIN 38405-13:2011-04</w:t>
            </w:r>
          </w:p>
          <w:p w14:paraId="38DA2039" w14:textId="77777777" w:rsidR="00B57E1B" w:rsidRPr="005D4F27" w:rsidRDefault="00B57E1B" w:rsidP="00FC7C49">
            <w:pPr>
              <w:rPr>
                <w:rFonts w:eastAsia="Calibri"/>
              </w:rPr>
            </w:pPr>
            <w:r w:rsidRPr="005D4F27">
              <w:rPr>
                <w:rFonts w:eastAsia="Calibri"/>
              </w:rPr>
              <w:t>DIN EN ISO 14403-1:2012-10</w:t>
            </w:r>
          </w:p>
          <w:p w14:paraId="23130FF0" w14:textId="77777777" w:rsidR="00B57E1B" w:rsidRPr="005D4F27" w:rsidRDefault="00B57E1B" w:rsidP="00FC7C49">
            <w:pPr>
              <w:rPr>
                <w:rFonts w:eastAsia="Calibri"/>
              </w:rPr>
            </w:pPr>
            <w:r w:rsidRPr="005D4F27">
              <w:rPr>
                <w:rFonts w:eastAsia="Calibri"/>
              </w:rPr>
              <w:t>DIN EN ISO 14403-2:2012-10</w:t>
            </w:r>
          </w:p>
        </w:tc>
      </w:tr>
      <w:tr w:rsidR="00B57E1B" w:rsidRPr="005D4F27" w14:paraId="6D2DB464" w14:textId="77777777" w:rsidTr="00B57E1B">
        <w:tc>
          <w:tcPr>
            <w:tcW w:w="3045" w:type="dxa"/>
            <w:vMerge w:val="restart"/>
            <w:tcBorders>
              <w:top w:val="single" w:sz="6" w:space="0" w:color="auto"/>
              <w:right w:val="single" w:sz="12" w:space="0" w:color="auto"/>
            </w:tcBorders>
          </w:tcPr>
          <w:p w14:paraId="04615A2E" w14:textId="77777777" w:rsidR="00B57E1B" w:rsidRPr="005D4F27" w:rsidRDefault="00B57E1B" w:rsidP="00FC7C49">
            <w:pPr>
              <w:rPr>
                <w:rFonts w:eastAsia="Calibri"/>
                <w:lang w:val="en-GB"/>
              </w:rPr>
            </w:pPr>
            <w:proofErr w:type="spellStart"/>
            <w:r w:rsidRPr="005D4F27">
              <w:rPr>
                <w:rFonts w:eastAsia="Calibri"/>
                <w:lang w:val="en-US"/>
              </w:rPr>
              <w:t>Fluorid</w:t>
            </w:r>
            <w:proofErr w:type="spellEnd"/>
            <w:r w:rsidRPr="005D4F27">
              <w:rPr>
                <w:rFonts w:eastAsia="Calibri"/>
                <w:lang w:val="en-US"/>
              </w:rPr>
              <w:t xml:space="preserve">, </w:t>
            </w:r>
            <w:proofErr w:type="spellStart"/>
            <w:r w:rsidRPr="005D4F27">
              <w:rPr>
                <w:rFonts w:eastAsia="Calibri"/>
                <w:lang w:val="en-GB"/>
              </w:rPr>
              <w:t>Sulfat</w:t>
            </w:r>
            <w:proofErr w:type="spellEnd"/>
            <w:r w:rsidRPr="005D4F27">
              <w:rPr>
                <w:rFonts w:eastAsia="Calibri"/>
                <w:lang w:val="en-GB"/>
              </w:rPr>
              <w:t xml:space="preserve"> </w:t>
            </w:r>
          </w:p>
        </w:tc>
        <w:tc>
          <w:tcPr>
            <w:tcW w:w="2905" w:type="dxa"/>
            <w:tcBorders>
              <w:left w:val="single" w:sz="12" w:space="0" w:color="auto"/>
              <w:bottom w:val="single" w:sz="6" w:space="0" w:color="auto"/>
            </w:tcBorders>
          </w:tcPr>
          <w:p w14:paraId="25CD5128" w14:textId="77777777" w:rsidR="00B57E1B" w:rsidRPr="005D4F27" w:rsidRDefault="00B57E1B" w:rsidP="00FC7C49">
            <w:pPr>
              <w:rPr>
                <w:rFonts w:eastAsia="Calibri"/>
              </w:rPr>
            </w:pPr>
            <w:r w:rsidRPr="005D4F27">
              <w:rPr>
                <w:rFonts w:eastAsia="Calibri"/>
              </w:rPr>
              <w:t>Fluoridsensitive Elektrode</w:t>
            </w:r>
          </w:p>
        </w:tc>
        <w:tc>
          <w:tcPr>
            <w:tcW w:w="3689" w:type="dxa"/>
            <w:tcBorders>
              <w:top w:val="single" w:sz="6" w:space="0" w:color="auto"/>
            </w:tcBorders>
          </w:tcPr>
          <w:p w14:paraId="50AF3915" w14:textId="77777777" w:rsidR="00B57E1B" w:rsidRPr="005D4F27" w:rsidRDefault="00B57E1B" w:rsidP="00FC7C49">
            <w:pPr>
              <w:rPr>
                <w:rFonts w:eastAsia="Calibri"/>
              </w:rPr>
            </w:pPr>
            <w:r w:rsidRPr="005D4F27">
              <w:rPr>
                <w:rFonts w:eastAsia="Calibri"/>
              </w:rPr>
              <w:t>DIN 38405-4:1985-07</w:t>
            </w:r>
          </w:p>
        </w:tc>
      </w:tr>
      <w:tr w:rsidR="00B57E1B" w:rsidRPr="005D4F27" w14:paraId="18E67F31" w14:textId="77777777" w:rsidTr="00B57E1B">
        <w:tc>
          <w:tcPr>
            <w:tcW w:w="3045" w:type="dxa"/>
            <w:vMerge/>
            <w:tcBorders>
              <w:top w:val="single" w:sz="6" w:space="0" w:color="auto"/>
              <w:bottom w:val="single" w:sz="12" w:space="0" w:color="auto"/>
              <w:right w:val="single" w:sz="12" w:space="0" w:color="auto"/>
            </w:tcBorders>
          </w:tcPr>
          <w:p w14:paraId="0D6E5166" w14:textId="77777777" w:rsidR="00B57E1B" w:rsidRPr="005D4F27" w:rsidRDefault="00B57E1B" w:rsidP="00FC7C49">
            <w:pPr>
              <w:rPr>
                <w:rFonts w:eastAsia="Calibri"/>
              </w:rPr>
            </w:pPr>
          </w:p>
        </w:tc>
        <w:tc>
          <w:tcPr>
            <w:tcW w:w="2905" w:type="dxa"/>
            <w:tcBorders>
              <w:top w:val="single" w:sz="6" w:space="0" w:color="auto"/>
              <w:left w:val="single" w:sz="12" w:space="0" w:color="auto"/>
              <w:bottom w:val="single" w:sz="12" w:space="0" w:color="auto"/>
            </w:tcBorders>
          </w:tcPr>
          <w:p w14:paraId="5C356D47" w14:textId="77777777" w:rsidR="00B57E1B" w:rsidRPr="005D4F27" w:rsidRDefault="00B57E1B" w:rsidP="00FC7C49">
            <w:pPr>
              <w:rPr>
                <w:rFonts w:eastAsia="Calibri"/>
              </w:rPr>
            </w:pPr>
            <w:r w:rsidRPr="005D4F27">
              <w:rPr>
                <w:rFonts w:eastAsia="Calibri"/>
              </w:rPr>
              <w:t>Ionenchromatographie</w:t>
            </w:r>
          </w:p>
        </w:tc>
        <w:tc>
          <w:tcPr>
            <w:tcW w:w="3689" w:type="dxa"/>
            <w:tcBorders>
              <w:top w:val="single" w:sz="6" w:space="0" w:color="auto"/>
              <w:bottom w:val="single" w:sz="12" w:space="0" w:color="auto"/>
            </w:tcBorders>
          </w:tcPr>
          <w:p w14:paraId="08AE119E" w14:textId="77777777" w:rsidR="00B57E1B" w:rsidRPr="005D4F27" w:rsidRDefault="00B57E1B" w:rsidP="00FC7C49">
            <w:pPr>
              <w:rPr>
                <w:rFonts w:eastAsia="Calibri"/>
              </w:rPr>
            </w:pPr>
            <w:r w:rsidRPr="005D4F27">
              <w:rPr>
                <w:rFonts w:eastAsia="Calibri"/>
              </w:rPr>
              <w:t>DIN EN ISO 10304-1:2009-07</w:t>
            </w:r>
          </w:p>
        </w:tc>
      </w:tr>
    </w:tbl>
    <w:p w14:paraId="3154B688" w14:textId="19EB5547" w:rsidR="00B57E1B" w:rsidRPr="00B57E1B" w:rsidRDefault="00B57E1B" w:rsidP="00B57E1B">
      <w:pPr>
        <w:pStyle w:val="Text"/>
      </w:pPr>
    </w:p>
    <w:p w14:paraId="65CF3F2D" w14:textId="0D2BB939" w:rsidR="00B57E1B" w:rsidRPr="00B57E1B" w:rsidRDefault="00B57E1B" w:rsidP="00B57E1B">
      <w:pPr>
        <w:pStyle w:val="berschrift1"/>
        <w:rPr>
          <w:rFonts w:eastAsia="Calibri"/>
        </w:rPr>
      </w:pPr>
      <w:r>
        <w:rPr>
          <w:rFonts w:eastAsia="Calibri"/>
        </w:rPr>
        <w:br w:type="page"/>
      </w:r>
      <w:r w:rsidRPr="00B57E1B">
        <w:rPr>
          <w:rFonts w:eastAsia="Calibri"/>
        </w:rPr>
        <w:lastRenderedPageBreak/>
        <w:t>Tabelle 7: Verfahren zur Bestimmung der Konzentration organischer Stoffe</w:t>
      </w:r>
    </w:p>
    <w:tbl>
      <w:tblPr>
        <w:tblpPr w:leftFromText="141" w:rightFromText="141" w:vertAnchor="text" w:tblpX="-15" w:tblpY="1"/>
        <w:tblOverlap w:val="never"/>
        <w:tblW w:w="96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5" w:type="dxa"/>
          <w:right w:w="35" w:type="dxa"/>
        </w:tblCellMar>
        <w:tblLook w:val="0000" w:firstRow="0" w:lastRow="0" w:firstColumn="0" w:lastColumn="0" w:noHBand="0" w:noVBand="0"/>
      </w:tblPr>
      <w:tblGrid>
        <w:gridCol w:w="3679"/>
        <w:gridCol w:w="2758"/>
        <w:gridCol w:w="3252"/>
      </w:tblGrid>
      <w:tr w:rsidR="00B57E1B" w:rsidRPr="005D4F27" w14:paraId="79DD7628" w14:textId="77777777" w:rsidTr="00FC7C49">
        <w:trPr>
          <w:trHeight w:val="467"/>
          <w:tblHeader/>
        </w:trPr>
        <w:tc>
          <w:tcPr>
            <w:tcW w:w="3679" w:type="dxa"/>
            <w:tcBorders>
              <w:top w:val="single" w:sz="12" w:space="0" w:color="auto"/>
              <w:left w:val="single" w:sz="12" w:space="0" w:color="auto"/>
              <w:bottom w:val="single" w:sz="12" w:space="0" w:color="auto"/>
              <w:right w:val="single" w:sz="12" w:space="0" w:color="auto"/>
            </w:tcBorders>
            <w:shd w:val="clear" w:color="auto" w:fill="E6E6E6"/>
            <w:vAlign w:val="center"/>
          </w:tcPr>
          <w:p w14:paraId="405444A6" w14:textId="77777777" w:rsidR="00B57E1B" w:rsidRPr="005D4F27" w:rsidRDefault="00B57E1B" w:rsidP="00B57E1B">
            <w:pPr>
              <w:pStyle w:val="berschrift1"/>
              <w:rPr>
                <w:rFonts w:eastAsia="Calibri"/>
              </w:rPr>
            </w:pPr>
            <w:r w:rsidRPr="005D4F27">
              <w:rPr>
                <w:rFonts w:eastAsia="Calibri"/>
              </w:rPr>
              <w:t>Stoff</w:t>
            </w:r>
          </w:p>
        </w:tc>
        <w:tc>
          <w:tcPr>
            <w:tcW w:w="2758" w:type="dxa"/>
            <w:tcBorders>
              <w:top w:val="single" w:sz="12" w:space="0" w:color="auto"/>
              <w:left w:val="single" w:sz="12" w:space="0" w:color="auto"/>
              <w:bottom w:val="single" w:sz="12" w:space="0" w:color="auto"/>
              <w:right w:val="single" w:sz="4" w:space="0" w:color="auto"/>
            </w:tcBorders>
            <w:shd w:val="clear" w:color="auto" w:fill="E6E6E6"/>
            <w:vAlign w:val="center"/>
          </w:tcPr>
          <w:p w14:paraId="7BDA58C9" w14:textId="77777777" w:rsidR="00B57E1B" w:rsidRPr="005D4F27" w:rsidRDefault="00B57E1B" w:rsidP="00FC7C49">
            <w:pPr>
              <w:ind w:left="57"/>
              <w:rPr>
                <w:rFonts w:eastAsia="Calibri"/>
                <w:b/>
              </w:rPr>
            </w:pPr>
            <w:r w:rsidRPr="005D4F27">
              <w:rPr>
                <w:rFonts w:eastAsia="Calibri"/>
                <w:b/>
              </w:rPr>
              <w:t>Methode</w:t>
            </w:r>
          </w:p>
        </w:tc>
        <w:tc>
          <w:tcPr>
            <w:tcW w:w="3252" w:type="dxa"/>
            <w:tcBorders>
              <w:top w:val="single" w:sz="12" w:space="0" w:color="auto"/>
              <w:left w:val="single" w:sz="4" w:space="0" w:color="auto"/>
              <w:bottom w:val="single" w:sz="12" w:space="0" w:color="auto"/>
              <w:right w:val="single" w:sz="12" w:space="0" w:color="auto"/>
            </w:tcBorders>
            <w:shd w:val="clear" w:color="auto" w:fill="E6E6E6"/>
            <w:vAlign w:val="center"/>
          </w:tcPr>
          <w:p w14:paraId="028D17FA" w14:textId="77777777" w:rsidR="00B57E1B" w:rsidRPr="005D4F27" w:rsidRDefault="00B57E1B" w:rsidP="00FC7C49">
            <w:pPr>
              <w:ind w:left="57"/>
              <w:rPr>
                <w:rFonts w:eastAsia="Calibri"/>
                <w:b/>
              </w:rPr>
            </w:pPr>
            <w:r w:rsidRPr="005D4F27">
              <w:rPr>
                <w:rFonts w:eastAsia="Calibri"/>
                <w:b/>
              </w:rPr>
              <w:t>Norm</w:t>
            </w:r>
          </w:p>
        </w:tc>
      </w:tr>
      <w:tr w:rsidR="00B57E1B" w:rsidRPr="005D4F27" w14:paraId="201D2BAF" w14:textId="77777777" w:rsidTr="00FC7C49">
        <w:trPr>
          <w:trHeight w:hRule="exact" w:val="975"/>
          <w:tblHeader/>
        </w:trPr>
        <w:tc>
          <w:tcPr>
            <w:tcW w:w="3679" w:type="dxa"/>
            <w:vMerge w:val="restart"/>
            <w:tcBorders>
              <w:top w:val="single" w:sz="12" w:space="0" w:color="auto"/>
              <w:left w:val="single" w:sz="12" w:space="0" w:color="auto"/>
              <w:right w:val="single" w:sz="12" w:space="0" w:color="auto"/>
            </w:tcBorders>
          </w:tcPr>
          <w:p w14:paraId="400AE068" w14:textId="77777777" w:rsidR="00B57E1B" w:rsidRPr="005D4F27" w:rsidRDefault="00B57E1B" w:rsidP="00FC7C49">
            <w:pPr>
              <w:ind w:left="57"/>
              <w:rPr>
                <w:rFonts w:eastAsia="Calibri"/>
              </w:rPr>
            </w:pPr>
            <w:r w:rsidRPr="005D4F27">
              <w:rPr>
                <w:rFonts w:eastAsia="Calibri"/>
              </w:rPr>
              <w:t xml:space="preserve">BTEX </w:t>
            </w:r>
            <w:r w:rsidRPr="005D4F27">
              <w:rPr>
                <w:rFonts w:eastAsia="Calibri"/>
                <w:vertAlign w:val="superscript"/>
              </w:rPr>
              <w:t>1)</w:t>
            </w:r>
          </w:p>
        </w:tc>
        <w:tc>
          <w:tcPr>
            <w:tcW w:w="2758" w:type="dxa"/>
            <w:tcBorders>
              <w:top w:val="single" w:sz="12" w:space="0" w:color="auto"/>
              <w:left w:val="single" w:sz="12" w:space="0" w:color="auto"/>
              <w:bottom w:val="single" w:sz="4" w:space="0" w:color="auto"/>
            </w:tcBorders>
          </w:tcPr>
          <w:p w14:paraId="7C4FDAB5" w14:textId="77777777" w:rsidR="00B57E1B" w:rsidRPr="005D4F27" w:rsidRDefault="00B57E1B" w:rsidP="00FC7C49">
            <w:pPr>
              <w:ind w:left="57"/>
              <w:rPr>
                <w:rFonts w:eastAsia="Calibri"/>
              </w:rPr>
            </w:pPr>
            <w:r w:rsidRPr="005D4F27">
              <w:rPr>
                <w:rFonts w:eastAsia="Calibri"/>
              </w:rPr>
              <w:t>GC-FID (Matrixbelastung beachten), HS-GC-MS</w:t>
            </w:r>
          </w:p>
        </w:tc>
        <w:tc>
          <w:tcPr>
            <w:tcW w:w="3252" w:type="dxa"/>
            <w:tcBorders>
              <w:top w:val="single" w:sz="12" w:space="0" w:color="auto"/>
              <w:bottom w:val="single" w:sz="4" w:space="0" w:color="auto"/>
              <w:right w:val="single" w:sz="12" w:space="0" w:color="auto"/>
            </w:tcBorders>
          </w:tcPr>
          <w:p w14:paraId="1E86454C" w14:textId="77777777" w:rsidR="00B57E1B" w:rsidRPr="005D4F27" w:rsidRDefault="00B57E1B" w:rsidP="00FC7C49">
            <w:pPr>
              <w:ind w:left="57"/>
              <w:rPr>
                <w:rFonts w:eastAsia="Calibri"/>
              </w:rPr>
            </w:pPr>
            <w:r w:rsidRPr="005D4F27">
              <w:rPr>
                <w:rFonts w:eastAsia="Calibri"/>
              </w:rPr>
              <w:t>DIN 38407-43:2014-10</w:t>
            </w:r>
          </w:p>
        </w:tc>
      </w:tr>
      <w:tr w:rsidR="00B57E1B" w:rsidRPr="005D4F27" w14:paraId="6F2B445E" w14:textId="77777777" w:rsidTr="00FC7C49">
        <w:trPr>
          <w:trHeight w:hRule="exact" w:val="975"/>
          <w:tblHeader/>
        </w:trPr>
        <w:tc>
          <w:tcPr>
            <w:tcW w:w="3679" w:type="dxa"/>
            <w:vMerge/>
            <w:tcBorders>
              <w:left w:val="single" w:sz="12" w:space="0" w:color="auto"/>
              <w:right w:val="single" w:sz="12" w:space="0" w:color="auto"/>
            </w:tcBorders>
          </w:tcPr>
          <w:p w14:paraId="1A219F76" w14:textId="77777777" w:rsidR="00B57E1B" w:rsidRPr="005D4F27" w:rsidRDefault="00B57E1B" w:rsidP="00FC7C49">
            <w:pPr>
              <w:ind w:left="57"/>
              <w:rPr>
                <w:rFonts w:eastAsia="Calibri"/>
              </w:rPr>
            </w:pPr>
          </w:p>
        </w:tc>
        <w:tc>
          <w:tcPr>
            <w:tcW w:w="2758" w:type="dxa"/>
            <w:tcBorders>
              <w:top w:val="single" w:sz="4" w:space="0" w:color="auto"/>
              <w:left w:val="single" w:sz="12" w:space="0" w:color="auto"/>
            </w:tcBorders>
          </w:tcPr>
          <w:p w14:paraId="16EF1EE7" w14:textId="77777777" w:rsidR="00B57E1B" w:rsidRPr="005D4F27" w:rsidRDefault="00B57E1B" w:rsidP="00FC7C49">
            <w:pPr>
              <w:ind w:left="57"/>
              <w:rPr>
                <w:rFonts w:eastAsia="Calibri"/>
              </w:rPr>
            </w:pPr>
            <w:r w:rsidRPr="005D4F27">
              <w:rPr>
                <w:rFonts w:eastAsia="Calibri"/>
              </w:rPr>
              <w:t>Purge und Trap-Anreicherung und thermischer Desorption</w:t>
            </w:r>
          </w:p>
        </w:tc>
        <w:tc>
          <w:tcPr>
            <w:tcW w:w="3252" w:type="dxa"/>
            <w:tcBorders>
              <w:top w:val="single" w:sz="4" w:space="0" w:color="auto"/>
              <w:right w:val="single" w:sz="12" w:space="0" w:color="auto"/>
            </w:tcBorders>
          </w:tcPr>
          <w:p w14:paraId="6E813DC3" w14:textId="77777777" w:rsidR="00B57E1B" w:rsidRPr="005D4F27" w:rsidRDefault="00B57E1B" w:rsidP="00FC7C49">
            <w:pPr>
              <w:ind w:left="57"/>
              <w:rPr>
                <w:rFonts w:eastAsia="Calibri"/>
              </w:rPr>
            </w:pPr>
            <w:r w:rsidRPr="005D4F27">
              <w:rPr>
                <w:rFonts w:eastAsia="Calibri"/>
              </w:rPr>
              <w:t>DIN EN ISO 15680:2004-04</w:t>
            </w:r>
          </w:p>
        </w:tc>
      </w:tr>
      <w:tr w:rsidR="00B57E1B" w:rsidRPr="005D4F27" w14:paraId="1EC3358E" w14:textId="77777777" w:rsidTr="00FC7C49">
        <w:trPr>
          <w:tblHeader/>
        </w:trPr>
        <w:tc>
          <w:tcPr>
            <w:tcW w:w="3679" w:type="dxa"/>
            <w:tcBorders>
              <w:left w:val="single" w:sz="12" w:space="0" w:color="auto"/>
              <w:right w:val="single" w:sz="12" w:space="0" w:color="auto"/>
            </w:tcBorders>
          </w:tcPr>
          <w:p w14:paraId="69EAC4F4" w14:textId="77777777" w:rsidR="00B57E1B" w:rsidRPr="005D4F27" w:rsidRDefault="00B57E1B" w:rsidP="00FC7C49">
            <w:pPr>
              <w:ind w:left="57"/>
              <w:rPr>
                <w:rFonts w:eastAsia="Calibri"/>
              </w:rPr>
            </w:pPr>
            <w:r w:rsidRPr="005D4F27">
              <w:rPr>
                <w:rFonts w:eastAsia="Calibri"/>
              </w:rPr>
              <w:t>Anthracen</w:t>
            </w:r>
          </w:p>
        </w:tc>
        <w:tc>
          <w:tcPr>
            <w:tcW w:w="2758" w:type="dxa"/>
            <w:tcBorders>
              <w:left w:val="single" w:sz="12" w:space="0" w:color="auto"/>
            </w:tcBorders>
          </w:tcPr>
          <w:p w14:paraId="6E92B9C0" w14:textId="77777777" w:rsidR="00B57E1B" w:rsidRPr="005D4F27" w:rsidRDefault="00B57E1B" w:rsidP="00FC7C49">
            <w:pPr>
              <w:ind w:left="57"/>
              <w:rPr>
                <w:rFonts w:eastAsia="Calibri"/>
              </w:rPr>
            </w:pPr>
            <w:r w:rsidRPr="005D4F27">
              <w:rPr>
                <w:rFonts w:eastAsia="Calibri"/>
              </w:rPr>
              <w:t>HPLC-F, GC-MS</w:t>
            </w:r>
          </w:p>
        </w:tc>
        <w:tc>
          <w:tcPr>
            <w:tcW w:w="3252" w:type="dxa"/>
            <w:tcBorders>
              <w:right w:val="single" w:sz="12" w:space="0" w:color="auto"/>
            </w:tcBorders>
          </w:tcPr>
          <w:p w14:paraId="0DECF749" w14:textId="77777777" w:rsidR="00B57E1B" w:rsidRPr="005D4F27" w:rsidRDefault="00B57E1B" w:rsidP="00FC7C49">
            <w:pPr>
              <w:ind w:left="57"/>
              <w:rPr>
                <w:rFonts w:eastAsia="Calibri"/>
              </w:rPr>
            </w:pPr>
            <w:r w:rsidRPr="005D4F27">
              <w:rPr>
                <w:rFonts w:eastAsia="Calibri"/>
              </w:rPr>
              <w:t>DIN EN ISO 17993:2004-03</w:t>
            </w:r>
          </w:p>
          <w:p w14:paraId="56D75ACC" w14:textId="77777777" w:rsidR="00B57E1B" w:rsidRPr="005D4F27" w:rsidRDefault="00B57E1B" w:rsidP="00FC7C49">
            <w:pPr>
              <w:ind w:left="57"/>
              <w:rPr>
                <w:rFonts w:eastAsia="Calibri"/>
              </w:rPr>
            </w:pPr>
            <w:r w:rsidRPr="005D4F27">
              <w:rPr>
                <w:rFonts w:eastAsia="Calibri"/>
              </w:rPr>
              <w:t>DIN 38407-39:2011-09</w:t>
            </w:r>
          </w:p>
        </w:tc>
      </w:tr>
      <w:tr w:rsidR="00B57E1B" w:rsidRPr="005D4F27" w14:paraId="45FB7680" w14:textId="77777777" w:rsidTr="00FC7C49">
        <w:trPr>
          <w:tblHeader/>
        </w:trPr>
        <w:tc>
          <w:tcPr>
            <w:tcW w:w="3679" w:type="dxa"/>
            <w:tcBorders>
              <w:left w:val="single" w:sz="12" w:space="0" w:color="auto"/>
              <w:right w:val="single" w:sz="12" w:space="0" w:color="auto"/>
            </w:tcBorders>
          </w:tcPr>
          <w:p w14:paraId="41EA3C36" w14:textId="77777777" w:rsidR="00B57E1B" w:rsidRPr="005D4F27" w:rsidRDefault="00B57E1B" w:rsidP="00FC7C49">
            <w:pPr>
              <w:ind w:left="57"/>
              <w:rPr>
                <w:rFonts w:eastAsia="Calibri"/>
                <w:lang w:val="it-IT"/>
              </w:rPr>
            </w:pPr>
            <w:r w:rsidRPr="005D4F27">
              <w:rPr>
                <w:rFonts w:eastAsia="Calibri"/>
                <w:lang w:val="it-IT"/>
              </w:rPr>
              <w:t>Benzo(a)</w:t>
            </w:r>
            <w:proofErr w:type="spellStart"/>
            <w:r w:rsidRPr="005D4F27">
              <w:rPr>
                <w:rFonts w:eastAsia="Calibri"/>
                <w:lang w:val="it-IT"/>
              </w:rPr>
              <w:t>pyren</w:t>
            </w:r>
            <w:proofErr w:type="spellEnd"/>
          </w:p>
        </w:tc>
        <w:tc>
          <w:tcPr>
            <w:tcW w:w="2758" w:type="dxa"/>
            <w:tcBorders>
              <w:left w:val="single" w:sz="12" w:space="0" w:color="auto"/>
            </w:tcBorders>
          </w:tcPr>
          <w:p w14:paraId="5214C33A" w14:textId="77777777" w:rsidR="00B57E1B" w:rsidRPr="005D4F27" w:rsidRDefault="00B57E1B" w:rsidP="00FC7C49">
            <w:pPr>
              <w:ind w:left="57"/>
              <w:rPr>
                <w:rFonts w:eastAsia="Calibri"/>
              </w:rPr>
            </w:pPr>
            <w:r w:rsidRPr="005D4F27">
              <w:rPr>
                <w:rFonts w:eastAsia="Calibri"/>
              </w:rPr>
              <w:t>HPLC-F, GC-MS</w:t>
            </w:r>
          </w:p>
        </w:tc>
        <w:tc>
          <w:tcPr>
            <w:tcW w:w="3252" w:type="dxa"/>
            <w:tcBorders>
              <w:right w:val="single" w:sz="12" w:space="0" w:color="auto"/>
            </w:tcBorders>
          </w:tcPr>
          <w:p w14:paraId="01925939" w14:textId="77777777" w:rsidR="00B57E1B" w:rsidRPr="005D4F27" w:rsidRDefault="00B57E1B" w:rsidP="00FC7C49">
            <w:pPr>
              <w:ind w:left="57"/>
              <w:rPr>
                <w:rFonts w:eastAsia="Calibri"/>
              </w:rPr>
            </w:pPr>
            <w:r w:rsidRPr="005D4F27">
              <w:rPr>
                <w:rFonts w:eastAsia="Calibri"/>
              </w:rPr>
              <w:t>DIN EN ISO 17993:2004-03</w:t>
            </w:r>
          </w:p>
          <w:p w14:paraId="66758851" w14:textId="77777777" w:rsidR="00B57E1B" w:rsidRPr="005D4F27" w:rsidRDefault="00B57E1B" w:rsidP="00FC7C49">
            <w:pPr>
              <w:ind w:left="57"/>
              <w:rPr>
                <w:rFonts w:eastAsia="Calibri"/>
              </w:rPr>
            </w:pPr>
            <w:r w:rsidRPr="005D4F27">
              <w:rPr>
                <w:rFonts w:eastAsia="Calibri"/>
              </w:rPr>
              <w:t>DIN 38407-39:2011-09</w:t>
            </w:r>
          </w:p>
        </w:tc>
      </w:tr>
      <w:tr w:rsidR="00B57E1B" w:rsidRPr="005D4F27" w14:paraId="69BDCC2B" w14:textId="77777777" w:rsidTr="00FC7C49">
        <w:trPr>
          <w:tblHeader/>
        </w:trPr>
        <w:tc>
          <w:tcPr>
            <w:tcW w:w="3679" w:type="dxa"/>
            <w:tcBorders>
              <w:left w:val="single" w:sz="12" w:space="0" w:color="auto"/>
              <w:right w:val="single" w:sz="12" w:space="0" w:color="auto"/>
            </w:tcBorders>
          </w:tcPr>
          <w:p w14:paraId="5AFDE118" w14:textId="77777777" w:rsidR="00B57E1B" w:rsidRPr="005D4F27" w:rsidRDefault="00B57E1B" w:rsidP="00FC7C49">
            <w:pPr>
              <w:ind w:left="57"/>
              <w:rPr>
                <w:rFonts w:eastAsia="Calibri"/>
              </w:rPr>
            </w:pPr>
            <w:r w:rsidRPr="005D4F27">
              <w:rPr>
                <w:rFonts w:eastAsia="Calibri"/>
              </w:rPr>
              <w:t>Benzol</w:t>
            </w:r>
          </w:p>
        </w:tc>
        <w:tc>
          <w:tcPr>
            <w:tcW w:w="2758" w:type="dxa"/>
            <w:tcBorders>
              <w:left w:val="single" w:sz="12" w:space="0" w:color="auto"/>
            </w:tcBorders>
          </w:tcPr>
          <w:p w14:paraId="58B13254" w14:textId="77777777" w:rsidR="00B57E1B" w:rsidRPr="005D4F27" w:rsidRDefault="00B57E1B" w:rsidP="00FC7C49">
            <w:pPr>
              <w:ind w:left="57"/>
              <w:rPr>
                <w:rFonts w:eastAsia="Calibri"/>
                <w:lang w:val="en-US"/>
              </w:rPr>
            </w:pPr>
            <w:r w:rsidRPr="005D4F27">
              <w:rPr>
                <w:rFonts w:eastAsia="Calibri"/>
                <w:lang w:val="en-US"/>
              </w:rPr>
              <w:t>HS-GC-MS,</w:t>
            </w:r>
          </w:p>
          <w:p w14:paraId="20E4ADD7" w14:textId="77777777" w:rsidR="00B57E1B" w:rsidRPr="005D4F27" w:rsidRDefault="00B57E1B" w:rsidP="00FC7C49">
            <w:pPr>
              <w:ind w:left="57"/>
              <w:rPr>
                <w:rFonts w:eastAsia="Calibri"/>
                <w:lang w:val="en-US"/>
              </w:rPr>
            </w:pPr>
            <w:r w:rsidRPr="005D4F27">
              <w:rPr>
                <w:rFonts w:eastAsia="Calibri"/>
                <w:lang w:val="en-US"/>
              </w:rPr>
              <w:t>HS-SPME GC-MS</w:t>
            </w:r>
          </w:p>
        </w:tc>
        <w:tc>
          <w:tcPr>
            <w:tcW w:w="3252" w:type="dxa"/>
            <w:tcBorders>
              <w:right w:val="single" w:sz="12" w:space="0" w:color="auto"/>
            </w:tcBorders>
          </w:tcPr>
          <w:p w14:paraId="7FEDC51A" w14:textId="77777777" w:rsidR="00B57E1B" w:rsidRPr="005D4F27" w:rsidRDefault="00B57E1B" w:rsidP="00FC7C49">
            <w:pPr>
              <w:ind w:left="57"/>
              <w:rPr>
                <w:rFonts w:eastAsia="Calibri"/>
              </w:rPr>
            </w:pPr>
            <w:r w:rsidRPr="005D4F27">
              <w:rPr>
                <w:rFonts w:eastAsia="Calibri"/>
              </w:rPr>
              <w:t>DIN 38407-43:2014-10</w:t>
            </w:r>
          </w:p>
          <w:p w14:paraId="5FAF78E5" w14:textId="77777777" w:rsidR="00B57E1B" w:rsidRPr="005D4F27" w:rsidRDefault="00B57E1B" w:rsidP="00FC7C49">
            <w:pPr>
              <w:ind w:left="57"/>
              <w:rPr>
                <w:rFonts w:eastAsia="Calibri"/>
              </w:rPr>
            </w:pPr>
            <w:r w:rsidRPr="005D4F27">
              <w:rPr>
                <w:rFonts w:eastAsia="Calibri"/>
              </w:rPr>
              <w:t>DIN EN ISO 17943:2016-10</w:t>
            </w:r>
          </w:p>
        </w:tc>
      </w:tr>
      <w:tr w:rsidR="00B57E1B" w:rsidRPr="005D4F27" w14:paraId="1B5F6340" w14:textId="77777777" w:rsidTr="00FC7C49">
        <w:trPr>
          <w:tblHeader/>
        </w:trPr>
        <w:tc>
          <w:tcPr>
            <w:tcW w:w="3679" w:type="dxa"/>
            <w:tcBorders>
              <w:left w:val="single" w:sz="12" w:space="0" w:color="auto"/>
              <w:right w:val="single" w:sz="12" w:space="0" w:color="auto"/>
            </w:tcBorders>
          </w:tcPr>
          <w:p w14:paraId="314E8BCD" w14:textId="77777777" w:rsidR="00B57E1B" w:rsidRPr="005D4F27" w:rsidRDefault="00B57E1B" w:rsidP="00FC7C49">
            <w:pPr>
              <w:ind w:left="57"/>
              <w:rPr>
                <w:rFonts w:eastAsia="Calibri"/>
              </w:rPr>
            </w:pPr>
            <w:r w:rsidRPr="005D4F27">
              <w:rPr>
                <w:rFonts w:eastAsia="Calibri"/>
              </w:rPr>
              <w:t>Summe Chlorbenzole</w:t>
            </w:r>
          </w:p>
        </w:tc>
        <w:tc>
          <w:tcPr>
            <w:tcW w:w="2758" w:type="dxa"/>
            <w:tcBorders>
              <w:left w:val="single" w:sz="12" w:space="0" w:color="auto"/>
            </w:tcBorders>
          </w:tcPr>
          <w:p w14:paraId="2D560CD1" w14:textId="77777777" w:rsidR="00B57E1B" w:rsidRPr="005D4F27" w:rsidRDefault="00B57E1B" w:rsidP="00FC7C49">
            <w:pPr>
              <w:ind w:left="57"/>
              <w:rPr>
                <w:rFonts w:eastAsia="Calibri"/>
              </w:rPr>
            </w:pPr>
            <w:r w:rsidRPr="005D4F27">
              <w:rPr>
                <w:rFonts w:eastAsia="Calibri"/>
              </w:rPr>
              <w:t>GC-MS</w:t>
            </w:r>
          </w:p>
        </w:tc>
        <w:tc>
          <w:tcPr>
            <w:tcW w:w="3252" w:type="dxa"/>
            <w:tcBorders>
              <w:right w:val="single" w:sz="12" w:space="0" w:color="auto"/>
            </w:tcBorders>
          </w:tcPr>
          <w:p w14:paraId="5936837E" w14:textId="77777777" w:rsidR="00B57E1B" w:rsidRPr="005D4F27" w:rsidRDefault="00B57E1B" w:rsidP="00FC7C49">
            <w:pPr>
              <w:ind w:left="57"/>
              <w:rPr>
                <w:rFonts w:eastAsia="Calibri"/>
              </w:rPr>
            </w:pPr>
            <w:r w:rsidRPr="005D4F27">
              <w:rPr>
                <w:rFonts w:eastAsia="Calibri"/>
              </w:rPr>
              <w:t>DIN 38407-37:2013-11</w:t>
            </w:r>
          </w:p>
        </w:tc>
      </w:tr>
      <w:tr w:rsidR="00B57E1B" w:rsidRPr="005D4F27" w14:paraId="6CFEAFCA" w14:textId="77777777" w:rsidTr="00FC7C49">
        <w:trPr>
          <w:tblHeader/>
        </w:trPr>
        <w:tc>
          <w:tcPr>
            <w:tcW w:w="3679" w:type="dxa"/>
            <w:tcBorders>
              <w:left w:val="single" w:sz="12" w:space="0" w:color="auto"/>
              <w:right w:val="single" w:sz="12" w:space="0" w:color="auto"/>
            </w:tcBorders>
          </w:tcPr>
          <w:p w14:paraId="356F45FF" w14:textId="77777777" w:rsidR="00B57E1B" w:rsidRPr="005D4F27" w:rsidRDefault="00B57E1B" w:rsidP="00FC7C49">
            <w:pPr>
              <w:ind w:left="57"/>
              <w:rPr>
                <w:rFonts w:eastAsia="Calibri"/>
                <w:lang w:val="en-US"/>
              </w:rPr>
            </w:pPr>
            <w:proofErr w:type="spellStart"/>
            <w:r w:rsidRPr="005D4F27">
              <w:rPr>
                <w:rFonts w:eastAsia="Calibri"/>
                <w:lang w:val="en-US"/>
              </w:rPr>
              <w:t>Chlorethen</w:t>
            </w:r>
            <w:proofErr w:type="spellEnd"/>
            <w:r w:rsidRPr="005D4F27">
              <w:rPr>
                <w:rFonts w:eastAsia="Calibri"/>
                <w:lang w:val="en-US"/>
              </w:rPr>
              <w:t xml:space="preserve"> (</w:t>
            </w:r>
            <w:proofErr w:type="spellStart"/>
            <w:r w:rsidRPr="005D4F27">
              <w:rPr>
                <w:rFonts w:eastAsia="Calibri"/>
                <w:lang w:val="en-US"/>
              </w:rPr>
              <w:t>Vinylchlorid</w:t>
            </w:r>
            <w:proofErr w:type="spellEnd"/>
            <w:r w:rsidRPr="005D4F27">
              <w:rPr>
                <w:rFonts w:eastAsia="Calibri"/>
                <w:lang w:val="en-US"/>
              </w:rPr>
              <w:t>)</w:t>
            </w:r>
          </w:p>
        </w:tc>
        <w:tc>
          <w:tcPr>
            <w:tcW w:w="2758" w:type="dxa"/>
            <w:tcBorders>
              <w:left w:val="single" w:sz="12" w:space="0" w:color="auto"/>
            </w:tcBorders>
          </w:tcPr>
          <w:p w14:paraId="08DD26E0" w14:textId="77777777" w:rsidR="00B57E1B" w:rsidRPr="005D4F27" w:rsidRDefault="00B57E1B" w:rsidP="00FC7C49">
            <w:pPr>
              <w:ind w:left="57"/>
              <w:rPr>
                <w:rFonts w:eastAsia="Calibri"/>
                <w:lang w:val="en-US"/>
              </w:rPr>
            </w:pPr>
            <w:r w:rsidRPr="005D4F27">
              <w:rPr>
                <w:rFonts w:eastAsia="Calibri"/>
                <w:lang w:val="en-US"/>
              </w:rPr>
              <w:t xml:space="preserve"> HS-SPME GC-MS</w:t>
            </w:r>
          </w:p>
        </w:tc>
        <w:tc>
          <w:tcPr>
            <w:tcW w:w="3252" w:type="dxa"/>
            <w:tcBorders>
              <w:right w:val="single" w:sz="12" w:space="0" w:color="auto"/>
            </w:tcBorders>
          </w:tcPr>
          <w:p w14:paraId="27290DAF" w14:textId="77777777" w:rsidR="00B57E1B" w:rsidRPr="005D4F27" w:rsidRDefault="00B57E1B" w:rsidP="00FC7C49">
            <w:pPr>
              <w:ind w:left="57"/>
              <w:rPr>
                <w:rFonts w:eastAsia="Calibri"/>
              </w:rPr>
            </w:pPr>
            <w:r w:rsidRPr="005D4F27">
              <w:rPr>
                <w:rFonts w:eastAsia="Calibri"/>
              </w:rPr>
              <w:t>DIN EN ISO 17943:2016-10</w:t>
            </w:r>
          </w:p>
        </w:tc>
      </w:tr>
      <w:tr w:rsidR="00B57E1B" w:rsidRPr="005D4F27" w14:paraId="6ED68F48" w14:textId="77777777" w:rsidTr="00FC7C49">
        <w:trPr>
          <w:tblHeader/>
        </w:trPr>
        <w:tc>
          <w:tcPr>
            <w:tcW w:w="3679" w:type="dxa"/>
            <w:tcBorders>
              <w:left w:val="single" w:sz="12" w:space="0" w:color="auto"/>
              <w:right w:val="single" w:sz="12" w:space="0" w:color="auto"/>
            </w:tcBorders>
          </w:tcPr>
          <w:p w14:paraId="01AAC196" w14:textId="77777777" w:rsidR="00B57E1B" w:rsidRPr="005D4F27" w:rsidRDefault="00B57E1B" w:rsidP="00FC7C49">
            <w:pPr>
              <w:ind w:left="57"/>
              <w:rPr>
                <w:rFonts w:eastAsia="Calibri"/>
                <w:lang w:val="en-US"/>
              </w:rPr>
            </w:pPr>
            <w:proofErr w:type="spellStart"/>
            <w:r w:rsidRPr="005D4F27">
              <w:rPr>
                <w:rFonts w:eastAsia="Calibri"/>
                <w:lang w:val="en-US"/>
              </w:rPr>
              <w:t>Summe</w:t>
            </w:r>
            <w:proofErr w:type="spellEnd"/>
            <w:r w:rsidRPr="005D4F27">
              <w:rPr>
                <w:rFonts w:eastAsia="Calibri"/>
                <w:lang w:val="en-US"/>
              </w:rPr>
              <w:t xml:space="preserve"> </w:t>
            </w:r>
            <w:proofErr w:type="spellStart"/>
            <w:r w:rsidRPr="005D4F27">
              <w:rPr>
                <w:rFonts w:eastAsia="Calibri"/>
                <w:lang w:val="en-US"/>
              </w:rPr>
              <w:t>Chlorphenole</w:t>
            </w:r>
            <w:proofErr w:type="spellEnd"/>
          </w:p>
        </w:tc>
        <w:tc>
          <w:tcPr>
            <w:tcW w:w="2758" w:type="dxa"/>
            <w:tcBorders>
              <w:left w:val="single" w:sz="12" w:space="0" w:color="auto"/>
            </w:tcBorders>
          </w:tcPr>
          <w:p w14:paraId="0ED14BDF" w14:textId="77777777" w:rsidR="00B57E1B" w:rsidRPr="005D4F27" w:rsidRDefault="00B57E1B" w:rsidP="00FC7C49">
            <w:pPr>
              <w:ind w:left="57"/>
              <w:rPr>
                <w:rFonts w:eastAsia="Calibri"/>
                <w:lang w:val="en-US"/>
              </w:rPr>
            </w:pPr>
            <w:r w:rsidRPr="005D4F27">
              <w:rPr>
                <w:rFonts w:eastAsia="Calibri"/>
                <w:lang w:val="en-US"/>
              </w:rPr>
              <w:t>GC-ECD, GC-MS</w:t>
            </w:r>
          </w:p>
        </w:tc>
        <w:tc>
          <w:tcPr>
            <w:tcW w:w="3252" w:type="dxa"/>
            <w:tcBorders>
              <w:right w:val="single" w:sz="12" w:space="0" w:color="auto"/>
            </w:tcBorders>
          </w:tcPr>
          <w:p w14:paraId="0E585C38" w14:textId="77777777" w:rsidR="00B57E1B" w:rsidRPr="005D4F27" w:rsidRDefault="00B57E1B" w:rsidP="00FC7C49">
            <w:pPr>
              <w:ind w:left="57"/>
              <w:rPr>
                <w:rFonts w:eastAsia="Calibri"/>
              </w:rPr>
            </w:pPr>
            <w:r w:rsidRPr="005D4F27">
              <w:rPr>
                <w:rFonts w:eastAsia="Calibri"/>
              </w:rPr>
              <w:t>DIN EN 12673:1999-05</w:t>
            </w:r>
          </w:p>
        </w:tc>
      </w:tr>
      <w:tr w:rsidR="00B57E1B" w:rsidRPr="005D4F27" w:rsidDel="007A4E19" w14:paraId="64268C7D" w14:textId="77777777" w:rsidTr="00FC7C49">
        <w:trPr>
          <w:tblHeader/>
        </w:trPr>
        <w:tc>
          <w:tcPr>
            <w:tcW w:w="3679" w:type="dxa"/>
            <w:tcBorders>
              <w:left w:val="single" w:sz="12" w:space="0" w:color="auto"/>
              <w:right w:val="single" w:sz="12" w:space="0" w:color="auto"/>
            </w:tcBorders>
          </w:tcPr>
          <w:p w14:paraId="3843AD2D" w14:textId="77777777" w:rsidR="00B57E1B" w:rsidRPr="005D4F27" w:rsidDel="007A4E19" w:rsidRDefault="00B57E1B" w:rsidP="00FC7C49">
            <w:pPr>
              <w:ind w:left="57"/>
              <w:rPr>
                <w:rFonts w:eastAsia="Calibri"/>
              </w:rPr>
            </w:pPr>
            <w:proofErr w:type="spellStart"/>
            <w:r w:rsidRPr="005D4F27">
              <w:rPr>
                <w:rFonts w:eastAsia="Calibri"/>
              </w:rPr>
              <w:t>Pentachlorphenol</w:t>
            </w:r>
            <w:proofErr w:type="spellEnd"/>
          </w:p>
        </w:tc>
        <w:tc>
          <w:tcPr>
            <w:tcW w:w="2758" w:type="dxa"/>
            <w:tcBorders>
              <w:left w:val="single" w:sz="12" w:space="0" w:color="auto"/>
            </w:tcBorders>
          </w:tcPr>
          <w:p w14:paraId="1757601B" w14:textId="77777777" w:rsidR="00B57E1B" w:rsidRPr="005D4F27" w:rsidDel="007A4E19" w:rsidRDefault="00B57E1B" w:rsidP="00FC7C49">
            <w:pPr>
              <w:ind w:left="57"/>
              <w:rPr>
                <w:rFonts w:eastAsia="Calibri"/>
              </w:rPr>
            </w:pPr>
            <w:r w:rsidRPr="005D4F27">
              <w:rPr>
                <w:rFonts w:eastAsia="Calibri"/>
                <w:lang w:val="en-US"/>
              </w:rPr>
              <w:t>GC-ECD, GC-MS</w:t>
            </w:r>
          </w:p>
        </w:tc>
        <w:tc>
          <w:tcPr>
            <w:tcW w:w="3252" w:type="dxa"/>
            <w:tcBorders>
              <w:right w:val="single" w:sz="12" w:space="0" w:color="auto"/>
            </w:tcBorders>
          </w:tcPr>
          <w:p w14:paraId="0E0EAD99" w14:textId="77777777" w:rsidR="00B57E1B" w:rsidRPr="005D4F27" w:rsidDel="007A4E19" w:rsidRDefault="00B57E1B" w:rsidP="00FC7C49">
            <w:pPr>
              <w:ind w:left="57"/>
              <w:rPr>
                <w:rFonts w:eastAsia="Calibri"/>
              </w:rPr>
            </w:pPr>
            <w:r w:rsidRPr="005D4F27">
              <w:rPr>
                <w:rFonts w:eastAsia="Calibri"/>
              </w:rPr>
              <w:t>DIN EN 12673:1999-05</w:t>
            </w:r>
          </w:p>
        </w:tc>
      </w:tr>
      <w:tr w:rsidR="00B57E1B" w:rsidRPr="005D4F27" w14:paraId="6EC8F2B7" w14:textId="77777777" w:rsidTr="00FC7C49">
        <w:trPr>
          <w:tblHeader/>
        </w:trPr>
        <w:tc>
          <w:tcPr>
            <w:tcW w:w="3679" w:type="dxa"/>
            <w:tcBorders>
              <w:left w:val="single" w:sz="12" w:space="0" w:color="auto"/>
              <w:right w:val="single" w:sz="12" w:space="0" w:color="auto"/>
            </w:tcBorders>
          </w:tcPr>
          <w:p w14:paraId="35E8834F" w14:textId="77777777" w:rsidR="00B57E1B" w:rsidRPr="005D4F27" w:rsidRDefault="00B57E1B" w:rsidP="00FC7C49">
            <w:pPr>
              <w:ind w:left="57"/>
              <w:rPr>
                <w:rFonts w:eastAsia="Calibri"/>
              </w:rPr>
            </w:pPr>
            <w:r w:rsidRPr="005D4F27">
              <w:rPr>
                <w:rFonts w:eastAsia="Calibri"/>
              </w:rPr>
              <w:t>Hexachlorbenzol (HCB)</w:t>
            </w:r>
          </w:p>
        </w:tc>
        <w:tc>
          <w:tcPr>
            <w:tcW w:w="2758" w:type="dxa"/>
            <w:tcBorders>
              <w:left w:val="single" w:sz="12" w:space="0" w:color="auto"/>
            </w:tcBorders>
          </w:tcPr>
          <w:p w14:paraId="340236C1" w14:textId="77777777" w:rsidR="00B57E1B" w:rsidRPr="005D4F27" w:rsidRDefault="00B57E1B" w:rsidP="00FC7C49">
            <w:pPr>
              <w:ind w:left="57"/>
              <w:rPr>
                <w:rFonts w:eastAsia="Calibri"/>
                <w:lang w:val="en-US"/>
              </w:rPr>
            </w:pPr>
            <w:r w:rsidRPr="005D4F27">
              <w:rPr>
                <w:rFonts w:eastAsia="Calibri"/>
                <w:lang w:val="en-US"/>
              </w:rPr>
              <w:t>GC-MS</w:t>
            </w:r>
          </w:p>
        </w:tc>
        <w:tc>
          <w:tcPr>
            <w:tcW w:w="3252" w:type="dxa"/>
            <w:tcBorders>
              <w:right w:val="single" w:sz="12" w:space="0" w:color="auto"/>
            </w:tcBorders>
          </w:tcPr>
          <w:p w14:paraId="53FB67C6" w14:textId="77777777" w:rsidR="00B57E1B" w:rsidRPr="005D4F27" w:rsidRDefault="00B57E1B" w:rsidP="00FC7C49">
            <w:pPr>
              <w:ind w:left="57"/>
              <w:rPr>
                <w:rFonts w:eastAsia="Calibri"/>
              </w:rPr>
            </w:pPr>
            <w:r w:rsidRPr="005D4F27">
              <w:rPr>
                <w:rFonts w:eastAsia="Calibri"/>
              </w:rPr>
              <w:t>DIN 38407-37:2013-11</w:t>
            </w:r>
          </w:p>
        </w:tc>
      </w:tr>
      <w:tr w:rsidR="00B57E1B" w:rsidRPr="005D4F27" w14:paraId="0AB60221" w14:textId="77777777" w:rsidTr="00FC7C49">
        <w:trPr>
          <w:trHeight w:hRule="exact" w:val="975"/>
          <w:tblHeader/>
        </w:trPr>
        <w:tc>
          <w:tcPr>
            <w:tcW w:w="3679" w:type="dxa"/>
            <w:tcBorders>
              <w:left w:val="single" w:sz="12" w:space="0" w:color="auto"/>
              <w:right w:val="single" w:sz="12" w:space="0" w:color="auto"/>
            </w:tcBorders>
          </w:tcPr>
          <w:p w14:paraId="2E1443E1" w14:textId="77777777" w:rsidR="00B57E1B" w:rsidRPr="005D4F27" w:rsidRDefault="00B57E1B" w:rsidP="00FC7C49">
            <w:pPr>
              <w:ind w:left="57"/>
              <w:rPr>
                <w:rFonts w:eastAsia="Calibri"/>
                <w:vertAlign w:val="superscript"/>
              </w:rPr>
            </w:pPr>
            <w:r w:rsidRPr="005D4F27">
              <w:rPr>
                <w:rFonts w:eastAsia="Calibri"/>
              </w:rPr>
              <w:t xml:space="preserve">Summe Kohlenwasserstoffe </w:t>
            </w:r>
            <w:r w:rsidRPr="005D4F27">
              <w:rPr>
                <w:rFonts w:eastAsia="Calibri"/>
                <w:vertAlign w:val="superscript"/>
              </w:rPr>
              <w:t>2)</w:t>
            </w:r>
          </w:p>
        </w:tc>
        <w:tc>
          <w:tcPr>
            <w:tcW w:w="2758" w:type="dxa"/>
            <w:tcBorders>
              <w:left w:val="single" w:sz="12" w:space="0" w:color="auto"/>
            </w:tcBorders>
          </w:tcPr>
          <w:p w14:paraId="5A7CC9B5" w14:textId="77777777" w:rsidR="00B57E1B" w:rsidRPr="005D4F27" w:rsidRDefault="00B57E1B" w:rsidP="00FC7C49">
            <w:pPr>
              <w:ind w:left="57"/>
              <w:rPr>
                <w:rFonts w:eastAsia="Calibri"/>
              </w:rPr>
            </w:pPr>
            <w:r w:rsidRPr="005D4F27">
              <w:rPr>
                <w:rFonts w:eastAsia="Calibri"/>
              </w:rPr>
              <w:t xml:space="preserve">Extraktion mit Petrolether, </w:t>
            </w:r>
            <w:proofErr w:type="spellStart"/>
            <w:r w:rsidRPr="005D4F27">
              <w:rPr>
                <w:rFonts w:eastAsia="Calibri"/>
              </w:rPr>
              <w:t>gas</w:t>
            </w:r>
            <w:proofErr w:type="spellEnd"/>
            <w:r>
              <w:rPr>
                <w:rFonts w:eastAsia="Calibri"/>
              </w:rPr>
              <w:t>-</w:t>
            </w:r>
            <w:r w:rsidRPr="005D4F27">
              <w:rPr>
                <w:rFonts w:eastAsia="Calibri"/>
              </w:rPr>
              <w:t>chromatographische Quantifizierung</w:t>
            </w:r>
          </w:p>
        </w:tc>
        <w:tc>
          <w:tcPr>
            <w:tcW w:w="3252" w:type="dxa"/>
            <w:tcBorders>
              <w:right w:val="single" w:sz="12" w:space="0" w:color="auto"/>
            </w:tcBorders>
          </w:tcPr>
          <w:p w14:paraId="0052FCB9" w14:textId="77777777" w:rsidR="00B57E1B" w:rsidRPr="005D4F27" w:rsidRDefault="00B57E1B" w:rsidP="00FC7C49">
            <w:pPr>
              <w:ind w:left="57"/>
              <w:rPr>
                <w:rFonts w:eastAsia="Calibri"/>
              </w:rPr>
            </w:pPr>
            <w:r w:rsidRPr="005D4F27">
              <w:rPr>
                <w:rFonts w:eastAsia="Calibri"/>
              </w:rPr>
              <w:t>DIN EN ISO 9377-2:2001-07</w:t>
            </w:r>
          </w:p>
        </w:tc>
      </w:tr>
      <w:tr w:rsidR="00B57E1B" w:rsidRPr="005D4F27" w14:paraId="38E18DA4" w14:textId="77777777" w:rsidTr="00FC7C49">
        <w:trPr>
          <w:tblHeader/>
        </w:trPr>
        <w:tc>
          <w:tcPr>
            <w:tcW w:w="3679" w:type="dxa"/>
            <w:tcBorders>
              <w:left w:val="single" w:sz="12" w:space="0" w:color="auto"/>
              <w:right w:val="single" w:sz="12" w:space="0" w:color="auto"/>
            </w:tcBorders>
          </w:tcPr>
          <w:p w14:paraId="037C52F5" w14:textId="77777777" w:rsidR="00B57E1B" w:rsidRPr="005D4F27" w:rsidRDefault="00B57E1B" w:rsidP="00FC7C49">
            <w:pPr>
              <w:ind w:left="57"/>
              <w:rPr>
                <w:rFonts w:eastAsia="Calibri"/>
              </w:rPr>
            </w:pPr>
            <w:r w:rsidRPr="005D4F27">
              <w:rPr>
                <w:rFonts w:eastAsia="Calibri"/>
              </w:rPr>
              <w:t xml:space="preserve">LHKW </w:t>
            </w:r>
            <w:r w:rsidRPr="005D4F27">
              <w:rPr>
                <w:rFonts w:eastAsia="Calibri"/>
                <w:vertAlign w:val="superscript"/>
              </w:rPr>
              <w:t>3)</w:t>
            </w:r>
          </w:p>
        </w:tc>
        <w:tc>
          <w:tcPr>
            <w:tcW w:w="2758" w:type="dxa"/>
            <w:tcBorders>
              <w:left w:val="single" w:sz="12" w:space="0" w:color="auto"/>
            </w:tcBorders>
          </w:tcPr>
          <w:p w14:paraId="53872DE0" w14:textId="77777777" w:rsidR="00B57E1B" w:rsidRPr="005D4F27" w:rsidRDefault="00B57E1B" w:rsidP="00FC7C49">
            <w:pPr>
              <w:ind w:left="57"/>
              <w:rPr>
                <w:rFonts w:eastAsia="Calibri"/>
                <w:lang w:val="en-US"/>
              </w:rPr>
            </w:pPr>
            <w:r w:rsidRPr="005D4F27">
              <w:rPr>
                <w:rFonts w:eastAsia="Calibri"/>
                <w:lang w:val="en-US"/>
              </w:rPr>
              <w:t>GC-MS</w:t>
            </w:r>
          </w:p>
          <w:p w14:paraId="03F7D3C2" w14:textId="77777777" w:rsidR="00B57E1B" w:rsidRPr="005D4F27" w:rsidRDefault="00B57E1B" w:rsidP="00FC7C49">
            <w:pPr>
              <w:ind w:left="57"/>
              <w:rPr>
                <w:rFonts w:eastAsia="Calibri"/>
                <w:lang w:val="en-US"/>
              </w:rPr>
            </w:pPr>
            <w:r w:rsidRPr="005D4F27">
              <w:rPr>
                <w:rFonts w:eastAsia="Calibri"/>
                <w:lang w:val="en-US"/>
              </w:rPr>
              <w:t>GC</w:t>
            </w:r>
          </w:p>
          <w:p w14:paraId="55835CD7" w14:textId="77777777" w:rsidR="00B57E1B" w:rsidRPr="005D4F27" w:rsidRDefault="00B57E1B" w:rsidP="00FC7C49">
            <w:pPr>
              <w:ind w:left="57"/>
              <w:rPr>
                <w:rFonts w:eastAsia="Calibri"/>
                <w:lang w:val="en-US"/>
              </w:rPr>
            </w:pPr>
            <w:r w:rsidRPr="005D4F27">
              <w:rPr>
                <w:rFonts w:eastAsia="Calibri"/>
                <w:lang w:val="en-US"/>
              </w:rPr>
              <w:t>HS-SPME GC-MS</w:t>
            </w:r>
          </w:p>
        </w:tc>
        <w:tc>
          <w:tcPr>
            <w:tcW w:w="3252" w:type="dxa"/>
            <w:tcBorders>
              <w:right w:val="single" w:sz="12" w:space="0" w:color="auto"/>
            </w:tcBorders>
          </w:tcPr>
          <w:p w14:paraId="2B8D9A1E" w14:textId="77777777" w:rsidR="00B57E1B" w:rsidRPr="005D4F27" w:rsidRDefault="00B57E1B" w:rsidP="00FC7C49">
            <w:pPr>
              <w:ind w:left="57"/>
              <w:rPr>
                <w:rFonts w:eastAsia="Calibri"/>
              </w:rPr>
            </w:pPr>
            <w:r w:rsidRPr="005D4F27">
              <w:rPr>
                <w:rFonts w:eastAsia="Calibri"/>
              </w:rPr>
              <w:t>DIN 38407-43:2014-10</w:t>
            </w:r>
          </w:p>
          <w:p w14:paraId="725E4DF5" w14:textId="77777777" w:rsidR="00B57E1B" w:rsidRPr="005D4F27" w:rsidRDefault="00B57E1B" w:rsidP="00FC7C49">
            <w:pPr>
              <w:ind w:left="57"/>
              <w:rPr>
                <w:rFonts w:eastAsia="Calibri"/>
              </w:rPr>
            </w:pPr>
            <w:r w:rsidRPr="005D4F27">
              <w:rPr>
                <w:rFonts w:eastAsia="Calibri"/>
              </w:rPr>
              <w:t>DIN EN ISO 10301:1997-08</w:t>
            </w:r>
          </w:p>
          <w:p w14:paraId="26E1A0C6" w14:textId="77777777" w:rsidR="00B57E1B" w:rsidRPr="005D4F27" w:rsidRDefault="00B57E1B" w:rsidP="00FC7C49">
            <w:pPr>
              <w:ind w:left="57"/>
              <w:rPr>
                <w:rFonts w:eastAsia="Calibri"/>
              </w:rPr>
            </w:pPr>
            <w:r w:rsidRPr="005D4F27">
              <w:rPr>
                <w:rFonts w:eastAsia="Calibri"/>
              </w:rPr>
              <w:t>DIN EN ISO 17943:2016-10</w:t>
            </w:r>
          </w:p>
        </w:tc>
      </w:tr>
      <w:tr w:rsidR="00B57E1B" w:rsidRPr="005D4F27" w14:paraId="1AA97A38" w14:textId="77777777" w:rsidTr="00FC7C49">
        <w:trPr>
          <w:tblHeader/>
        </w:trPr>
        <w:tc>
          <w:tcPr>
            <w:tcW w:w="3679" w:type="dxa"/>
            <w:tcBorders>
              <w:left w:val="single" w:sz="12" w:space="0" w:color="auto"/>
              <w:right w:val="single" w:sz="12" w:space="0" w:color="auto"/>
            </w:tcBorders>
          </w:tcPr>
          <w:p w14:paraId="4003B1E2" w14:textId="77777777" w:rsidR="00B57E1B" w:rsidRPr="005D4F27" w:rsidRDefault="00B57E1B" w:rsidP="00FC7C49">
            <w:pPr>
              <w:ind w:left="57"/>
              <w:rPr>
                <w:rFonts w:eastAsia="Calibri"/>
                <w:lang w:val="en-GB"/>
              </w:rPr>
            </w:pPr>
            <w:r w:rsidRPr="005D4F27">
              <w:rPr>
                <w:rFonts w:eastAsia="TTE40C14E8t00"/>
                <w:lang w:val="en-GB"/>
              </w:rPr>
              <w:t>Methyl-</w:t>
            </w:r>
            <w:proofErr w:type="spellStart"/>
            <w:r w:rsidRPr="005D4F27">
              <w:rPr>
                <w:rFonts w:eastAsia="TTE40C14E8t00"/>
                <w:lang w:val="en-GB"/>
              </w:rPr>
              <w:t>tertiär</w:t>
            </w:r>
            <w:proofErr w:type="spellEnd"/>
            <w:r w:rsidRPr="005D4F27">
              <w:rPr>
                <w:rFonts w:eastAsia="TTE40C14E8t00"/>
                <w:lang w:val="en-GB"/>
              </w:rPr>
              <w:t>-</w:t>
            </w:r>
            <w:proofErr w:type="spellStart"/>
            <w:r w:rsidRPr="005D4F27">
              <w:rPr>
                <w:rFonts w:eastAsia="TTE40C14E8t00"/>
                <w:lang w:val="en-GB"/>
              </w:rPr>
              <w:t>butylether</w:t>
            </w:r>
            <w:proofErr w:type="spellEnd"/>
            <w:r w:rsidRPr="005D4F27">
              <w:rPr>
                <w:rFonts w:eastAsia="Calibri"/>
                <w:lang w:val="en-GB"/>
              </w:rPr>
              <w:t xml:space="preserve"> (MTBE)</w:t>
            </w:r>
          </w:p>
        </w:tc>
        <w:tc>
          <w:tcPr>
            <w:tcW w:w="2758" w:type="dxa"/>
            <w:tcBorders>
              <w:left w:val="single" w:sz="12" w:space="0" w:color="auto"/>
            </w:tcBorders>
          </w:tcPr>
          <w:p w14:paraId="68CBF4C1" w14:textId="77777777" w:rsidR="00B57E1B" w:rsidRPr="005D4F27" w:rsidRDefault="00B57E1B" w:rsidP="00FC7C49">
            <w:pPr>
              <w:ind w:left="57"/>
              <w:rPr>
                <w:rFonts w:eastAsia="Calibri"/>
                <w:lang w:val="en-GB"/>
              </w:rPr>
            </w:pPr>
            <w:r w:rsidRPr="005D4F27">
              <w:rPr>
                <w:rFonts w:eastAsia="Calibri"/>
                <w:lang w:val="en-GB"/>
              </w:rPr>
              <w:t>GC-MS,</w:t>
            </w:r>
          </w:p>
          <w:p w14:paraId="73797F27" w14:textId="77777777" w:rsidR="00B57E1B" w:rsidRPr="005D4F27" w:rsidRDefault="00B57E1B" w:rsidP="00FC7C49">
            <w:pPr>
              <w:ind w:left="57"/>
              <w:rPr>
                <w:rFonts w:eastAsia="Calibri"/>
                <w:lang w:val="en-GB"/>
              </w:rPr>
            </w:pPr>
            <w:r w:rsidRPr="005D4F27">
              <w:rPr>
                <w:rFonts w:eastAsia="Calibri"/>
                <w:lang w:val="en-US"/>
              </w:rPr>
              <w:t>HS-SPME GC-MS</w:t>
            </w:r>
          </w:p>
        </w:tc>
        <w:tc>
          <w:tcPr>
            <w:tcW w:w="3252" w:type="dxa"/>
            <w:tcBorders>
              <w:right w:val="single" w:sz="12" w:space="0" w:color="auto"/>
            </w:tcBorders>
          </w:tcPr>
          <w:p w14:paraId="171002B7" w14:textId="77777777" w:rsidR="00B57E1B" w:rsidRPr="005D4F27" w:rsidRDefault="00B57E1B" w:rsidP="00FC7C49">
            <w:pPr>
              <w:ind w:left="57"/>
              <w:rPr>
                <w:rFonts w:eastAsia="Calibri"/>
              </w:rPr>
            </w:pPr>
            <w:r w:rsidRPr="005D4F27">
              <w:rPr>
                <w:rFonts w:eastAsia="Calibri"/>
              </w:rPr>
              <w:t>DIN</w:t>
            </w:r>
          </w:p>
          <w:p w14:paraId="5C44F095" w14:textId="77777777" w:rsidR="00B57E1B" w:rsidRPr="005D4F27" w:rsidRDefault="00B57E1B" w:rsidP="00FC7C49">
            <w:pPr>
              <w:ind w:left="57"/>
              <w:rPr>
                <w:rFonts w:eastAsia="Calibri"/>
              </w:rPr>
            </w:pPr>
            <w:r w:rsidRPr="005D4F27">
              <w:rPr>
                <w:rFonts w:eastAsia="Calibri"/>
              </w:rPr>
              <w:t xml:space="preserve"> 38407-43:2014-10</w:t>
            </w:r>
          </w:p>
          <w:p w14:paraId="5BCE769E" w14:textId="77777777" w:rsidR="00B57E1B" w:rsidRPr="005D4F27" w:rsidRDefault="00B57E1B" w:rsidP="00FC7C49">
            <w:pPr>
              <w:ind w:left="57"/>
              <w:rPr>
                <w:rFonts w:eastAsia="Calibri"/>
              </w:rPr>
            </w:pPr>
            <w:r w:rsidRPr="005D4F27">
              <w:rPr>
                <w:rFonts w:eastAsia="Calibri"/>
              </w:rPr>
              <w:t>DIN EN ISO 17943:2016-10</w:t>
            </w:r>
          </w:p>
        </w:tc>
      </w:tr>
    </w:tbl>
    <w:p w14:paraId="72C2829E" w14:textId="77777777" w:rsidR="00B57E1B" w:rsidRPr="006D0C31" w:rsidRDefault="00B57E1B" w:rsidP="00B57E1B">
      <w:pPr>
        <w:rPr>
          <w:vanish/>
        </w:rPr>
      </w:pPr>
    </w:p>
    <w:tbl>
      <w:tblPr>
        <w:tblpPr w:leftFromText="141" w:rightFromText="141" w:vertAnchor="text" w:tblpY="1"/>
        <w:tblOverlap w:val="never"/>
        <w:tblW w:w="96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5" w:type="dxa"/>
          <w:right w:w="35" w:type="dxa"/>
        </w:tblCellMar>
        <w:tblLook w:val="0000" w:firstRow="0" w:lastRow="0" w:firstColumn="0" w:lastColumn="0" w:noHBand="0" w:noVBand="0"/>
      </w:tblPr>
      <w:tblGrid>
        <w:gridCol w:w="3679"/>
        <w:gridCol w:w="2758"/>
        <w:gridCol w:w="3252"/>
      </w:tblGrid>
      <w:tr w:rsidR="00B57E1B" w:rsidRPr="005D4F27" w14:paraId="5D1D122B" w14:textId="77777777" w:rsidTr="00FC7C49">
        <w:trPr>
          <w:trHeight w:val="467"/>
          <w:tblHeader/>
        </w:trPr>
        <w:tc>
          <w:tcPr>
            <w:tcW w:w="3679" w:type="dxa"/>
            <w:tcBorders>
              <w:top w:val="single" w:sz="12" w:space="0" w:color="auto"/>
              <w:left w:val="single" w:sz="12" w:space="0" w:color="auto"/>
              <w:bottom w:val="single" w:sz="12" w:space="0" w:color="auto"/>
              <w:right w:val="single" w:sz="12" w:space="0" w:color="auto"/>
            </w:tcBorders>
            <w:shd w:val="clear" w:color="auto" w:fill="E6E6E6"/>
            <w:vAlign w:val="center"/>
          </w:tcPr>
          <w:p w14:paraId="2B19E428" w14:textId="77777777" w:rsidR="00B57E1B" w:rsidRPr="005D4F27" w:rsidRDefault="00B57E1B" w:rsidP="00FC7C49">
            <w:pPr>
              <w:pageBreakBefore/>
              <w:ind w:left="57"/>
              <w:rPr>
                <w:rFonts w:eastAsia="Calibri"/>
                <w:b/>
              </w:rPr>
            </w:pPr>
            <w:r w:rsidRPr="005D4F27">
              <w:rPr>
                <w:rFonts w:eastAsia="Calibri"/>
                <w:b/>
              </w:rPr>
              <w:lastRenderedPageBreak/>
              <w:t>Stoff</w:t>
            </w:r>
          </w:p>
        </w:tc>
        <w:tc>
          <w:tcPr>
            <w:tcW w:w="2758" w:type="dxa"/>
            <w:tcBorders>
              <w:top w:val="single" w:sz="12" w:space="0" w:color="auto"/>
              <w:left w:val="single" w:sz="12" w:space="0" w:color="auto"/>
              <w:bottom w:val="single" w:sz="12" w:space="0" w:color="auto"/>
              <w:right w:val="single" w:sz="4" w:space="0" w:color="auto"/>
            </w:tcBorders>
            <w:shd w:val="clear" w:color="auto" w:fill="E6E6E6"/>
            <w:vAlign w:val="center"/>
          </w:tcPr>
          <w:p w14:paraId="1B5296A5" w14:textId="77777777" w:rsidR="00B57E1B" w:rsidRPr="005D4F27" w:rsidRDefault="00B57E1B" w:rsidP="00FC7C49">
            <w:pPr>
              <w:ind w:left="57"/>
              <w:rPr>
                <w:rFonts w:eastAsia="Calibri"/>
                <w:b/>
              </w:rPr>
            </w:pPr>
            <w:r w:rsidRPr="005D4F27">
              <w:rPr>
                <w:rFonts w:eastAsia="Calibri"/>
                <w:b/>
              </w:rPr>
              <w:t>Methode</w:t>
            </w:r>
          </w:p>
        </w:tc>
        <w:tc>
          <w:tcPr>
            <w:tcW w:w="3252" w:type="dxa"/>
            <w:tcBorders>
              <w:top w:val="single" w:sz="12" w:space="0" w:color="auto"/>
              <w:left w:val="single" w:sz="4" w:space="0" w:color="auto"/>
              <w:bottom w:val="single" w:sz="12" w:space="0" w:color="auto"/>
              <w:right w:val="single" w:sz="12" w:space="0" w:color="auto"/>
            </w:tcBorders>
            <w:shd w:val="clear" w:color="auto" w:fill="E6E6E6"/>
            <w:vAlign w:val="center"/>
          </w:tcPr>
          <w:p w14:paraId="4A69EFB0" w14:textId="77777777" w:rsidR="00B57E1B" w:rsidRPr="005D4F27" w:rsidRDefault="00B57E1B" w:rsidP="00FC7C49">
            <w:pPr>
              <w:ind w:left="57"/>
              <w:rPr>
                <w:rFonts w:eastAsia="Calibri"/>
                <w:b/>
              </w:rPr>
            </w:pPr>
            <w:r w:rsidRPr="005D4F27">
              <w:rPr>
                <w:rFonts w:eastAsia="Calibri"/>
                <w:b/>
              </w:rPr>
              <w:t>Norm</w:t>
            </w:r>
          </w:p>
        </w:tc>
      </w:tr>
      <w:tr w:rsidR="00B57E1B" w:rsidRPr="005D4F27" w14:paraId="59C8A5F6" w14:textId="77777777" w:rsidTr="00FC7C49">
        <w:trPr>
          <w:tblHeader/>
        </w:trPr>
        <w:tc>
          <w:tcPr>
            <w:tcW w:w="3679" w:type="dxa"/>
            <w:tcBorders>
              <w:left w:val="single" w:sz="12" w:space="0" w:color="auto"/>
              <w:right w:val="single" w:sz="12" w:space="0" w:color="auto"/>
            </w:tcBorders>
          </w:tcPr>
          <w:p w14:paraId="3F4EF6A7" w14:textId="77777777" w:rsidR="00B57E1B" w:rsidRPr="005D4F27" w:rsidRDefault="00B57E1B" w:rsidP="00FC7C49">
            <w:pPr>
              <w:ind w:left="57"/>
              <w:rPr>
                <w:rFonts w:eastAsia="Calibri"/>
              </w:rPr>
            </w:pPr>
            <w:r w:rsidRPr="005D4F27">
              <w:rPr>
                <w:rFonts w:eastAsia="Calibri"/>
              </w:rPr>
              <w:t xml:space="preserve">Naphthalin und </w:t>
            </w:r>
            <w:proofErr w:type="spellStart"/>
            <w:r w:rsidRPr="005D4F27">
              <w:rPr>
                <w:rFonts w:eastAsia="Calibri"/>
              </w:rPr>
              <w:t>Methylnaphthaline</w:t>
            </w:r>
            <w:proofErr w:type="spellEnd"/>
          </w:p>
        </w:tc>
        <w:tc>
          <w:tcPr>
            <w:tcW w:w="2758" w:type="dxa"/>
            <w:tcBorders>
              <w:left w:val="single" w:sz="12" w:space="0" w:color="auto"/>
            </w:tcBorders>
          </w:tcPr>
          <w:p w14:paraId="5359483F" w14:textId="77777777" w:rsidR="00B57E1B" w:rsidRPr="005D4F27" w:rsidRDefault="00B57E1B" w:rsidP="00FC7C49">
            <w:pPr>
              <w:ind w:left="57"/>
              <w:rPr>
                <w:rFonts w:eastAsia="Calibri"/>
              </w:rPr>
            </w:pPr>
            <w:r w:rsidRPr="005D4F27">
              <w:rPr>
                <w:rFonts w:eastAsia="Calibri"/>
              </w:rPr>
              <w:t>GC-MS</w:t>
            </w:r>
          </w:p>
          <w:p w14:paraId="23358217" w14:textId="77777777" w:rsidR="00B57E1B" w:rsidRPr="005D4F27" w:rsidRDefault="00B57E1B" w:rsidP="00FC7C49">
            <w:pPr>
              <w:ind w:left="57"/>
              <w:rPr>
                <w:rFonts w:eastAsia="Calibri"/>
              </w:rPr>
            </w:pPr>
            <w:r w:rsidRPr="005D4F27">
              <w:rPr>
                <w:rFonts w:eastAsia="Calibri"/>
              </w:rPr>
              <w:t>Purge und Trap-Anreicherung und thermischer Desorption</w:t>
            </w:r>
          </w:p>
          <w:p w14:paraId="56CC60BB" w14:textId="77777777" w:rsidR="00B57E1B" w:rsidRPr="005D4F27" w:rsidRDefault="00B57E1B" w:rsidP="00FC7C49">
            <w:pPr>
              <w:ind w:left="57"/>
              <w:rPr>
                <w:rFonts w:eastAsia="Calibri"/>
                <w:lang w:val="en-US"/>
              </w:rPr>
            </w:pPr>
            <w:r w:rsidRPr="005D4F27">
              <w:rPr>
                <w:rFonts w:eastAsia="Calibri"/>
                <w:lang w:val="en-US"/>
              </w:rPr>
              <w:t>GC-MS</w:t>
            </w:r>
          </w:p>
          <w:p w14:paraId="79A7BE7F" w14:textId="77777777" w:rsidR="00B57E1B" w:rsidRPr="005D4F27" w:rsidRDefault="00B57E1B" w:rsidP="00FC7C49">
            <w:pPr>
              <w:ind w:left="57"/>
              <w:rPr>
                <w:rFonts w:eastAsia="Calibri"/>
                <w:lang w:val="en-US"/>
              </w:rPr>
            </w:pPr>
            <w:r w:rsidRPr="005D4F27">
              <w:rPr>
                <w:rFonts w:eastAsia="Calibri"/>
                <w:lang w:val="en-US"/>
              </w:rPr>
              <w:t>HS-SPME GC-MS</w:t>
            </w:r>
          </w:p>
        </w:tc>
        <w:tc>
          <w:tcPr>
            <w:tcW w:w="3252" w:type="dxa"/>
            <w:tcBorders>
              <w:right w:val="single" w:sz="12" w:space="0" w:color="auto"/>
            </w:tcBorders>
          </w:tcPr>
          <w:p w14:paraId="334402CD" w14:textId="77777777" w:rsidR="00B57E1B" w:rsidRPr="005D4F27" w:rsidRDefault="00B57E1B" w:rsidP="00FC7C49">
            <w:pPr>
              <w:ind w:left="57"/>
              <w:rPr>
                <w:rFonts w:eastAsia="Calibri"/>
              </w:rPr>
            </w:pPr>
            <w:r w:rsidRPr="005D4F27">
              <w:rPr>
                <w:rFonts w:eastAsia="Calibri"/>
              </w:rPr>
              <w:t>DIN 38407-39:2011-09</w:t>
            </w:r>
          </w:p>
          <w:p w14:paraId="532C4544" w14:textId="77777777" w:rsidR="00B57E1B" w:rsidRPr="005D4F27" w:rsidRDefault="00B57E1B" w:rsidP="00FC7C49">
            <w:pPr>
              <w:ind w:left="57"/>
              <w:rPr>
                <w:rFonts w:eastAsia="Calibri"/>
              </w:rPr>
            </w:pPr>
            <w:r w:rsidRPr="005D4F27">
              <w:rPr>
                <w:rFonts w:eastAsia="Calibri"/>
              </w:rPr>
              <w:t>DIN EN ISO 15680:2004-04</w:t>
            </w:r>
            <w:r w:rsidRPr="005D4F27">
              <w:rPr>
                <w:rFonts w:eastAsia="Calibri"/>
              </w:rPr>
              <w:br/>
            </w:r>
            <w:r w:rsidRPr="005D4F27">
              <w:rPr>
                <w:rFonts w:eastAsia="Calibri"/>
              </w:rPr>
              <w:br/>
            </w:r>
            <w:r w:rsidRPr="005D4F27">
              <w:rPr>
                <w:rFonts w:eastAsia="Calibri"/>
              </w:rPr>
              <w:br/>
              <w:t>DIN 38407-43:2014-10</w:t>
            </w:r>
          </w:p>
          <w:p w14:paraId="646A36E4" w14:textId="77777777" w:rsidR="00B57E1B" w:rsidRPr="005D4F27" w:rsidRDefault="00B57E1B" w:rsidP="00FC7C49">
            <w:pPr>
              <w:ind w:left="57"/>
              <w:rPr>
                <w:rFonts w:eastAsia="Calibri"/>
              </w:rPr>
            </w:pPr>
            <w:r w:rsidRPr="005D4F27">
              <w:rPr>
                <w:rFonts w:eastAsia="Calibri"/>
              </w:rPr>
              <w:t>DIN EN ISO 17943:2016-10</w:t>
            </w:r>
          </w:p>
        </w:tc>
      </w:tr>
      <w:tr w:rsidR="00B57E1B" w:rsidRPr="005D4F27" w14:paraId="7D18F90A" w14:textId="77777777" w:rsidTr="00FC7C49">
        <w:trPr>
          <w:tblHeader/>
        </w:trPr>
        <w:tc>
          <w:tcPr>
            <w:tcW w:w="3679" w:type="dxa"/>
            <w:tcBorders>
              <w:left w:val="single" w:sz="12" w:space="0" w:color="auto"/>
              <w:right w:val="single" w:sz="12" w:space="0" w:color="auto"/>
            </w:tcBorders>
          </w:tcPr>
          <w:p w14:paraId="0193C61B" w14:textId="77777777" w:rsidR="00B57E1B" w:rsidRPr="005D4F27" w:rsidRDefault="00B57E1B" w:rsidP="00FC7C49">
            <w:pPr>
              <w:ind w:left="57"/>
              <w:rPr>
                <w:rFonts w:eastAsia="TTE40C14E8t00"/>
              </w:rPr>
            </w:pPr>
            <w:r w:rsidRPr="005D4F27">
              <w:rPr>
                <w:rFonts w:eastAsia="Calibri"/>
              </w:rPr>
              <w:t xml:space="preserve">Summe </w:t>
            </w:r>
            <w:proofErr w:type="spellStart"/>
            <w:r w:rsidRPr="005D4F27">
              <w:rPr>
                <w:rFonts w:eastAsia="Calibri"/>
              </w:rPr>
              <w:t>Nonylphenol</w:t>
            </w:r>
            <w:proofErr w:type="spellEnd"/>
            <w:r w:rsidRPr="005D4F27">
              <w:rPr>
                <w:rFonts w:eastAsia="Calibri"/>
              </w:rPr>
              <w:t xml:space="preserve"> </w:t>
            </w:r>
            <w:r w:rsidRPr="005D4F27">
              <w:rPr>
                <w:rFonts w:eastAsia="TTE40C14E8t00"/>
              </w:rPr>
              <w:t>(= 4</w:t>
            </w:r>
            <w:r w:rsidRPr="005D4F27">
              <w:rPr>
                <w:rFonts w:eastAsia="TTE40C14E8t00"/>
              </w:rPr>
              <w:noBreakHyphen/>
              <w:t xml:space="preserve">Nonylphenol, verzweigt, und </w:t>
            </w:r>
            <w:proofErr w:type="spellStart"/>
            <w:r w:rsidRPr="005D4F27">
              <w:rPr>
                <w:rFonts w:eastAsia="TTE40C14E8t00"/>
              </w:rPr>
              <w:t>Nonylphenol</w:t>
            </w:r>
            <w:proofErr w:type="spellEnd"/>
            <w:r w:rsidRPr="005D4F27">
              <w:rPr>
                <w:rFonts w:eastAsia="TTE40C14E8t00"/>
              </w:rPr>
              <w:t>-Isomere)</w:t>
            </w:r>
          </w:p>
        </w:tc>
        <w:tc>
          <w:tcPr>
            <w:tcW w:w="2758" w:type="dxa"/>
            <w:tcBorders>
              <w:left w:val="single" w:sz="12" w:space="0" w:color="auto"/>
            </w:tcBorders>
          </w:tcPr>
          <w:p w14:paraId="1D23B754" w14:textId="77777777" w:rsidR="00B57E1B" w:rsidRPr="005D4F27" w:rsidRDefault="00B57E1B" w:rsidP="00FC7C49">
            <w:pPr>
              <w:ind w:left="57"/>
              <w:rPr>
                <w:rFonts w:eastAsia="Calibri"/>
              </w:rPr>
            </w:pPr>
            <w:r w:rsidRPr="005D4F27">
              <w:rPr>
                <w:rFonts w:eastAsia="Calibri"/>
              </w:rPr>
              <w:t>GC-MS</w:t>
            </w:r>
          </w:p>
        </w:tc>
        <w:tc>
          <w:tcPr>
            <w:tcW w:w="3252" w:type="dxa"/>
            <w:tcBorders>
              <w:right w:val="single" w:sz="12" w:space="0" w:color="auto"/>
            </w:tcBorders>
          </w:tcPr>
          <w:p w14:paraId="7E3CC9DC" w14:textId="77777777" w:rsidR="00B57E1B" w:rsidRPr="005D4F27" w:rsidRDefault="00B57E1B" w:rsidP="00FC7C49">
            <w:pPr>
              <w:ind w:left="57"/>
              <w:rPr>
                <w:rFonts w:eastAsia="Calibri"/>
              </w:rPr>
            </w:pPr>
            <w:r w:rsidRPr="005D4F27">
              <w:rPr>
                <w:rFonts w:eastAsia="Calibri"/>
              </w:rPr>
              <w:t>DIN EN ISO 18857-1:2007-02</w:t>
            </w:r>
          </w:p>
        </w:tc>
      </w:tr>
      <w:tr w:rsidR="00B57E1B" w:rsidRPr="005D4F27" w14:paraId="4D8DDE69" w14:textId="77777777" w:rsidTr="00FC7C49">
        <w:trPr>
          <w:tblHeader/>
        </w:trPr>
        <w:tc>
          <w:tcPr>
            <w:tcW w:w="3679" w:type="dxa"/>
            <w:tcBorders>
              <w:left w:val="single" w:sz="12" w:space="0" w:color="auto"/>
              <w:right w:val="single" w:sz="12" w:space="0" w:color="auto"/>
            </w:tcBorders>
          </w:tcPr>
          <w:p w14:paraId="4216DD75" w14:textId="77777777" w:rsidR="00B57E1B" w:rsidRPr="005D4F27" w:rsidRDefault="00B57E1B" w:rsidP="00FC7C49">
            <w:pPr>
              <w:ind w:left="57"/>
              <w:rPr>
                <w:rFonts w:eastAsia="Calibri"/>
                <w:vertAlign w:val="superscript"/>
              </w:rPr>
            </w:pPr>
            <w:r w:rsidRPr="005D4F27">
              <w:rPr>
                <w:rFonts w:eastAsia="Calibri"/>
              </w:rPr>
              <w:t>Phenole</w:t>
            </w:r>
          </w:p>
        </w:tc>
        <w:tc>
          <w:tcPr>
            <w:tcW w:w="2758" w:type="dxa"/>
            <w:tcBorders>
              <w:left w:val="single" w:sz="12" w:space="0" w:color="auto"/>
            </w:tcBorders>
          </w:tcPr>
          <w:p w14:paraId="023AAFD8" w14:textId="77777777" w:rsidR="00B57E1B" w:rsidRPr="005D4F27" w:rsidRDefault="00B57E1B" w:rsidP="00FC7C49">
            <w:pPr>
              <w:ind w:left="57"/>
              <w:rPr>
                <w:rFonts w:eastAsia="Calibri"/>
              </w:rPr>
            </w:pPr>
            <w:r w:rsidRPr="005D4F27">
              <w:rPr>
                <w:rFonts w:eastAsia="Calibri"/>
              </w:rPr>
              <w:t>GC-MS</w:t>
            </w:r>
          </w:p>
        </w:tc>
        <w:tc>
          <w:tcPr>
            <w:tcW w:w="3252" w:type="dxa"/>
            <w:tcBorders>
              <w:right w:val="single" w:sz="12" w:space="0" w:color="auto"/>
            </w:tcBorders>
          </w:tcPr>
          <w:p w14:paraId="207898E2" w14:textId="77777777" w:rsidR="00B57E1B" w:rsidRPr="005D4F27" w:rsidRDefault="00B57E1B" w:rsidP="00FC7C49">
            <w:pPr>
              <w:ind w:left="57"/>
              <w:rPr>
                <w:rFonts w:eastAsia="Calibri"/>
                <w:lang w:val="en-US"/>
              </w:rPr>
            </w:pPr>
            <w:r w:rsidRPr="005D4F27">
              <w:rPr>
                <w:rFonts w:eastAsia="Calibri"/>
              </w:rPr>
              <w:t>DIN 38</w:t>
            </w:r>
            <w:r w:rsidRPr="005D4F27">
              <w:rPr>
                <w:rFonts w:eastAsia="Calibri"/>
                <w:lang w:val="en-US"/>
              </w:rPr>
              <w:t>407-27:2012-10</w:t>
            </w:r>
          </w:p>
        </w:tc>
      </w:tr>
      <w:tr w:rsidR="00B57E1B" w:rsidRPr="005D4F27" w14:paraId="00DE7B6F" w14:textId="77777777" w:rsidTr="00FC7C49">
        <w:trPr>
          <w:tblHeader/>
        </w:trPr>
        <w:tc>
          <w:tcPr>
            <w:tcW w:w="3679" w:type="dxa"/>
            <w:tcBorders>
              <w:left w:val="single" w:sz="12" w:space="0" w:color="auto"/>
              <w:right w:val="single" w:sz="12" w:space="0" w:color="auto"/>
            </w:tcBorders>
          </w:tcPr>
          <w:p w14:paraId="569A377D" w14:textId="77777777" w:rsidR="00B57E1B" w:rsidRPr="005D4F27" w:rsidRDefault="00B57E1B" w:rsidP="00FC7C49">
            <w:pPr>
              <w:ind w:left="57"/>
              <w:rPr>
                <w:rFonts w:eastAsia="Calibri"/>
                <w:strike/>
              </w:rPr>
            </w:pPr>
            <w:r w:rsidRPr="005D4F27">
              <w:rPr>
                <w:rFonts w:eastAsia="Calibri"/>
              </w:rPr>
              <w:t>Summe aus PCB</w:t>
            </w:r>
            <w:r w:rsidRPr="005D4F27">
              <w:rPr>
                <w:rFonts w:eastAsia="Calibri"/>
                <w:vertAlign w:val="subscript"/>
              </w:rPr>
              <w:t>6</w:t>
            </w:r>
            <w:r w:rsidRPr="005D4F27">
              <w:rPr>
                <w:rFonts w:eastAsia="Calibri"/>
              </w:rPr>
              <w:t xml:space="preserve"> und PCB-118</w:t>
            </w:r>
          </w:p>
        </w:tc>
        <w:tc>
          <w:tcPr>
            <w:tcW w:w="2758" w:type="dxa"/>
            <w:tcBorders>
              <w:left w:val="single" w:sz="12" w:space="0" w:color="auto"/>
            </w:tcBorders>
          </w:tcPr>
          <w:p w14:paraId="754F8BFA" w14:textId="77777777" w:rsidR="00B57E1B" w:rsidRPr="005D4F27" w:rsidRDefault="00B57E1B" w:rsidP="00FC7C49">
            <w:pPr>
              <w:ind w:left="57"/>
              <w:rPr>
                <w:rFonts w:eastAsia="Calibri"/>
              </w:rPr>
            </w:pPr>
            <w:r w:rsidRPr="005D4F27">
              <w:rPr>
                <w:rFonts w:eastAsia="Calibri"/>
              </w:rPr>
              <w:t>GC-MS</w:t>
            </w:r>
          </w:p>
        </w:tc>
        <w:tc>
          <w:tcPr>
            <w:tcW w:w="3252" w:type="dxa"/>
            <w:tcBorders>
              <w:right w:val="single" w:sz="12" w:space="0" w:color="auto"/>
            </w:tcBorders>
          </w:tcPr>
          <w:p w14:paraId="07B9E04C" w14:textId="77777777" w:rsidR="00B57E1B" w:rsidRPr="005D4F27" w:rsidRDefault="00B57E1B" w:rsidP="00FC7C49">
            <w:pPr>
              <w:ind w:left="57"/>
              <w:rPr>
                <w:rFonts w:eastAsia="Calibri"/>
              </w:rPr>
            </w:pPr>
            <w:r w:rsidRPr="005D4F27">
              <w:rPr>
                <w:rFonts w:eastAsia="Calibri"/>
                <w:lang w:val="en-US"/>
              </w:rPr>
              <w:t>DIN 38407-37:2013-11</w:t>
            </w:r>
          </w:p>
        </w:tc>
      </w:tr>
      <w:tr w:rsidR="00B57E1B" w:rsidRPr="005D4F27" w14:paraId="4AA4A1C8" w14:textId="77777777" w:rsidTr="00FC7C49">
        <w:trPr>
          <w:tblHeader/>
        </w:trPr>
        <w:tc>
          <w:tcPr>
            <w:tcW w:w="3679" w:type="dxa"/>
            <w:tcBorders>
              <w:left w:val="single" w:sz="12" w:space="0" w:color="auto"/>
              <w:bottom w:val="single" w:sz="8" w:space="0" w:color="auto"/>
              <w:right w:val="single" w:sz="12" w:space="0" w:color="auto"/>
            </w:tcBorders>
          </w:tcPr>
          <w:p w14:paraId="72321129" w14:textId="77777777" w:rsidR="00B57E1B" w:rsidRPr="005D4F27" w:rsidRDefault="00B57E1B" w:rsidP="00FC7C49">
            <w:pPr>
              <w:ind w:left="57"/>
              <w:rPr>
                <w:rFonts w:eastAsia="Calibri"/>
              </w:rPr>
            </w:pPr>
            <w:r w:rsidRPr="005D4F27">
              <w:rPr>
                <w:rFonts w:eastAsia="Calibri"/>
              </w:rPr>
              <w:t>PAK</w:t>
            </w:r>
            <w:r w:rsidRPr="005D4F27">
              <w:rPr>
                <w:rFonts w:eastAsia="Calibri"/>
                <w:vertAlign w:val="subscript"/>
              </w:rPr>
              <w:t>16</w:t>
            </w:r>
            <w:r w:rsidRPr="005D4F27">
              <w:rPr>
                <w:rFonts w:eastAsia="Calibri"/>
                <w:vertAlign w:val="superscript"/>
              </w:rPr>
              <w:t xml:space="preserve"> </w:t>
            </w:r>
          </w:p>
        </w:tc>
        <w:tc>
          <w:tcPr>
            <w:tcW w:w="2758" w:type="dxa"/>
            <w:tcBorders>
              <w:left w:val="single" w:sz="12" w:space="0" w:color="auto"/>
              <w:bottom w:val="single" w:sz="8" w:space="0" w:color="auto"/>
            </w:tcBorders>
          </w:tcPr>
          <w:p w14:paraId="05C948D0" w14:textId="77777777" w:rsidR="00B57E1B" w:rsidRPr="005D4F27" w:rsidRDefault="00B57E1B" w:rsidP="00FC7C49">
            <w:pPr>
              <w:ind w:left="57"/>
              <w:rPr>
                <w:rFonts w:eastAsia="Calibri"/>
                <w:lang w:val="en-US"/>
              </w:rPr>
            </w:pPr>
            <w:r w:rsidRPr="005D4F27">
              <w:rPr>
                <w:rFonts w:eastAsia="Calibri"/>
                <w:lang w:val="en-US"/>
              </w:rPr>
              <w:t>HPLC-F,</w:t>
            </w:r>
          </w:p>
          <w:p w14:paraId="15FAF668" w14:textId="77777777" w:rsidR="00B57E1B" w:rsidRPr="005D4F27" w:rsidRDefault="00B57E1B" w:rsidP="00FC7C49">
            <w:pPr>
              <w:ind w:left="57"/>
              <w:rPr>
                <w:rFonts w:eastAsia="Calibri"/>
                <w:lang w:val="en-US"/>
              </w:rPr>
            </w:pPr>
            <w:r w:rsidRPr="005D4F27">
              <w:rPr>
                <w:rFonts w:eastAsia="Calibri"/>
                <w:lang w:val="en-US"/>
              </w:rPr>
              <w:t xml:space="preserve"> GC-MS</w:t>
            </w:r>
          </w:p>
        </w:tc>
        <w:tc>
          <w:tcPr>
            <w:tcW w:w="3252" w:type="dxa"/>
            <w:tcBorders>
              <w:right w:val="single" w:sz="12" w:space="0" w:color="auto"/>
            </w:tcBorders>
          </w:tcPr>
          <w:p w14:paraId="57CBB904" w14:textId="77777777" w:rsidR="00B57E1B" w:rsidRPr="005D4F27" w:rsidRDefault="00B57E1B" w:rsidP="00FC7C49">
            <w:pPr>
              <w:ind w:left="57"/>
              <w:rPr>
                <w:rFonts w:eastAsia="Calibri"/>
              </w:rPr>
            </w:pPr>
            <w:r w:rsidRPr="005D4F27">
              <w:rPr>
                <w:rFonts w:eastAsia="Calibri"/>
              </w:rPr>
              <w:t>DIN EN ISO 17993:2004-03</w:t>
            </w:r>
          </w:p>
          <w:p w14:paraId="3D85A200" w14:textId="77777777" w:rsidR="00B57E1B" w:rsidRPr="005D4F27" w:rsidRDefault="00B57E1B" w:rsidP="00FC7C49">
            <w:pPr>
              <w:ind w:left="57"/>
              <w:rPr>
                <w:rFonts w:eastAsia="Calibri"/>
              </w:rPr>
            </w:pPr>
            <w:r w:rsidRPr="005D4F27">
              <w:rPr>
                <w:rFonts w:eastAsia="Calibri"/>
              </w:rPr>
              <w:t>DIN 38407-39: 2011-09</w:t>
            </w:r>
          </w:p>
        </w:tc>
      </w:tr>
      <w:tr w:rsidR="00B57E1B" w:rsidRPr="005D4F27" w14:paraId="2C316305" w14:textId="77777777" w:rsidTr="00FC7C49">
        <w:trPr>
          <w:tblHeader/>
        </w:trPr>
        <w:tc>
          <w:tcPr>
            <w:tcW w:w="3679" w:type="dxa"/>
            <w:tcBorders>
              <w:left w:val="single" w:sz="12" w:space="0" w:color="auto"/>
              <w:bottom w:val="single" w:sz="12" w:space="0" w:color="auto"/>
              <w:right w:val="single" w:sz="12" w:space="0" w:color="auto"/>
            </w:tcBorders>
          </w:tcPr>
          <w:p w14:paraId="28DF4FF2" w14:textId="77777777" w:rsidR="00B57E1B" w:rsidRPr="005D4F27" w:rsidRDefault="00B57E1B" w:rsidP="00FC7C49">
            <w:pPr>
              <w:ind w:left="57"/>
              <w:rPr>
                <w:rFonts w:eastAsia="Calibri"/>
              </w:rPr>
            </w:pPr>
            <w:r w:rsidRPr="005D4F27">
              <w:rPr>
                <w:rFonts w:eastAsia="Calibri"/>
              </w:rPr>
              <w:t xml:space="preserve">Summe aus </w:t>
            </w:r>
            <w:proofErr w:type="spellStart"/>
            <w:r w:rsidRPr="005D4F27">
              <w:rPr>
                <w:rFonts w:eastAsia="Calibri"/>
              </w:rPr>
              <w:t>Tri</w:t>
            </w:r>
            <w:proofErr w:type="spellEnd"/>
            <w:r w:rsidRPr="005D4F27">
              <w:rPr>
                <w:rFonts w:eastAsia="Calibri"/>
              </w:rPr>
              <w:t xml:space="preserve">- und </w:t>
            </w:r>
            <w:proofErr w:type="spellStart"/>
            <w:r w:rsidRPr="005D4F27">
              <w:rPr>
                <w:rFonts w:eastAsia="Calibri"/>
              </w:rPr>
              <w:t>Tetrachlorethen</w:t>
            </w:r>
            <w:proofErr w:type="spellEnd"/>
          </w:p>
        </w:tc>
        <w:tc>
          <w:tcPr>
            <w:tcW w:w="2758" w:type="dxa"/>
            <w:tcBorders>
              <w:left w:val="single" w:sz="12" w:space="0" w:color="auto"/>
              <w:bottom w:val="single" w:sz="12" w:space="0" w:color="auto"/>
            </w:tcBorders>
          </w:tcPr>
          <w:p w14:paraId="1A0ACC09" w14:textId="77777777" w:rsidR="00B57E1B" w:rsidRPr="005D4F27" w:rsidRDefault="00B57E1B" w:rsidP="00FC7C49">
            <w:pPr>
              <w:ind w:left="57"/>
              <w:rPr>
                <w:rFonts w:eastAsia="Calibri"/>
                <w:lang w:val="en-US"/>
              </w:rPr>
            </w:pPr>
            <w:r w:rsidRPr="005D4F27">
              <w:rPr>
                <w:rFonts w:eastAsia="Calibri"/>
                <w:lang w:val="en-US"/>
              </w:rPr>
              <w:t>GC-MS</w:t>
            </w:r>
          </w:p>
          <w:p w14:paraId="2B4235EF" w14:textId="77777777" w:rsidR="00B57E1B" w:rsidRPr="005D4F27" w:rsidRDefault="00B57E1B" w:rsidP="00FC7C49">
            <w:pPr>
              <w:ind w:left="57"/>
              <w:rPr>
                <w:rFonts w:eastAsia="Calibri"/>
                <w:lang w:val="en-US"/>
              </w:rPr>
            </w:pPr>
            <w:r w:rsidRPr="005D4F27">
              <w:rPr>
                <w:rFonts w:eastAsia="Calibri"/>
                <w:lang w:val="en-US"/>
              </w:rPr>
              <w:t>HS-SPME GC-MS</w:t>
            </w:r>
          </w:p>
        </w:tc>
        <w:tc>
          <w:tcPr>
            <w:tcW w:w="3252" w:type="dxa"/>
            <w:tcBorders>
              <w:bottom w:val="single" w:sz="12" w:space="0" w:color="auto"/>
              <w:right w:val="single" w:sz="12" w:space="0" w:color="auto"/>
            </w:tcBorders>
          </w:tcPr>
          <w:p w14:paraId="261BE24D" w14:textId="77777777" w:rsidR="00B57E1B" w:rsidRPr="005D4F27" w:rsidRDefault="00B57E1B" w:rsidP="00FC7C49">
            <w:pPr>
              <w:ind w:left="57"/>
              <w:rPr>
                <w:rFonts w:eastAsia="Calibri"/>
              </w:rPr>
            </w:pPr>
            <w:r w:rsidRPr="005D4F27">
              <w:rPr>
                <w:rFonts w:eastAsia="Calibri"/>
              </w:rPr>
              <w:t>DIN 38407-43:2014-10</w:t>
            </w:r>
          </w:p>
          <w:p w14:paraId="16C55A99" w14:textId="77777777" w:rsidR="00B57E1B" w:rsidRPr="005D4F27" w:rsidRDefault="00B57E1B" w:rsidP="00FC7C49">
            <w:pPr>
              <w:ind w:left="57"/>
              <w:rPr>
                <w:rFonts w:eastAsia="Calibri"/>
                <w:lang w:val="en-US"/>
              </w:rPr>
            </w:pPr>
            <w:r w:rsidRPr="005D4F27">
              <w:rPr>
                <w:rFonts w:eastAsia="Calibri"/>
              </w:rPr>
              <w:t>DIN EN ISO 17943:2016-10</w:t>
            </w:r>
          </w:p>
        </w:tc>
      </w:tr>
      <w:tr w:rsidR="00B57E1B" w:rsidRPr="005D4F27" w14:paraId="5CDC3C9D" w14:textId="77777777" w:rsidTr="00FC7C49">
        <w:trPr>
          <w:tblHeader/>
        </w:trPr>
        <w:tc>
          <w:tcPr>
            <w:tcW w:w="3679" w:type="dxa"/>
            <w:tcBorders>
              <w:top w:val="single" w:sz="8" w:space="0" w:color="auto"/>
              <w:left w:val="single" w:sz="12" w:space="0" w:color="auto"/>
              <w:bottom w:val="single" w:sz="12" w:space="0" w:color="auto"/>
              <w:right w:val="single" w:sz="12" w:space="0" w:color="auto"/>
            </w:tcBorders>
          </w:tcPr>
          <w:p w14:paraId="7DB07C92" w14:textId="77777777" w:rsidR="00B57E1B" w:rsidRPr="005D4F27" w:rsidRDefault="00B57E1B" w:rsidP="00FC7C49">
            <w:pPr>
              <w:ind w:left="57"/>
              <w:rPr>
                <w:rFonts w:eastAsia="Calibri"/>
              </w:rPr>
            </w:pPr>
            <w:proofErr w:type="spellStart"/>
            <w:r w:rsidRPr="005D4F27">
              <w:rPr>
                <w:rFonts w:eastAsia="Calibri"/>
              </w:rPr>
              <w:t>Perfluorbutansäure</w:t>
            </w:r>
            <w:proofErr w:type="spellEnd"/>
            <w:r w:rsidRPr="005D4F27">
              <w:rPr>
                <w:rFonts w:eastAsia="Calibri"/>
              </w:rPr>
              <w:t xml:space="preserve"> (PFBA), </w:t>
            </w:r>
            <w:proofErr w:type="spellStart"/>
            <w:r w:rsidRPr="005D4F27">
              <w:rPr>
                <w:rFonts w:eastAsia="Calibri"/>
              </w:rPr>
              <w:t>Perfluoroktansäure</w:t>
            </w:r>
            <w:proofErr w:type="spellEnd"/>
            <w:r w:rsidRPr="005D4F27">
              <w:rPr>
                <w:rFonts w:eastAsia="Calibri"/>
              </w:rPr>
              <w:t xml:space="preserve"> (PFOA), </w:t>
            </w:r>
            <w:proofErr w:type="spellStart"/>
            <w:r w:rsidRPr="005D4F27">
              <w:rPr>
                <w:rFonts w:eastAsia="Calibri"/>
              </w:rPr>
              <w:t>Perfluornonansäure</w:t>
            </w:r>
            <w:proofErr w:type="spellEnd"/>
            <w:r w:rsidRPr="005D4F27">
              <w:rPr>
                <w:rFonts w:eastAsia="Calibri"/>
              </w:rPr>
              <w:t xml:space="preserve"> (PFNA), </w:t>
            </w:r>
            <w:proofErr w:type="spellStart"/>
            <w:r w:rsidRPr="005D4F27">
              <w:rPr>
                <w:rFonts w:eastAsia="Calibri"/>
              </w:rPr>
              <w:t>Perfluorbutansulfonsäure</w:t>
            </w:r>
            <w:proofErr w:type="spellEnd"/>
            <w:r w:rsidRPr="005D4F27">
              <w:rPr>
                <w:rFonts w:eastAsia="Calibri"/>
              </w:rPr>
              <w:t xml:space="preserve"> (PFBS), </w:t>
            </w:r>
            <w:proofErr w:type="spellStart"/>
            <w:r w:rsidRPr="005D4F27">
              <w:rPr>
                <w:rFonts w:eastAsia="Calibri"/>
              </w:rPr>
              <w:t>Perfluorhexansäure</w:t>
            </w:r>
            <w:proofErr w:type="spellEnd"/>
            <w:r w:rsidRPr="005D4F27">
              <w:rPr>
                <w:rFonts w:eastAsia="Calibri"/>
              </w:rPr>
              <w:t xml:space="preserve"> (</w:t>
            </w:r>
            <w:proofErr w:type="spellStart"/>
            <w:r w:rsidRPr="005D4F27">
              <w:rPr>
                <w:rFonts w:eastAsia="Calibri"/>
              </w:rPr>
              <w:t>PFHxA</w:t>
            </w:r>
            <w:proofErr w:type="spellEnd"/>
            <w:r w:rsidRPr="005D4F27">
              <w:rPr>
                <w:rFonts w:eastAsia="Calibri"/>
              </w:rPr>
              <w:t xml:space="preserve">), </w:t>
            </w:r>
            <w:proofErr w:type="spellStart"/>
            <w:r w:rsidRPr="005D4F27">
              <w:rPr>
                <w:rFonts w:eastAsia="Calibri"/>
              </w:rPr>
              <w:t>Perfluorhexansulfonsäure</w:t>
            </w:r>
            <w:proofErr w:type="spellEnd"/>
            <w:r w:rsidRPr="005D4F27">
              <w:rPr>
                <w:rFonts w:eastAsia="Calibri"/>
              </w:rPr>
              <w:t xml:space="preserve"> (</w:t>
            </w:r>
            <w:proofErr w:type="spellStart"/>
            <w:r w:rsidRPr="005D4F27">
              <w:rPr>
                <w:rFonts w:eastAsia="Calibri"/>
              </w:rPr>
              <w:t>PFHxS</w:t>
            </w:r>
            <w:proofErr w:type="spellEnd"/>
            <w:r w:rsidRPr="005D4F27">
              <w:rPr>
                <w:rFonts w:eastAsia="Calibri"/>
              </w:rPr>
              <w:t xml:space="preserve">), </w:t>
            </w:r>
            <w:proofErr w:type="spellStart"/>
            <w:r w:rsidRPr="005D4F27">
              <w:rPr>
                <w:rFonts w:eastAsia="Calibri"/>
              </w:rPr>
              <w:t>Perfluoroktansulfonsäure</w:t>
            </w:r>
            <w:proofErr w:type="spellEnd"/>
            <w:r w:rsidRPr="005D4F27">
              <w:rPr>
                <w:rFonts w:eastAsia="Calibri"/>
              </w:rPr>
              <w:t xml:space="preserve"> (PFOS)</w:t>
            </w:r>
          </w:p>
        </w:tc>
        <w:tc>
          <w:tcPr>
            <w:tcW w:w="2758" w:type="dxa"/>
            <w:tcBorders>
              <w:top w:val="single" w:sz="8" w:space="0" w:color="auto"/>
              <w:left w:val="single" w:sz="12" w:space="0" w:color="auto"/>
              <w:bottom w:val="single" w:sz="12" w:space="0" w:color="auto"/>
              <w:right w:val="single" w:sz="8" w:space="0" w:color="auto"/>
            </w:tcBorders>
          </w:tcPr>
          <w:p w14:paraId="76A7F15C" w14:textId="77777777" w:rsidR="00B57E1B" w:rsidRPr="005D4F27" w:rsidRDefault="00B57E1B" w:rsidP="00FC7C49">
            <w:pPr>
              <w:ind w:left="57"/>
              <w:rPr>
                <w:rFonts w:eastAsia="Calibri"/>
              </w:rPr>
            </w:pPr>
            <w:r w:rsidRPr="005D4F27">
              <w:rPr>
                <w:rFonts w:eastAsia="Calibri"/>
              </w:rPr>
              <w:t>Verfahren mittels Hochleistungs-Flüssigkeitschromatographie und massenspektrometrischer Detektion (HPLC-MS/MS) nach Fest- Flüssig-Extraktion</w:t>
            </w:r>
          </w:p>
        </w:tc>
        <w:tc>
          <w:tcPr>
            <w:tcW w:w="3252" w:type="dxa"/>
            <w:tcBorders>
              <w:top w:val="single" w:sz="8" w:space="0" w:color="auto"/>
              <w:left w:val="single" w:sz="8" w:space="0" w:color="auto"/>
              <w:bottom w:val="single" w:sz="12" w:space="0" w:color="auto"/>
              <w:right w:val="single" w:sz="12" w:space="0" w:color="auto"/>
            </w:tcBorders>
          </w:tcPr>
          <w:p w14:paraId="23E34E3C" w14:textId="77777777" w:rsidR="00B57E1B" w:rsidRPr="005D4F27" w:rsidRDefault="00B57E1B" w:rsidP="00FC7C49">
            <w:pPr>
              <w:widowControl w:val="0"/>
              <w:rPr>
                <w:rFonts w:eastAsia="Calibri"/>
                <w:lang w:val="it-IT"/>
              </w:rPr>
            </w:pPr>
            <w:r w:rsidRPr="005D4F27">
              <w:rPr>
                <w:rFonts w:eastAsia="Calibri"/>
                <w:lang w:val="it-IT"/>
              </w:rPr>
              <w:t xml:space="preserve"> DIN 38407-42:2011-03</w:t>
            </w:r>
          </w:p>
          <w:p w14:paraId="623D185B" w14:textId="77777777" w:rsidR="00B57E1B" w:rsidRPr="005D4F27" w:rsidRDefault="00B57E1B" w:rsidP="00FC7C49">
            <w:pPr>
              <w:ind w:left="57"/>
              <w:rPr>
                <w:rFonts w:eastAsia="Calibri"/>
              </w:rPr>
            </w:pPr>
            <w:r w:rsidRPr="005D4F27">
              <w:rPr>
                <w:rFonts w:eastAsia="Calibri"/>
                <w:lang w:val="it-IT"/>
              </w:rPr>
              <w:t>DIN 38414-14:2011-08</w:t>
            </w:r>
          </w:p>
        </w:tc>
      </w:tr>
      <w:tr w:rsidR="00B57E1B" w:rsidRPr="005D4F27" w14:paraId="5AE0DDD1" w14:textId="77777777" w:rsidTr="00FC7C49">
        <w:trPr>
          <w:tblHeader/>
        </w:trPr>
        <w:tc>
          <w:tcPr>
            <w:tcW w:w="3679" w:type="dxa"/>
            <w:tcBorders>
              <w:top w:val="single" w:sz="8" w:space="0" w:color="auto"/>
              <w:left w:val="single" w:sz="12" w:space="0" w:color="auto"/>
              <w:bottom w:val="single" w:sz="12" w:space="0" w:color="auto"/>
              <w:right w:val="single" w:sz="12" w:space="0" w:color="auto"/>
            </w:tcBorders>
          </w:tcPr>
          <w:p w14:paraId="080E3FE9" w14:textId="77777777" w:rsidR="00B57E1B" w:rsidRPr="005D4F27" w:rsidRDefault="00B57E1B" w:rsidP="00FC7C49">
            <w:pPr>
              <w:ind w:left="57"/>
              <w:rPr>
                <w:rFonts w:eastAsia="Calibri"/>
                <w:lang w:val="en-US"/>
              </w:rPr>
            </w:pPr>
            <w:r w:rsidRPr="005D4F27">
              <w:rPr>
                <w:rFonts w:eastAsia="Calibri"/>
                <w:lang w:val="en-US"/>
              </w:rPr>
              <w:t xml:space="preserve">2,4-Dinitrotoluol, </w:t>
            </w:r>
          </w:p>
          <w:p w14:paraId="25B67E33" w14:textId="77777777" w:rsidR="00B57E1B" w:rsidRPr="005D4F27" w:rsidRDefault="00B57E1B" w:rsidP="00FC7C49">
            <w:pPr>
              <w:ind w:left="57"/>
              <w:rPr>
                <w:rFonts w:eastAsia="Calibri"/>
                <w:lang w:val="en-US"/>
              </w:rPr>
            </w:pPr>
            <w:r w:rsidRPr="005D4F27">
              <w:rPr>
                <w:rFonts w:eastAsia="Calibri"/>
                <w:lang w:val="en-US"/>
              </w:rPr>
              <w:t xml:space="preserve">2,6-Dinitrotoluol, </w:t>
            </w:r>
          </w:p>
          <w:p w14:paraId="651438FA" w14:textId="77777777" w:rsidR="00B57E1B" w:rsidRPr="005D4F27" w:rsidRDefault="00B57E1B" w:rsidP="00FC7C49">
            <w:pPr>
              <w:ind w:left="57"/>
              <w:rPr>
                <w:rFonts w:eastAsia="Calibri"/>
                <w:lang w:val="en-US"/>
              </w:rPr>
            </w:pPr>
            <w:r w:rsidRPr="005D4F27">
              <w:rPr>
                <w:rFonts w:eastAsia="Calibri"/>
                <w:lang w:val="en-US"/>
              </w:rPr>
              <w:t>2,2', 4,4', 6,6'-Hexanitro</w:t>
            </w:r>
            <w:r w:rsidRPr="005D4F27">
              <w:rPr>
                <w:rFonts w:eastAsia="Calibri"/>
                <w:lang w:val="en-US"/>
              </w:rPr>
              <w:softHyphen/>
              <w:t>diphenylamin (Hexyl),</w:t>
            </w:r>
          </w:p>
          <w:p w14:paraId="53DAAF7A" w14:textId="77777777" w:rsidR="00B57E1B" w:rsidRPr="005D4F27" w:rsidRDefault="00B57E1B" w:rsidP="00FC7C49">
            <w:pPr>
              <w:ind w:left="57"/>
              <w:rPr>
                <w:rFonts w:eastAsia="Calibri"/>
                <w:lang w:val="en-US"/>
              </w:rPr>
            </w:pPr>
            <w:r w:rsidRPr="005D4F27">
              <w:rPr>
                <w:rFonts w:eastAsia="Calibri"/>
                <w:lang w:val="en-US"/>
              </w:rPr>
              <w:t>1,3,5-Trinitro-hexahydro-1,3,5-triazin (Hexogen),</w:t>
            </w:r>
          </w:p>
          <w:p w14:paraId="078AC14D" w14:textId="77777777" w:rsidR="00B57E1B" w:rsidRPr="005D4F27" w:rsidRDefault="00B57E1B" w:rsidP="00FC7C49">
            <w:pPr>
              <w:ind w:left="57"/>
              <w:rPr>
                <w:rFonts w:eastAsia="Calibri"/>
                <w:lang w:val="en-US"/>
              </w:rPr>
            </w:pPr>
            <w:proofErr w:type="spellStart"/>
            <w:r w:rsidRPr="005D4F27">
              <w:rPr>
                <w:rFonts w:eastAsia="Calibri"/>
                <w:lang w:val="en-US"/>
              </w:rPr>
              <w:t>Nitropenta</w:t>
            </w:r>
            <w:proofErr w:type="spellEnd"/>
            <w:r w:rsidRPr="005D4F27">
              <w:rPr>
                <w:rFonts w:eastAsia="Calibri"/>
                <w:lang w:val="en-US"/>
              </w:rPr>
              <w:t xml:space="preserve">, </w:t>
            </w:r>
          </w:p>
          <w:p w14:paraId="7126629D" w14:textId="77777777" w:rsidR="00B57E1B" w:rsidRPr="005D4F27" w:rsidRDefault="00B57E1B" w:rsidP="00FC7C49">
            <w:pPr>
              <w:ind w:left="57"/>
              <w:rPr>
                <w:rFonts w:eastAsia="Calibri"/>
                <w:lang w:val="en-US"/>
              </w:rPr>
            </w:pPr>
            <w:r w:rsidRPr="005D4F27">
              <w:rPr>
                <w:rFonts w:eastAsia="Calibri"/>
                <w:lang w:val="en-US"/>
              </w:rPr>
              <w:t>2,4,6-Trinitrotoluol (TNT)</w:t>
            </w:r>
          </w:p>
        </w:tc>
        <w:tc>
          <w:tcPr>
            <w:tcW w:w="2758" w:type="dxa"/>
            <w:tcBorders>
              <w:top w:val="single" w:sz="8" w:space="0" w:color="auto"/>
              <w:left w:val="single" w:sz="12" w:space="0" w:color="auto"/>
              <w:bottom w:val="single" w:sz="12" w:space="0" w:color="auto"/>
              <w:right w:val="single" w:sz="8" w:space="0" w:color="auto"/>
            </w:tcBorders>
          </w:tcPr>
          <w:p w14:paraId="68A2115A" w14:textId="77777777" w:rsidR="00B57E1B" w:rsidRPr="005D4F27" w:rsidRDefault="00B57E1B" w:rsidP="00FC7C49">
            <w:pPr>
              <w:ind w:left="57"/>
              <w:rPr>
                <w:rFonts w:eastAsia="Calibri"/>
              </w:rPr>
            </w:pPr>
            <w:r w:rsidRPr="005D4F27">
              <w:rPr>
                <w:rFonts w:eastAsia="Calibri"/>
              </w:rPr>
              <w:t>HPLC mit UV-Detektion</w:t>
            </w:r>
          </w:p>
        </w:tc>
        <w:tc>
          <w:tcPr>
            <w:tcW w:w="3252" w:type="dxa"/>
            <w:tcBorders>
              <w:top w:val="single" w:sz="8" w:space="0" w:color="auto"/>
              <w:left w:val="single" w:sz="8" w:space="0" w:color="auto"/>
              <w:bottom w:val="single" w:sz="12" w:space="0" w:color="auto"/>
              <w:right w:val="single" w:sz="12" w:space="0" w:color="auto"/>
            </w:tcBorders>
          </w:tcPr>
          <w:p w14:paraId="2C808E53" w14:textId="77777777" w:rsidR="00B57E1B" w:rsidRPr="005D4F27" w:rsidRDefault="00B57E1B" w:rsidP="00FC7C49">
            <w:pPr>
              <w:ind w:left="57"/>
              <w:rPr>
                <w:rFonts w:eastAsia="Calibri"/>
              </w:rPr>
            </w:pPr>
            <w:r w:rsidRPr="005D4F27">
              <w:rPr>
                <w:rFonts w:eastAsia="Calibri"/>
              </w:rPr>
              <w:t>DIN EN ISO 22478:2006-07</w:t>
            </w:r>
          </w:p>
        </w:tc>
      </w:tr>
    </w:tbl>
    <w:p w14:paraId="7FAA88B1" w14:textId="77777777" w:rsidR="00B57E1B" w:rsidRPr="005D4F27" w:rsidRDefault="00B57E1B" w:rsidP="00B57E1B">
      <w:pPr>
        <w:overflowPunct w:val="0"/>
        <w:autoSpaceDE w:val="0"/>
        <w:autoSpaceDN w:val="0"/>
        <w:adjustRightInd w:val="0"/>
        <w:ind w:left="284" w:hanging="284"/>
        <w:textAlignment w:val="baseline"/>
        <w:rPr>
          <w:rFonts w:eastAsia="Calibri"/>
          <w:sz w:val="20"/>
        </w:rPr>
      </w:pPr>
      <w:r w:rsidRPr="005D4F27">
        <w:rPr>
          <w:rFonts w:eastAsia="Calibri"/>
          <w:sz w:val="20"/>
          <w:szCs w:val="16"/>
          <w:vertAlign w:val="superscript"/>
        </w:rPr>
        <w:t>1)</w:t>
      </w:r>
      <w:r w:rsidRPr="005D4F27">
        <w:rPr>
          <w:rFonts w:eastAsia="Calibri"/>
          <w:sz w:val="20"/>
          <w:szCs w:val="16"/>
        </w:rPr>
        <w:tab/>
        <w:t xml:space="preserve">BTEX: Summe Benzol, Toluol, Ethylbenzol und </w:t>
      </w:r>
      <w:proofErr w:type="spellStart"/>
      <w:r w:rsidRPr="005D4F27">
        <w:rPr>
          <w:rFonts w:eastAsia="Calibri"/>
          <w:sz w:val="20"/>
          <w:szCs w:val="16"/>
        </w:rPr>
        <w:t>Xylole</w:t>
      </w:r>
      <w:proofErr w:type="spellEnd"/>
      <w:r w:rsidRPr="005D4F27">
        <w:rPr>
          <w:rFonts w:eastAsia="Calibri"/>
          <w:sz w:val="20"/>
          <w:szCs w:val="16"/>
        </w:rPr>
        <w:t>.</w:t>
      </w:r>
    </w:p>
    <w:p w14:paraId="4C4AF279" w14:textId="77777777" w:rsidR="00B57E1B" w:rsidRPr="005D4F27" w:rsidRDefault="00B57E1B" w:rsidP="00B57E1B">
      <w:pPr>
        <w:overflowPunct w:val="0"/>
        <w:autoSpaceDE w:val="0"/>
        <w:autoSpaceDN w:val="0"/>
        <w:adjustRightInd w:val="0"/>
        <w:ind w:left="284" w:hanging="284"/>
        <w:textAlignment w:val="baseline"/>
        <w:rPr>
          <w:rFonts w:eastAsia="Calibri"/>
          <w:sz w:val="20"/>
          <w:szCs w:val="16"/>
        </w:rPr>
      </w:pPr>
      <w:r w:rsidRPr="005D4F27">
        <w:rPr>
          <w:rFonts w:eastAsia="Calibri"/>
          <w:sz w:val="20"/>
          <w:szCs w:val="16"/>
          <w:vertAlign w:val="superscript"/>
        </w:rPr>
        <w:t>2)</w:t>
      </w:r>
      <w:r w:rsidRPr="005D4F27">
        <w:rPr>
          <w:rFonts w:eastAsia="Calibri"/>
          <w:sz w:val="20"/>
          <w:szCs w:val="16"/>
        </w:rPr>
        <w:tab/>
        <w:t>Summe der Kohlenwasserstoffe, die zwischen n-Dekan (C 10) und n-Tetracontan (C 40) von der gaschromatographischen Säule eluieren.</w:t>
      </w:r>
    </w:p>
    <w:p w14:paraId="7244F5AE" w14:textId="77777777" w:rsidR="00B57E1B" w:rsidRPr="005D4F27" w:rsidRDefault="00B57E1B" w:rsidP="00B57E1B">
      <w:pPr>
        <w:overflowPunct w:val="0"/>
        <w:autoSpaceDE w:val="0"/>
        <w:autoSpaceDN w:val="0"/>
        <w:adjustRightInd w:val="0"/>
        <w:ind w:left="284" w:hanging="284"/>
        <w:textAlignment w:val="baseline"/>
        <w:rPr>
          <w:rFonts w:eastAsia="Calibri"/>
          <w:sz w:val="20"/>
          <w:szCs w:val="16"/>
        </w:rPr>
      </w:pPr>
      <w:r w:rsidRPr="005D4F27">
        <w:rPr>
          <w:rFonts w:eastAsia="Calibri"/>
          <w:sz w:val="20"/>
          <w:szCs w:val="16"/>
          <w:vertAlign w:val="superscript"/>
        </w:rPr>
        <w:t>3)</w:t>
      </w:r>
      <w:r w:rsidRPr="005D4F27">
        <w:rPr>
          <w:rFonts w:eastAsia="Calibri"/>
          <w:sz w:val="20"/>
          <w:szCs w:val="16"/>
        </w:rPr>
        <w:tab/>
        <w:t xml:space="preserve">LHKW, gesamt: Leichtflüchtige Halogenkohlenwasserstoffe, d.h. Summe der halogenierten C1- und C2-Kohlenwasserstoffe; einschließlich </w:t>
      </w:r>
      <w:proofErr w:type="spellStart"/>
      <w:r w:rsidRPr="005D4F27">
        <w:rPr>
          <w:rFonts w:eastAsia="Calibri"/>
          <w:sz w:val="20"/>
          <w:szCs w:val="16"/>
        </w:rPr>
        <w:t>Trihalogenmethane</w:t>
      </w:r>
      <w:proofErr w:type="spellEnd"/>
    </w:p>
    <w:p w14:paraId="4ACE75DE" w14:textId="616D707C" w:rsidR="00B57E1B" w:rsidRPr="008D0377" w:rsidRDefault="00B57E1B" w:rsidP="00B57E1B">
      <w:pPr>
        <w:pStyle w:val="berschrift1"/>
      </w:pPr>
      <w:r>
        <w:br w:type="page"/>
      </w:r>
      <w:r w:rsidRPr="008D0377">
        <w:lastRenderedPageBreak/>
        <w:t>Tabelle 8: Bodenluft- und Deponiegasuntersuchung</w:t>
      </w:r>
    </w:p>
    <w:tbl>
      <w:tblPr>
        <w:tblW w:w="9639" w:type="dxa"/>
        <w:tblInd w:w="3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35" w:type="dxa"/>
          <w:right w:w="35" w:type="dxa"/>
        </w:tblCellMar>
        <w:tblLook w:val="0000" w:firstRow="0" w:lastRow="0" w:firstColumn="0" w:lastColumn="0" w:noHBand="0" w:noVBand="0"/>
      </w:tblPr>
      <w:tblGrid>
        <w:gridCol w:w="2936"/>
        <w:gridCol w:w="4005"/>
        <w:gridCol w:w="2698"/>
      </w:tblGrid>
      <w:tr w:rsidR="00B57E1B" w:rsidRPr="005D4F27" w14:paraId="032D0CAC" w14:textId="77777777" w:rsidTr="00FC7C49">
        <w:trPr>
          <w:cantSplit/>
        </w:trPr>
        <w:tc>
          <w:tcPr>
            <w:tcW w:w="2748" w:type="dxa"/>
            <w:tcBorders>
              <w:top w:val="single" w:sz="12" w:space="0" w:color="auto"/>
              <w:bottom w:val="single" w:sz="12" w:space="0" w:color="auto"/>
              <w:right w:val="single" w:sz="12" w:space="0" w:color="auto"/>
            </w:tcBorders>
            <w:shd w:val="pct10" w:color="auto" w:fill="auto"/>
          </w:tcPr>
          <w:p w14:paraId="4CAF14E7" w14:textId="77777777" w:rsidR="00B57E1B" w:rsidRPr="005D4F27" w:rsidRDefault="00B57E1B" w:rsidP="00FC7C49">
            <w:pPr>
              <w:ind w:left="57"/>
              <w:rPr>
                <w:rFonts w:eastAsia="Calibri"/>
                <w:b/>
              </w:rPr>
            </w:pPr>
            <w:r w:rsidRPr="005D4F27">
              <w:rPr>
                <w:rFonts w:eastAsia="Calibri"/>
                <w:b/>
              </w:rPr>
              <w:t>Stoff</w:t>
            </w:r>
          </w:p>
        </w:tc>
        <w:tc>
          <w:tcPr>
            <w:tcW w:w="3749" w:type="dxa"/>
            <w:tcBorders>
              <w:top w:val="single" w:sz="12" w:space="0" w:color="auto"/>
              <w:left w:val="single" w:sz="12" w:space="0" w:color="auto"/>
              <w:bottom w:val="single" w:sz="12" w:space="0" w:color="auto"/>
            </w:tcBorders>
            <w:shd w:val="pct10" w:color="auto" w:fill="auto"/>
          </w:tcPr>
          <w:p w14:paraId="73C1B2B0" w14:textId="77777777" w:rsidR="00B57E1B" w:rsidRPr="005D4F27" w:rsidRDefault="00B57E1B" w:rsidP="00FC7C49">
            <w:pPr>
              <w:ind w:left="57"/>
              <w:rPr>
                <w:rFonts w:eastAsia="Calibri"/>
                <w:b/>
              </w:rPr>
            </w:pPr>
            <w:r w:rsidRPr="005D4F27">
              <w:rPr>
                <w:rFonts w:eastAsia="Calibri"/>
                <w:b/>
              </w:rPr>
              <w:t>Methode</w:t>
            </w:r>
          </w:p>
        </w:tc>
        <w:tc>
          <w:tcPr>
            <w:tcW w:w="2525" w:type="dxa"/>
            <w:tcBorders>
              <w:top w:val="single" w:sz="12" w:space="0" w:color="auto"/>
              <w:bottom w:val="single" w:sz="12" w:space="0" w:color="auto"/>
            </w:tcBorders>
            <w:shd w:val="pct10" w:color="auto" w:fill="auto"/>
          </w:tcPr>
          <w:p w14:paraId="68F1112E" w14:textId="77777777" w:rsidR="00B57E1B" w:rsidRPr="005D4F27" w:rsidRDefault="00B57E1B" w:rsidP="00FC7C49">
            <w:pPr>
              <w:ind w:left="57"/>
              <w:rPr>
                <w:rFonts w:eastAsia="Calibri"/>
                <w:b/>
              </w:rPr>
            </w:pPr>
            <w:r w:rsidRPr="005D4F27">
              <w:rPr>
                <w:rFonts w:eastAsia="Calibri"/>
                <w:b/>
              </w:rPr>
              <w:t>Norm</w:t>
            </w:r>
          </w:p>
        </w:tc>
      </w:tr>
      <w:tr w:rsidR="00B57E1B" w:rsidRPr="005D4F27" w14:paraId="300CA935" w14:textId="77777777" w:rsidTr="00FC7C49">
        <w:trPr>
          <w:cantSplit/>
          <w:trHeight w:val="397"/>
        </w:trPr>
        <w:tc>
          <w:tcPr>
            <w:tcW w:w="2748" w:type="dxa"/>
            <w:vMerge w:val="restart"/>
            <w:tcBorders>
              <w:top w:val="single" w:sz="12" w:space="0" w:color="auto"/>
              <w:bottom w:val="single" w:sz="2" w:space="0" w:color="auto"/>
              <w:right w:val="single" w:sz="12" w:space="0" w:color="auto"/>
            </w:tcBorders>
          </w:tcPr>
          <w:p w14:paraId="724BD8BB" w14:textId="77777777" w:rsidR="00B57E1B" w:rsidRPr="005D4F27" w:rsidRDefault="00B57E1B" w:rsidP="00FC7C49">
            <w:pPr>
              <w:ind w:left="57"/>
              <w:rPr>
                <w:rFonts w:eastAsia="Calibri"/>
              </w:rPr>
            </w:pPr>
            <w:r w:rsidRPr="005D4F27">
              <w:rPr>
                <w:rFonts w:eastAsia="Calibri"/>
              </w:rPr>
              <w:t xml:space="preserve">BTEX, LHKW, leichtflüchtige aliphatische Kohlenwasserstoffe (Alkane, Cycloalkane und </w:t>
            </w:r>
            <w:proofErr w:type="spellStart"/>
            <w:r w:rsidRPr="005D4F27">
              <w:rPr>
                <w:rFonts w:eastAsia="Calibri"/>
              </w:rPr>
              <w:t>Alkene</w:t>
            </w:r>
            <w:proofErr w:type="spellEnd"/>
            <w:r w:rsidRPr="005D4F27">
              <w:rPr>
                <w:rFonts w:eastAsia="Calibri"/>
              </w:rPr>
              <w:t xml:space="preserve"> mit 5 bis 10 C</w:t>
            </w:r>
            <w:r w:rsidRPr="005D4F27">
              <w:rPr>
                <w:rFonts w:eastAsia="Calibri"/>
              </w:rPr>
              <w:noBreakHyphen/>
              <w:t>Atomen), MTBE</w:t>
            </w:r>
          </w:p>
        </w:tc>
        <w:tc>
          <w:tcPr>
            <w:tcW w:w="3749" w:type="dxa"/>
            <w:tcBorders>
              <w:top w:val="single" w:sz="12" w:space="0" w:color="auto"/>
              <w:left w:val="single" w:sz="12" w:space="0" w:color="auto"/>
            </w:tcBorders>
          </w:tcPr>
          <w:p w14:paraId="62C66B41" w14:textId="77777777" w:rsidR="00B57E1B" w:rsidRPr="005D4F27" w:rsidRDefault="00B57E1B" w:rsidP="00FC7C49">
            <w:pPr>
              <w:ind w:left="57"/>
              <w:rPr>
                <w:rFonts w:eastAsia="Calibri"/>
              </w:rPr>
            </w:pPr>
            <w:r w:rsidRPr="005D4F27">
              <w:rPr>
                <w:rFonts w:eastAsia="Calibri"/>
              </w:rPr>
              <w:t>Messplanung Bodenluft</w:t>
            </w:r>
          </w:p>
        </w:tc>
        <w:tc>
          <w:tcPr>
            <w:tcW w:w="2525" w:type="dxa"/>
            <w:tcBorders>
              <w:top w:val="single" w:sz="12" w:space="0" w:color="auto"/>
            </w:tcBorders>
          </w:tcPr>
          <w:p w14:paraId="710D8DFA" w14:textId="77777777" w:rsidR="00B57E1B" w:rsidRPr="005D4F27" w:rsidRDefault="00B57E1B" w:rsidP="00FC7C49">
            <w:pPr>
              <w:ind w:left="57"/>
              <w:rPr>
                <w:rFonts w:eastAsia="Calibri"/>
              </w:rPr>
            </w:pPr>
            <w:r w:rsidRPr="005D4F27">
              <w:rPr>
                <w:rFonts w:eastAsia="Calibri"/>
              </w:rPr>
              <w:t>VDI 3865-1: 2005-06</w:t>
            </w:r>
          </w:p>
        </w:tc>
      </w:tr>
      <w:tr w:rsidR="00B57E1B" w:rsidRPr="005D4F27" w14:paraId="2E1B9EC3" w14:textId="77777777" w:rsidTr="00FC7C49">
        <w:trPr>
          <w:cantSplit/>
          <w:trHeight w:val="397"/>
        </w:trPr>
        <w:tc>
          <w:tcPr>
            <w:tcW w:w="2748" w:type="dxa"/>
            <w:vMerge/>
            <w:tcBorders>
              <w:top w:val="single" w:sz="2" w:space="0" w:color="auto"/>
              <w:bottom w:val="single" w:sz="2" w:space="0" w:color="auto"/>
              <w:right w:val="single" w:sz="12" w:space="0" w:color="auto"/>
            </w:tcBorders>
          </w:tcPr>
          <w:p w14:paraId="70C4139E" w14:textId="77777777" w:rsidR="00B57E1B" w:rsidRPr="005D4F27" w:rsidRDefault="00B57E1B" w:rsidP="00FC7C49">
            <w:pPr>
              <w:ind w:left="57"/>
              <w:rPr>
                <w:rFonts w:eastAsia="Calibri"/>
              </w:rPr>
            </w:pPr>
          </w:p>
        </w:tc>
        <w:tc>
          <w:tcPr>
            <w:tcW w:w="3749" w:type="dxa"/>
            <w:tcBorders>
              <w:left w:val="single" w:sz="12" w:space="0" w:color="auto"/>
            </w:tcBorders>
          </w:tcPr>
          <w:p w14:paraId="2D318B89" w14:textId="77777777" w:rsidR="00B57E1B" w:rsidRPr="005D4F27" w:rsidRDefault="00B57E1B" w:rsidP="00FC7C49">
            <w:pPr>
              <w:ind w:left="57"/>
              <w:rPr>
                <w:rFonts w:eastAsia="Calibri"/>
              </w:rPr>
            </w:pPr>
            <w:proofErr w:type="spellStart"/>
            <w:r w:rsidRPr="005D4F27">
              <w:rPr>
                <w:rFonts w:eastAsia="Calibri"/>
              </w:rPr>
              <w:t>Probennahmetechnik</w:t>
            </w:r>
            <w:proofErr w:type="spellEnd"/>
            <w:r w:rsidRPr="005D4F27">
              <w:rPr>
                <w:rFonts w:eastAsia="Calibri"/>
              </w:rPr>
              <w:t>, Messstellen</w:t>
            </w:r>
          </w:p>
        </w:tc>
        <w:tc>
          <w:tcPr>
            <w:tcW w:w="2525" w:type="dxa"/>
          </w:tcPr>
          <w:p w14:paraId="60C2D96A" w14:textId="77777777" w:rsidR="00B57E1B" w:rsidRPr="005D4F27" w:rsidRDefault="00B57E1B" w:rsidP="00FC7C49">
            <w:pPr>
              <w:ind w:left="57"/>
              <w:rPr>
                <w:rFonts w:eastAsia="Calibri"/>
              </w:rPr>
            </w:pPr>
            <w:r w:rsidRPr="005D4F27">
              <w:rPr>
                <w:rFonts w:eastAsia="Calibri"/>
              </w:rPr>
              <w:t>VDI 3865-2: 1998-01</w:t>
            </w:r>
          </w:p>
        </w:tc>
      </w:tr>
      <w:tr w:rsidR="00B57E1B" w:rsidRPr="005D4F27" w14:paraId="2E675E69" w14:textId="77777777" w:rsidTr="00FC7C49">
        <w:trPr>
          <w:cantSplit/>
          <w:trHeight w:val="397"/>
        </w:trPr>
        <w:tc>
          <w:tcPr>
            <w:tcW w:w="2748" w:type="dxa"/>
            <w:vMerge/>
            <w:tcBorders>
              <w:top w:val="single" w:sz="2" w:space="0" w:color="auto"/>
              <w:bottom w:val="single" w:sz="2" w:space="0" w:color="auto"/>
              <w:right w:val="single" w:sz="12" w:space="0" w:color="auto"/>
            </w:tcBorders>
          </w:tcPr>
          <w:p w14:paraId="74A65DDA" w14:textId="77777777" w:rsidR="00B57E1B" w:rsidRPr="005D4F27" w:rsidRDefault="00B57E1B" w:rsidP="00FC7C49">
            <w:pPr>
              <w:ind w:left="57"/>
              <w:rPr>
                <w:rFonts w:eastAsia="Calibri"/>
              </w:rPr>
            </w:pPr>
          </w:p>
        </w:tc>
        <w:tc>
          <w:tcPr>
            <w:tcW w:w="3749" w:type="dxa"/>
            <w:tcBorders>
              <w:left w:val="single" w:sz="12" w:space="0" w:color="auto"/>
            </w:tcBorders>
          </w:tcPr>
          <w:p w14:paraId="2D6B6B2F" w14:textId="77777777" w:rsidR="00B57E1B" w:rsidRPr="005D4F27" w:rsidRDefault="00B57E1B" w:rsidP="00FC7C49">
            <w:pPr>
              <w:ind w:left="57"/>
              <w:rPr>
                <w:rFonts w:eastAsia="Calibri"/>
              </w:rPr>
            </w:pPr>
            <w:r w:rsidRPr="005D4F27">
              <w:rPr>
                <w:rFonts w:eastAsia="Calibri"/>
              </w:rPr>
              <w:t>Anreicherungstechnik</w:t>
            </w:r>
          </w:p>
        </w:tc>
        <w:tc>
          <w:tcPr>
            <w:tcW w:w="2525" w:type="dxa"/>
          </w:tcPr>
          <w:p w14:paraId="0CFBAEA3" w14:textId="77777777" w:rsidR="00B57E1B" w:rsidRPr="005D4F27" w:rsidRDefault="00B57E1B" w:rsidP="00FC7C49">
            <w:pPr>
              <w:ind w:left="57"/>
              <w:rPr>
                <w:rFonts w:eastAsia="Calibri"/>
              </w:rPr>
            </w:pPr>
            <w:r w:rsidRPr="005D4F27">
              <w:rPr>
                <w:rFonts w:eastAsia="Calibri"/>
              </w:rPr>
              <w:t>VDI 3865-3: 1998-06</w:t>
            </w:r>
          </w:p>
        </w:tc>
      </w:tr>
      <w:tr w:rsidR="00B57E1B" w:rsidRPr="005D4F27" w14:paraId="07E9F336" w14:textId="77777777" w:rsidTr="00FC7C49">
        <w:trPr>
          <w:cantSplit/>
          <w:trHeight w:val="397"/>
        </w:trPr>
        <w:tc>
          <w:tcPr>
            <w:tcW w:w="2748" w:type="dxa"/>
            <w:vMerge/>
            <w:tcBorders>
              <w:top w:val="single" w:sz="2" w:space="0" w:color="auto"/>
              <w:bottom w:val="single" w:sz="2" w:space="0" w:color="auto"/>
              <w:right w:val="single" w:sz="12" w:space="0" w:color="auto"/>
            </w:tcBorders>
          </w:tcPr>
          <w:p w14:paraId="4E9DA8A7" w14:textId="77777777" w:rsidR="00B57E1B" w:rsidRPr="005D4F27" w:rsidRDefault="00B57E1B" w:rsidP="00FC7C49">
            <w:pPr>
              <w:ind w:left="57"/>
              <w:rPr>
                <w:rFonts w:eastAsia="Calibri"/>
              </w:rPr>
            </w:pPr>
          </w:p>
        </w:tc>
        <w:tc>
          <w:tcPr>
            <w:tcW w:w="3749" w:type="dxa"/>
            <w:tcBorders>
              <w:left w:val="single" w:sz="12" w:space="0" w:color="auto"/>
            </w:tcBorders>
          </w:tcPr>
          <w:p w14:paraId="115BE597" w14:textId="77777777" w:rsidR="00B57E1B" w:rsidRPr="005D4F27" w:rsidRDefault="00B57E1B" w:rsidP="00FC7C49">
            <w:pPr>
              <w:ind w:left="57"/>
              <w:rPr>
                <w:rFonts w:eastAsia="Calibri"/>
              </w:rPr>
            </w:pPr>
            <w:r w:rsidRPr="005D4F27">
              <w:rPr>
                <w:rFonts w:eastAsia="Calibri"/>
              </w:rPr>
              <w:t>Direktmesstechnik</w:t>
            </w:r>
          </w:p>
        </w:tc>
        <w:tc>
          <w:tcPr>
            <w:tcW w:w="2525" w:type="dxa"/>
          </w:tcPr>
          <w:p w14:paraId="0D8379F2" w14:textId="77777777" w:rsidR="00B57E1B" w:rsidRPr="005D4F27" w:rsidRDefault="00B57E1B" w:rsidP="00FC7C49">
            <w:pPr>
              <w:ind w:left="57"/>
              <w:rPr>
                <w:rFonts w:eastAsia="Calibri"/>
              </w:rPr>
            </w:pPr>
            <w:r w:rsidRPr="005D4F27">
              <w:rPr>
                <w:rFonts w:eastAsia="Calibri"/>
              </w:rPr>
              <w:t>VDI 3865-4: 2000-12</w:t>
            </w:r>
          </w:p>
        </w:tc>
      </w:tr>
      <w:tr w:rsidR="00B57E1B" w:rsidRPr="005D4F27" w14:paraId="2E1716EB" w14:textId="77777777" w:rsidTr="00FC7C49">
        <w:trPr>
          <w:cantSplit/>
          <w:trHeight w:val="250"/>
        </w:trPr>
        <w:tc>
          <w:tcPr>
            <w:tcW w:w="2748" w:type="dxa"/>
            <w:vMerge w:val="restart"/>
            <w:tcBorders>
              <w:top w:val="single" w:sz="2" w:space="0" w:color="auto"/>
              <w:bottom w:val="single" w:sz="2" w:space="0" w:color="auto"/>
              <w:right w:val="single" w:sz="12" w:space="0" w:color="auto"/>
            </w:tcBorders>
          </w:tcPr>
          <w:p w14:paraId="35241E3B" w14:textId="77777777" w:rsidR="00B57E1B" w:rsidRPr="005D4F27" w:rsidRDefault="00B57E1B" w:rsidP="00FC7C49">
            <w:pPr>
              <w:ind w:left="57"/>
              <w:rPr>
                <w:rFonts w:eastAsia="Calibri"/>
                <w:lang w:val="en-US"/>
              </w:rPr>
            </w:pPr>
            <w:r w:rsidRPr="005D4F27">
              <w:rPr>
                <w:rFonts w:eastAsia="Calibri"/>
                <w:lang w:val="en-US"/>
              </w:rPr>
              <w:t>CO</w:t>
            </w:r>
            <w:r w:rsidRPr="005D4F27">
              <w:rPr>
                <w:rFonts w:eastAsia="Calibri"/>
                <w:position w:val="-6"/>
                <w:sz w:val="16"/>
                <w:szCs w:val="16"/>
                <w:lang w:val="en-US"/>
              </w:rPr>
              <w:t>2</w:t>
            </w:r>
            <w:r w:rsidRPr="005D4F27">
              <w:rPr>
                <w:rFonts w:eastAsia="Calibri"/>
                <w:lang w:val="en-US"/>
              </w:rPr>
              <w:t>, CH</w:t>
            </w:r>
            <w:r w:rsidRPr="005D4F27">
              <w:rPr>
                <w:rFonts w:eastAsia="Calibri"/>
                <w:position w:val="-6"/>
                <w:sz w:val="16"/>
                <w:szCs w:val="16"/>
                <w:lang w:val="en-US"/>
              </w:rPr>
              <w:t>4</w:t>
            </w:r>
            <w:r w:rsidRPr="005D4F27">
              <w:rPr>
                <w:rFonts w:eastAsia="Calibri"/>
                <w:lang w:val="en-US"/>
              </w:rPr>
              <w:t>, O</w:t>
            </w:r>
            <w:r w:rsidRPr="005D4F27">
              <w:rPr>
                <w:rFonts w:eastAsia="Calibri"/>
                <w:position w:val="-6"/>
                <w:sz w:val="16"/>
                <w:szCs w:val="16"/>
                <w:lang w:val="en-US"/>
              </w:rPr>
              <w:t>2</w:t>
            </w:r>
            <w:r w:rsidRPr="005D4F27">
              <w:rPr>
                <w:rFonts w:eastAsia="Calibri"/>
                <w:lang w:val="en-US"/>
              </w:rPr>
              <w:t>, N</w:t>
            </w:r>
            <w:r w:rsidRPr="005D4F27">
              <w:rPr>
                <w:rFonts w:eastAsia="Calibri"/>
                <w:position w:val="-6"/>
                <w:sz w:val="16"/>
                <w:szCs w:val="16"/>
                <w:lang w:val="en-US"/>
              </w:rPr>
              <w:t>2</w:t>
            </w:r>
            <w:r w:rsidRPr="005D4F27">
              <w:rPr>
                <w:rFonts w:eastAsia="Calibri"/>
                <w:lang w:val="en-US"/>
              </w:rPr>
              <w:t>, H</w:t>
            </w:r>
            <w:r w:rsidRPr="005D4F27">
              <w:rPr>
                <w:rFonts w:eastAsia="Calibri"/>
                <w:position w:val="-6"/>
                <w:sz w:val="16"/>
                <w:szCs w:val="16"/>
                <w:lang w:val="en-US"/>
              </w:rPr>
              <w:t>2</w:t>
            </w:r>
            <w:r w:rsidRPr="005D4F27">
              <w:rPr>
                <w:rFonts w:eastAsia="Calibri"/>
                <w:lang w:val="en-US"/>
              </w:rPr>
              <w:t>S; NH</w:t>
            </w:r>
            <w:r w:rsidRPr="005D4F27">
              <w:rPr>
                <w:rFonts w:eastAsia="Calibri"/>
                <w:position w:val="-6"/>
                <w:sz w:val="16"/>
                <w:szCs w:val="16"/>
                <w:lang w:val="en-US"/>
              </w:rPr>
              <w:t>3</w:t>
            </w:r>
          </w:p>
        </w:tc>
        <w:tc>
          <w:tcPr>
            <w:tcW w:w="3749" w:type="dxa"/>
            <w:tcBorders>
              <w:left w:val="single" w:sz="12" w:space="0" w:color="auto"/>
            </w:tcBorders>
          </w:tcPr>
          <w:p w14:paraId="45A89F71" w14:textId="77777777" w:rsidR="00B57E1B" w:rsidRPr="005D4F27" w:rsidRDefault="00B57E1B" w:rsidP="00FC7C49">
            <w:pPr>
              <w:ind w:left="57"/>
              <w:rPr>
                <w:rFonts w:eastAsia="Calibri"/>
              </w:rPr>
            </w:pPr>
            <w:r w:rsidRPr="005D4F27">
              <w:rPr>
                <w:rFonts w:eastAsia="Calibri"/>
              </w:rPr>
              <w:t>Messplanung</w:t>
            </w:r>
          </w:p>
        </w:tc>
        <w:tc>
          <w:tcPr>
            <w:tcW w:w="2525" w:type="dxa"/>
          </w:tcPr>
          <w:p w14:paraId="70F97C01" w14:textId="77777777" w:rsidR="00B57E1B" w:rsidRPr="005D4F27" w:rsidRDefault="00B57E1B" w:rsidP="00FC7C49">
            <w:pPr>
              <w:ind w:left="57"/>
              <w:rPr>
                <w:rFonts w:eastAsia="Calibri"/>
              </w:rPr>
            </w:pPr>
            <w:r w:rsidRPr="003C6178">
              <w:rPr>
                <w:rFonts w:ascii="Times" w:eastAsia="Times" w:hAnsi="Times" w:cs="Times"/>
                <w:sz w:val="26"/>
              </w:rPr>
              <w:t xml:space="preserve"> </w:t>
            </w:r>
            <w:r w:rsidRPr="003C6178">
              <w:rPr>
                <w:rFonts w:eastAsia="Calibri"/>
              </w:rPr>
              <w:t>VDI 3860-4:2012-06</w:t>
            </w:r>
          </w:p>
        </w:tc>
      </w:tr>
      <w:tr w:rsidR="00B57E1B" w:rsidRPr="005D4F27" w14:paraId="41FF1F53" w14:textId="77777777" w:rsidTr="00FC7C49">
        <w:trPr>
          <w:cantSplit/>
          <w:trHeight w:val="250"/>
        </w:trPr>
        <w:tc>
          <w:tcPr>
            <w:tcW w:w="2748" w:type="dxa"/>
            <w:vMerge/>
            <w:tcBorders>
              <w:top w:val="single" w:sz="2" w:space="0" w:color="auto"/>
              <w:bottom w:val="single" w:sz="2" w:space="0" w:color="auto"/>
              <w:right w:val="single" w:sz="12" w:space="0" w:color="auto"/>
            </w:tcBorders>
          </w:tcPr>
          <w:p w14:paraId="46D70638" w14:textId="77777777" w:rsidR="00B57E1B" w:rsidRPr="005D4F27" w:rsidRDefault="00B57E1B" w:rsidP="00FC7C49">
            <w:pPr>
              <w:ind w:left="57"/>
              <w:rPr>
                <w:rFonts w:eastAsia="Calibri"/>
              </w:rPr>
            </w:pPr>
          </w:p>
        </w:tc>
        <w:tc>
          <w:tcPr>
            <w:tcW w:w="3749" w:type="dxa"/>
            <w:tcBorders>
              <w:left w:val="single" w:sz="12" w:space="0" w:color="auto"/>
            </w:tcBorders>
          </w:tcPr>
          <w:p w14:paraId="42166BCF" w14:textId="77777777" w:rsidR="00B57E1B" w:rsidRPr="005D4F27" w:rsidRDefault="00B57E1B" w:rsidP="00FC7C49">
            <w:pPr>
              <w:ind w:left="57"/>
              <w:rPr>
                <w:rFonts w:eastAsia="Calibri"/>
              </w:rPr>
            </w:pPr>
            <w:r w:rsidRPr="005D4F27">
              <w:rPr>
                <w:rFonts w:eastAsia="Calibri"/>
              </w:rPr>
              <w:t>Bestimmung der Haupt- und Spurenkomponenten</w:t>
            </w:r>
          </w:p>
        </w:tc>
        <w:tc>
          <w:tcPr>
            <w:tcW w:w="2525" w:type="dxa"/>
          </w:tcPr>
          <w:p w14:paraId="7132B964" w14:textId="77777777" w:rsidR="00B57E1B" w:rsidRPr="005D4F27" w:rsidRDefault="00B57E1B" w:rsidP="00FC7C49">
            <w:pPr>
              <w:ind w:left="57"/>
              <w:rPr>
                <w:rFonts w:eastAsia="Calibri"/>
              </w:rPr>
            </w:pPr>
            <w:r w:rsidRPr="003C6178">
              <w:rPr>
                <w:rFonts w:ascii="Times" w:eastAsia="Times" w:hAnsi="Times" w:cs="Times"/>
                <w:sz w:val="26"/>
              </w:rPr>
              <w:t xml:space="preserve"> </w:t>
            </w:r>
            <w:r w:rsidRPr="003C6178">
              <w:rPr>
                <w:rFonts w:eastAsia="Calibri"/>
              </w:rPr>
              <w:t>VDI 3860-2:2019-05</w:t>
            </w:r>
          </w:p>
        </w:tc>
      </w:tr>
      <w:tr w:rsidR="00B57E1B" w:rsidRPr="005D4F27" w14:paraId="18F2C7E2" w14:textId="77777777" w:rsidTr="00FC7C49">
        <w:trPr>
          <w:cantSplit/>
          <w:trHeight w:val="250"/>
        </w:trPr>
        <w:tc>
          <w:tcPr>
            <w:tcW w:w="2748" w:type="dxa"/>
            <w:vMerge/>
            <w:tcBorders>
              <w:top w:val="single" w:sz="2" w:space="0" w:color="auto"/>
              <w:bottom w:val="single" w:sz="12" w:space="0" w:color="auto"/>
              <w:right w:val="single" w:sz="12" w:space="0" w:color="auto"/>
            </w:tcBorders>
          </w:tcPr>
          <w:p w14:paraId="73617F80" w14:textId="77777777" w:rsidR="00B57E1B" w:rsidRPr="005D4F27" w:rsidRDefault="00B57E1B" w:rsidP="00FC7C49">
            <w:pPr>
              <w:ind w:left="57"/>
              <w:rPr>
                <w:rFonts w:eastAsia="Calibri"/>
              </w:rPr>
            </w:pPr>
          </w:p>
        </w:tc>
        <w:tc>
          <w:tcPr>
            <w:tcW w:w="3749" w:type="dxa"/>
            <w:tcBorders>
              <w:left w:val="single" w:sz="12" w:space="0" w:color="auto"/>
            </w:tcBorders>
          </w:tcPr>
          <w:p w14:paraId="7E655538" w14:textId="77777777" w:rsidR="00B57E1B" w:rsidRPr="005D4F27" w:rsidRDefault="00B57E1B" w:rsidP="00FC7C49">
            <w:pPr>
              <w:spacing w:line="240" w:lineRule="exact"/>
              <w:ind w:left="57"/>
              <w:rPr>
                <w:rFonts w:eastAsia="Calibri"/>
              </w:rPr>
            </w:pPr>
            <w:r w:rsidRPr="005D4F27">
              <w:rPr>
                <w:rFonts w:eastAsia="Calibri"/>
              </w:rPr>
              <w:t>Diffuse CH</w:t>
            </w:r>
            <w:r w:rsidRPr="005D4F27">
              <w:rPr>
                <w:rFonts w:eastAsia="Calibri"/>
                <w:position w:val="-6"/>
                <w:sz w:val="16"/>
                <w:szCs w:val="16"/>
              </w:rPr>
              <w:t>4</w:t>
            </w:r>
            <w:r w:rsidRPr="005D4F27">
              <w:rPr>
                <w:rFonts w:eastAsia="Calibri"/>
              </w:rPr>
              <w:t>-Ausgasung; oberflächennahe CH</w:t>
            </w:r>
            <w:r w:rsidRPr="005D4F27">
              <w:rPr>
                <w:rFonts w:eastAsia="Calibri"/>
                <w:position w:val="-6"/>
                <w:sz w:val="16"/>
                <w:szCs w:val="16"/>
              </w:rPr>
              <w:t>4</w:t>
            </w:r>
            <w:r w:rsidRPr="005D4F27">
              <w:rPr>
                <w:rFonts w:eastAsia="Calibri"/>
              </w:rPr>
              <w:t>-Bestimmung</w:t>
            </w:r>
          </w:p>
        </w:tc>
        <w:tc>
          <w:tcPr>
            <w:tcW w:w="2525" w:type="dxa"/>
          </w:tcPr>
          <w:p w14:paraId="10835223" w14:textId="77777777" w:rsidR="00B57E1B" w:rsidRPr="005D4F27" w:rsidRDefault="00B57E1B" w:rsidP="00FC7C49">
            <w:pPr>
              <w:ind w:left="57"/>
              <w:rPr>
                <w:rFonts w:eastAsia="Calibri"/>
              </w:rPr>
            </w:pPr>
            <w:r w:rsidRPr="003C6178">
              <w:rPr>
                <w:rFonts w:ascii="Times" w:eastAsia="Times" w:hAnsi="Times" w:cs="Times"/>
                <w:sz w:val="26"/>
              </w:rPr>
              <w:t xml:space="preserve"> </w:t>
            </w:r>
            <w:r w:rsidRPr="003C6178">
              <w:rPr>
                <w:rFonts w:eastAsia="Calibri"/>
              </w:rPr>
              <w:t>VDI 3860-3:2017-11</w:t>
            </w:r>
          </w:p>
        </w:tc>
      </w:tr>
    </w:tbl>
    <w:p w14:paraId="33D3E246" w14:textId="77777777" w:rsidR="00B57E1B" w:rsidRDefault="00B57E1B" w:rsidP="00B57E1B">
      <w:pPr>
        <w:sectPr w:rsidR="00B57E1B" w:rsidSect="007947FE">
          <w:pgSz w:w="11907" w:h="16839"/>
          <w:pgMar w:top="1134" w:right="1417" w:bottom="1134" w:left="1701" w:header="709" w:footer="709" w:gutter="0"/>
          <w:cols w:space="708"/>
          <w:docGrid w:linePitch="360"/>
        </w:sectPr>
      </w:pPr>
    </w:p>
    <w:p w14:paraId="0A0C6B9C" w14:textId="1988E55D" w:rsidR="00B57E1B" w:rsidRPr="00B57E1B" w:rsidRDefault="00B57E1B" w:rsidP="00B57E1B">
      <w:pPr>
        <w:pStyle w:val="AnlageBezeichnernummeriert"/>
      </w:pPr>
    </w:p>
    <w:p w14:paraId="6AF8799F" w14:textId="1E45A023" w:rsidR="00B57E1B" w:rsidRPr="00B57E1B" w:rsidRDefault="00B57E1B" w:rsidP="00B57E1B">
      <w:pPr>
        <w:pStyle w:val="AnlageVerweis"/>
      </w:pPr>
      <w:r w:rsidRPr="008D0377">
        <w:t>(zu § 27 Absatz 1 Satz 1)</w:t>
      </w:r>
    </w:p>
    <w:p w14:paraId="7408E065" w14:textId="3FBDAF3C" w:rsidR="00B57E1B" w:rsidRPr="00B57E1B" w:rsidRDefault="00B57E1B" w:rsidP="00B57E1B">
      <w:pPr>
        <w:pStyle w:val="Anlageberschrift"/>
      </w:pPr>
      <w:bookmarkStart w:id="92" w:name="_Toc64379988"/>
      <w:r w:rsidRPr="008D0377">
        <w:t>Technische Regeln und Normen</w:t>
      </w:r>
      <w:bookmarkEnd w:id="92"/>
    </w:p>
    <w:p w14:paraId="3ED65C0B" w14:textId="77777777" w:rsidR="00B57E1B" w:rsidRPr="008D0377" w:rsidRDefault="00B57E1B" w:rsidP="00B57E1B">
      <w:pPr>
        <w:pStyle w:val="Text"/>
      </w:pPr>
      <w:r w:rsidRPr="008D0377">
        <w:t>DIN 18300:2019-09</w:t>
      </w:r>
    </w:p>
    <w:p w14:paraId="4095F5CD" w14:textId="77777777" w:rsidR="00B57E1B" w:rsidRPr="008D0377" w:rsidRDefault="00B57E1B" w:rsidP="00B57E1B">
      <w:pPr>
        <w:pStyle w:val="Text"/>
      </w:pPr>
      <w:r w:rsidRPr="008D0377">
        <w:t>VOB Vergabe- und Vertragsordnung für Bauleistungen - Teil C: Allgemeine Technische Vertragsbedingungen für Bauleistungen (ATV) – Erdarbeiten</w:t>
      </w:r>
    </w:p>
    <w:p w14:paraId="27E6B95B" w14:textId="3E812867" w:rsidR="00B57E1B" w:rsidRPr="008D0377" w:rsidRDefault="00B57E1B" w:rsidP="00B57E1B">
      <w:pPr>
        <w:pStyle w:val="Text"/>
      </w:pPr>
      <w:r w:rsidRPr="008D0377">
        <w:t>DIN EN ISO 17892-4:2017-04</w:t>
      </w:r>
    </w:p>
    <w:p w14:paraId="5961B1BF" w14:textId="77777777" w:rsidR="00B57E1B" w:rsidRPr="008D0377" w:rsidRDefault="00B57E1B" w:rsidP="00B57E1B">
      <w:pPr>
        <w:pStyle w:val="Text"/>
      </w:pPr>
      <w:r w:rsidRPr="008D0377">
        <w:t>Geotechnische Erkundung und Untersuchung - Laborversuche an Bodenproben - Teil 4: Bestimmung der Korngrößenverteilung</w:t>
      </w:r>
    </w:p>
    <w:p w14:paraId="0D6297E3" w14:textId="7BF7CBB5" w:rsidR="003D2A28" w:rsidRDefault="00B57E1B" w:rsidP="00B57E1B">
      <w:pPr>
        <w:pStyle w:val="Text"/>
      </w:pPr>
      <w:r w:rsidRPr="008D0377">
        <w:t>DIN 18915:2018-06</w:t>
      </w:r>
    </w:p>
    <w:p w14:paraId="7FED34AD" w14:textId="56E43F70" w:rsidR="00B57E1B" w:rsidRPr="008D0377" w:rsidRDefault="00B57E1B" w:rsidP="00B57E1B">
      <w:pPr>
        <w:pStyle w:val="Text"/>
      </w:pPr>
      <w:r w:rsidRPr="008D0377">
        <w:t>Vegetationstechnik im Landschaftsbau – Bodenarbeiten</w:t>
      </w:r>
    </w:p>
    <w:p w14:paraId="1A2866E3" w14:textId="6C4EEC37" w:rsidR="00B57E1B" w:rsidRPr="008D0377" w:rsidRDefault="00B57E1B" w:rsidP="00B57E1B">
      <w:pPr>
        <w:pStyle w:val="Text"/>
      </w:pPr>
      <w:r w:rsidRPr="008D0377">
        <w:t>DIN 18919:2016-12</w:t>
      </w:r>
    </w:p>
    <w:p w14:paraId="1AFFC8DE" w14:textId="77777777" w:rsidR="00B57E1B" w:rsidRPr="008D0377" w:rsidRDefault="00B57E1B" w:rsidP="00B57E1B">
      <w:pPr>
        <w:pStyle w:val="Text"/>
      </w:pPr>
      <w:r w:rsidRPr="008D0377">
        <w:t>Vegetationstechnik im Landschaftsbau - Instandhaltungsleistungen für die Entwicklung und Unterhaltung von Vegetation (Entwicklungs- und Unterhaltungspflege)</w:t>
      </w:r>
    </w:p>
    <w:p w14:paraId="0E5305D6" w14:textId="2AC8F7C9" w:rsidR="00B57E1B" w:rsidRPr="008D0377" w:rsidRDefault="00B57E1B" w:rsidP="00B57E1B">
      <w:pPr>
        <w:pStyle w:val="Text"/>
      </w:pPr>
      <w:r w:rsidRPr="008D0377">
        <w:t>DIN 19639:2019-09</w:t>
      </w:r>
    </w:p>
    <w:p w14:paraId="22139938" w14:textId="77777777" w:rsidR="00B57E1B" w:rsidRPr="008D0377" w:rsidRDefault="00B57E1B" w:rsidP="00B57E1B">
      <w:pPr>
        <w:pStyle w:val="Text"/>
      </w:pPr>
      <w:r w:rsidRPr="008D0377">
        <w:t>Bodenschutz bei der Planung und Durchführung von Bauvorhaben</w:t>
      </w:r>
    </w:p>
    <w:p w14:paraId="73E56277" w14:textId="7AD6B2F5" w:rsidR="00B57E1B" w:rsidRPr="008D0377" w:rsidRDefault="00B57E1B" w:rsidP="00B57E1B">
      <w:pPr>
        <w:pStyle w:val="Text"/>
      </w:pPr>
      <w:r w:rsidRPr="008D0377">
        <w:t>DIN 19706:2013-02</w:t>
      </w:r>
    </w:p>
    <w:p w14:paraId="41FF72CE" w14:textId="77777777" w:rsidR="00B57E1B" w:rsidRPr="008D0377" w:rsidRDefault="00B57E1B" w:rsidP="00B57E1B">
      <w:pPr>
        <w:pStyle w:val="Text"/>
      </w:pPr>
      <w:r w:rsidRPr="008D0377">
        <w:t>Bodenbeschaffenheit - Ermittlung der Erosionsgefährdung von Böden durch Wind</w:t>
      </w:r>
    </w:p>
    <w:p w14:paraId="6DD99B1B" w14:textId="199C5226" w:rsidR="00B57E1B" w:rsidRPr="008D0377" w:rsidRDefault="00B57E1B" w:rsidP="00B57E1B">
      <w:pPr>
        <w:pStyle w:val="Text"/>
      </w:pPr>
      <w:r w:rsidRPr="008D0377">
        <w:t>DIN 19708:2017-08Bodenbeschaffenheit - Ermittlung der Erosionsgefährdung von Böden durch Wasser mit Hilfe der ABAG</w:t>
      </w:r>
    </w:p>
    <w:p w14:paraId="7F5F8CBD" w14:textId="1D083A13" w:rsidR="00B57E1B" w:rsidRPr="008D0377" w:rsidRDefault="00B57E1B" w:rsidP="00B57E1B">
      <w:pPr>
        <w:pStyle w:val="Text"/>
      </w:pPr>
      <w:r w:rsidRPr="008D0377">
        <w:t>DIN 19731:1998-05</w:t>
      </w:r>
    </w:p>
    <w:p w14:paraId="0FA71936" w14:textId="77777777" w:rsidR="00B57E1B" w:rsidRPr="008D0377" w:rsidRDefault="00B57E1B" w:rsidP="00B57E1B">
      <w:pPr>
        <w:pStyle w:val="Text"/>
      </w:pPr>
      <w:r w:rsidRPr="008D0377">
        <w:t>Bodenbeschaffenheit - Verwertung von Bodenmaterial</w:t>
      </w:r>
    </w:p>
    <w:p w14:paraId="581CB6BB" w14:textId="5FA89C34" w:rsidR="00B57E1B" w:rsidRPr="008D0377" w:rsidRDefault="00B57E1B" w:rsidP="00B57E1B">
      <w:pPr>
        <w:pStyle w:val="Text"/>
      </w:pPr>
      <w:r w:rsidRPr="008D0377">
        <w:t>DIN 19747:2009-07</w:t>
      </w:r>
    </w:p>
    <w:p w14:paraId="609B1719" w14:textId="77777777" w:rsidR="00B57E1B" w:rsidRPr="008D0377" w:rsidRDefault="00B57E1B" w:rsidP="00B57E1B">
      <w:pPr>
        <w:pStyle w:val="Text"/>
      </w:pPr>
      <w:r w:rsidRPr="008D0377">
        <w:t>Untersuchung von Feststoffen – Probenvorbehandlung, -vorbereitung und -aufarbeitung für chemische, biologische und physikalische Untersuchungen</w:t>
      </w:r>
    </w:p>
    <w:p w14:paraId="6A92CA60" w14:textId="627D64A9" w:rsidR="00B57E1B" w:rsidRPr="008D0377" w:rsidRDefault="00B57E1B" w:rsidP="00B57E1B">
      <w:pPr>
        <w:pStyle w:val="Text"/>
      </w:pPr>
      <w:r w:rsidRPr="008D0377">
        <w:t>DIN 19528:2009-01</w:t>
      </w:r>
    </w:p>
    <w:p w14:paraId="1C6AC501" w14:textId="77777777" w:rsidR="00B57E1B" w:rsidRPr="008D0377" w:rsidRDefault="00B57E1B" w:rsidP="00B57E1B">
      <w:pPr>
        <w:pStyle w:val="Text"/>
      </w:pPr>
      <w:r w:rsidRPr="008D0377">
        <w:t xml:space="preserve">Elution von Feststoffen - Perkolationsverfahren zur gemeinsamen Untersuchung des </w:t>
      </w:r>
      <w:proofErr w:type="spellStart"/>
      <w:r w:rsidRPr="008D0377">
        <w:t>Elutionsverhaltens</w:t>
      </w:r>
      <w:proofErr w:type="spellEnd"/>
      <w:r w:rsidRPr="008D0377">
        <w:t xml:space="preserve"> von anorganischen und organischen Stoffen</w:t>
      </w:r>
    </w:p>
    <w:p w14:paraId="78CEA3AF" w14:textId="7F8B8534" w:rsidR="00B57E1B" w:rsidRPr="008D0377" w:rsidRDefault="00B57E1B" w:rsidP="00B57E1B">
      <w:pPr>
        <w:pStyle w:val="Text"/>
      </w:pPr>
      <w:r w:rsidRPr="008D0377">
        <w:t>DIN 19529:2015-12</w:t>
      </w:r>
    </w:p>
    <w:p w14:paraId="2A6A64CA" w14:textId="77777777" w:rsidR="00B57E1B" w:rsidRPr="008D0377" w:rsidRDefault="00B57E1B" w:rsidP="00B57E1B">
      <w:pPr>
        <w:pStyle w:val="Text"/>
      </w:pPr>
      <w:r w:rsidRPr="008D0377">
        <w:t xml:space="preserve">Elution von Feststoffen - Schüttelverfahren zur Untersuchung des </w:t>
      </w:r>
      <w:proofErr w:type="spellStart"/>
      <w:r w:rsidRPr="008D0377">
        <w:t>Elutionsverhaltens</w:t>
      </w:r>
      <w:proofErr w:type="spellEnd"/>
      <w:r w:rsidRPr="008D0377">
        <w:t xml:space="preserve"> von anorganischen und organischen Stoffen mit einem Wasser/Feststoff-Verhältnis von 2 l/kg</w:t>
      </w:r>
    </w:p>
    <w:p w14:paraId="5423B57C" w14:textId="2682059E" w:rsidR="00B57E1B" w:rsidRPr="008D0377" w:rsidRDefault="00B57E1B" w:rsidP="00B57E1B">
      <w:pPr>
        <w:pStyle w:val="Text"/>
      </w:pPr>
      <w:r w:rsidRPr="008D0377">
        <w:t>DIN 19539:2016-12</w:t>
      </w:r>
    </w:p>
    <w:p w14:paraId="78F630EF" w14:textId="77777777" w:rsidR="00B57E1B" w:rsidRPr="008D0377" w:rsidRDefault="00B57E1B" w:rsidP="00B57E1B">
      <w:pPr>
        <w:pStyle w:val="Text"/>
      </w:pPr>
      <w:r w:rsidRPr="008D0377">
        <w:lastRenderedPageBreak/>
        <w:t>Untersuchung von Feststoffen - Temperaturabhängige Differenzierung des Gesamtkohlenstoffs (TOC400, ROC, TIC900)</w:t>
      </w:r>
    </w:p>
    <w:p w14:paraId="41B18793" w14:textId="651E3D43" w:rsidR="00B57E1B" w:rsidRPr="008D0377" w:rsidRDefault="00B57E1B" w:rsidP="00B57E1B">
      <w:pPr>
        <w:pStyle w:val="Text"/>
      </w:pPr>
      <w:r w:rsidRPr="008D0377">
        <w:t>DIN 19738:2017-06</w:t>
      </w:r>
    </w:p>
    <w:p w14:paraId="52AAE5DF" w14:textId="77777777" w:rsidR="00B57E1B" w:rsidRPr="008D0377" w:rsidRDefault="00B57E1B" w:rsidP="00B57E1B">
      <w:pPr>
        <w:pStyle w:val="Text"/>
      </w:pPr>
      <w:r w:rsidRPr="008D0377">
        <w:t>Bodenbeschaffenheit - Resorptionsverfügbarkeit von organischen und anorganischen Schadstoffen aus kontaminiertem Bodenmaterial</w:t>
      </w:r>
    </w:p>
    <w:p w14:paraId="4952A6D9" w14:textId="54211C63" w:rsidR="00B57E1B" w:rsidRPr="008D0377" w:rsidRDefault="00B57E1B" w:rsidP="00B57E1B">
      <w:pPr>
        <w:pStyle w:val="Text"/>
      </w:pPr>
      <w:r w:rsidRPr="008D0377">
        <w:t>DIN 32645:2008-11</w:t>
      </w:r>
    </w:p>
    <w:p w14:paraId="02D7A795" w14:textId="77777777" w:rsidR="00B57E1B" w:rsidRPr="008D0377" w:rsidRDefault="00B57E1B" w:rsidP="00B57E1B">
      <w:pPr>
        <w:pStyle w:val="Text"/>
      </w:pPr>
      <w:r w:rsidRPr="008D0377">
        <w:t>Chemische Analytik - Nachweis-, Erfassungs- und Bestimmungsgrenze unter Wiederholbedingungen - Begriffe, Verfahren, Auswertung</w:t>
      </w:r>
    </w:p>
    <w:p w14:paraId="32FDC792" w14:textId="154AF522" w:rsidR="00B57E1B" w:rsidRPr="008D0377" w:rsidRDefault="00B57E1B" w:rsidP="00B57E1B">
      <w:pPr>
        <w:pStyle w:val="Text"/>
      </w:pPr>
      <w:r w:rsidRPr="008D0377">
        <w:t>DIN 38405-4:1985-07</w:t>
      </w:r>
    </w:p>
    <w:p w14:paraId="4CDE0D72" w14:textId="77777777" w:rsidR="00B57E1B" w:rsidRPr="008D0377" w:rsidRDefault="00B57E1B" w:rsidP="00B57E1B">
      <w:pPr>
        <w:pStyle w:val="Text"/>
      </w:pPr>
      <w:r w:rsidRPr="008D0377">
        <w:t>Deutsche Einheitsverfahren zur Wasser-, Abwasser- und Schlammuntersuchung; Anionen (Gruppe D); Bestimmung von Fluorid (D 4)</w:t>
      </w:r>
    </w:p>
    <w:p w14:paraId="64250E7D" w14:textId="77AAD3CB" w:rsidR="00B57E1B" w:rsidRPr="008D0377" w:rsidRDefault="00B57E1B" w:rsidP="00B57E1B">
      <w:pPr>
        <w:pStyle w:val="Text"/>
      </w:pPr>
      <w:r w:rsidRPr="008D0377">
        <w:t>DIN 38405-13:2011-04</w:t>
      </w:r>
    </w:p>
    <w:p w14:paraId="7CA9C59F" w14:textId="77777777" w:rsidR="00B57E1B" w:rsidRPr="008D0377" w:rsidRDefault="00B57E1B" w:rsidP="00B57E1B">
      <w:pPr>
        <w:pStyle w:val="Text"/>
      </w:pPr>
      <w:r w:rsidRPr="008D0377">
        <w:t>Deutsche Einheitsverfahren zur Wasser-, Abwasser- und Schlammuntersuchung - Anionen (Gruppe D) – Teil 13: Bestimmung von Cyaniden (D 13)</w:t>
      </w:r>
    </w:p>
    <w:p w14:paraId="200BDBCA" w14:textId="6F8C06A8" w:rsidR="00B57E1B" w:rsidRPr="008D0377" w:rsidRDefault="00B57E1B" w:rsidP="00B57E1B">
      <w:pPr>
        <w:pStyle w:val="Text"/>
      </w:pPr>
      <w:r w:rsidRPr="008D0377">
        <w:t>DIN 38407-27:2012-10</w:t>
      </w:r>
    </w:p>
    <w:p w14:paraId="01FB9AF8" w14:textId="77777777" w:rsidR="00B57E1B" w:rsidRPr="008D0377" w:rsidRDefault="00B57E1B" w:rsidP="00B57E1B">
      <w:pPr>
        <w:pStyle w:val="Text"/>
      </w:pPr>
      <w:r w:rsidRPr="008D0377">
        <w:t>Deutsche Einheitsverfahren zur Wasser-, Abwasser- und Schlammuntersuchung - Gemeinsam erfassbare Stoffgruppen (Gruppe F) – Teil 27: Bestimmung ausgewählter Phenole in Grund- und Bodensickerwasser, wässrigen Eluaten und Perkolaten (F 27)</w:t>
      </w:r>
    </w:p>
    <w:p w14:paraId="18E71EBB" w14:textId="69E85B3B" w:rsidR="00B57E1B" w:rsidRPr="008D0377" w:rsidRDefault="00B57E1B" w:rsidP="00B57E1B">
      <w:pPr>
        <w:pStyle w:val="Text"/>
      </w:pPr>
      <w:r w:rsidRPr="008D0377">
        <w:t>DIN 38407-37:2013-11</w:t>
      </w:r>
    </w:p>
    <w:p w14:paraId="7592BD9A" w14:textId="77777777" w:rsidR="00B57E1B" w:rsidRPr="008D0377" w:rsidRDefault="00B57E1B" w:rsidP="00B57E1B">
      <w:pPr>
        <w:pStyle w:val="Text"/>
      </w:pPr>
      <w:r w:rsidRPr="008D0377">
        <w:t xml:space="preserve">Deutsche Einheitsverfahren zur Wasser-, Abwasser- und Schlammuntersuchung - Gemeinsam erfassbare Stoffgruppen (Gruppe F) – Teil 37: Bestimmung von </w:t>
      </w:r>
      <w:proofErr w:type="spellStart"/>
      <w:r w:rsidRPr="008D0377">
        <w:t>Organochlorpestiziden</w:t>
      </w:r>
      <w:proofErr w:type="spellEnd"/>
      <w:r w:rsidRPr="008D0377">
        <w:t xml:space="preserve">, </w:t>
      </w:r>
      <w:proofErr w:type="spellStart"/>
      <w:r w:rsidRPr="008D0377">
        <w:t>Polychlorbiphenylen</w:t>
      </w:r>
      <w:proofErr w:type="spellEnd"/>
      <w:r w:rsidRPr="008D0377">
        <w:t xml:space="preserve"> und Chlorbenzolen in Wasser - Verfahren mittels Gaschromatographie und massenspektrometrischer Detektion (GC-MS) nach Flüssig-Flüssig-Extraktion (F 37)</w:t>
      </w:r>
    </w:p>
    <w:p w14:paraId="7AD3ED53" w14:textId="1200DE8C" w:rsidR="00B57E1B" w:rsidRPr="008D0377" w:rsidRDefault="00B57E1B" w:rsidP="00B57E1B">
      <w:pPr>
        <w:pStyle w:val="Text"/>
      </w:pPr>
      <w:r w:rsidRPr="008D0377">
        <w:t>DIN 38407-39:2011-09</w:t>
      </w:r>
    </w:p>
    <w:p w14:paraId="2F44823D" w14:textId="77777777" w:rsidR="00B57E1B" w:rsidRPr="008D0377" w:rsidRDefault="00B57E1B" w:rsidP="00B57E1B">
      <w:pPr>
        <w:pStyle w:val="Text"/>
      </w:pPr>
      <w:r w:rsidRPr="008D0377">
        <w:t>Deutsche Einheitsverfahren zur Wasser-, Abwasser- und Schlammuntersuchung - Gemeinsam erfassbare Stoffgruppen (Gruppe F) – Teil 39: Bestimmung ausgewählter polycyclischer aromatischer Kohlenwasserstoffe (PAK) - Verfahren mittels Gaschromatographie und massenspektrometrischer Detektion (GC-MS) (F 39)</w:t>
      </w:r>
    </w:p>
    <w:p w14:paraId="61D048B5" w14:textId="46665ADB" w:rsidR="00B57E1B" w:rsidRPr="008D0377" w:rsidRDefault="00B57E1B" w:rsidP="00B57E1B">
      <w:pPr>
        <w:pStyle w:val="Text"/>
      </w:pPr>
      <w:r w:rsidRPr="008D0377">
        <w:t>DIN 38407-42:2011-03</w:t>
      </w:r>
    </w:p>
    <w:p w14:paraId="0E823F45" w14:textId="77777777" w:rsidR="00B57E1B" w:rsidRPr="008D0377" w:rsidRDefault="00B57E1B" w:rsidP="00B57E1B">
      <w:pPr>
        <w:pStyle w:val="Text"/>
      </w:pPr>
      <w:r w:rsidRPr="008D0377">
        <w:t>Deutsche Einheitsverfahren zur Wasser-, Abwasser- und Schlammuntersuchung - Gemeinsam erfassbare Stoffgruppen (Gruppe F) – Teil 42: Bestimmung ausgewählter polyfluorierter Verbindungen (PFC) in Wasser - Verfahren mittels Hochleistungs-Flüssigkeitschromatographie und massenspektrometrischer Detektion (HPLC-MS/MS) nach Fest- Flüssig-Extraktion (F 42)</w:t>
      </w:r>
    </w:p>
    <w:p w14:paraId="6A21F1EB" w14:textId="5FB84DA9" w:rsidR="00B57E1B" w:rsidRPr="008D0377" w:rsidRDefault="00B57E1B" w:rsidP="00B57E1B">
      <w:pPr>
        <w:pStyle w:val="Text"/>
      </w:pPr>
      <w:r w:rsidRPr="008D0377">
        <w:t>DIN 38407-43:2014-10</w:t>
      </w:r>
    </w:p>
    <w:p w14:paraId="334AB3DE" w14:textId="77777777" w:rsidR="00B57E1B" w:rsidRPr="008D0377" w:rsidRDefault="00B57E1B" w:rsidP="00B57E1B">
      <w:pPr>
        <w:pStyle w:val="Text"/>
      </w:pPr>
      <w:r w:rsidRPr="008D0377">
        <w:t xml:space="preserve">Deutsche Einheitsverfahren zur Wasser-, Abwasser- und Schlammuntersuchung - Gemeinsam erfassbare Stoffgruppen (Gruppe F) – Teil 43: Bestimmung ausgewählter leichtflüchtiger organischer Verbindungen in Wasser - Verfahren mittels Gaschromatographie und Massenspektrometrie nach statischer </w:t>
      </w:r>
      <w:proofErr w:type="spellStart"/>
      <w:r w:rsidRPr="008D0377">
        <w:t>Headspacetechnik</w:t>
      </w:r>
      <w:proofErr w:type="spellEnd"/>
      <w:r w:rsidRPr="008D0377">
        <w:t xml:space="preserve"> (HS-GC-MS) (F 43)</w:t>
      </w:r>
    </w:p>
    <w:p w14:paraId="48002DAC" w14:textId="3C883EE3" w:rsidR="00B57E1B" w:rsidRPr="008D0377" w:rsidRDefault="00B57E1B" w:rsidP="00B57E1B">
      <w:pPr>
        <w:pStyle w:val="Text"/>
      </w:pPr>
      <w:r w:rsidRPr="008D0377">
        <w:lastRenderedPageBreak/>
        <w:t>DIN 38414-8:1985-06</w:t>
      </w:r>
    </w:p>
    <w:p w14:paraId="49E50D41" w14:textId="77777777" w:rsidR="00B57E1B" w:rsidRPr="008D0377" w:rsidRDefault="00B57E1B" w:rsidP="00B57E1B">
      <w:pPr>
        <w:pStyle w:val="Text"/>
      </w:pPr>
      <w:r w:rsidRPr="008D0377">
        <w:t>Deutsche Einheitsverfahren zur Wasser-, Abwasser- und Schlammuntersuchung; Schlamm und Sedimente (Gruppe S); Bestimmung des Faulverhaltens (S 8)</w:t>
      </w:r>
    </w:p>
    <w:p w14:paraId="1FC59CF6" w14:textId="51E152EB" w:rsidR="00B57E1B" w:rsidRPr="008D0377" w:rsidRDefault="00B57E1B" w:rsidP="00B57E1B">
      <w:pPr>
        <w:pStyle w:val="Text"/>
      </w:pPr>
      <w:r w:rsidRPr="008D0377">
        <w:t>DIN 38414-14:2011-08</w:t>
      </w:r>
    </w:p>
    <w:p w14:paraId="7B23483B" w14:textId="77777777" w:rsidR="00B57E1B" w:rsidRPr="008D0377" w:rsidRDefault="00B57E1B" w:rsidP="00B57E1B">
      <w:pPr>
        <w:pStyle w:val="Text"/>
      </w:pPr>
      <w:r w:rsidRPr="008D0377">
        <w:t>Deutsche Einheitsverfahren zur Wasser-, Abwasser- und Schlammuntersuchung - Schlamm und Sedimente (Gruppe S) – Teil 14: Bestimmung ausgewählter polyfluorierter Verbindungen (PFC) in Schlamm, Kompost und Boden - Verfahren mittels Hochleistungs-Flüssigkeitschromatographie und massenspektrometrischer Detektion (HPLC-MS/MS) (S 14)</w:t>
      </w:r>
    </w:p>
    <w:p w14:paraId="1F61AA00" w14:textId="4C36F403" w:rsidR="00B57E1B" w:rsidRPr="008D0377" w:rsidRDefault="00B57E1B" w:rsidP="00B57E1B">
      <w:pPr>
        <w:pStyle w:val="Text"/>
      </w:pPr>
      <w:r w:rsidRPr="008D0377">
        <w:t>DIN 38414-17:2017-01</w:t>
      </w:r>
    </w:p>
    <w:p w14:paraId="00C38A63" w14:textId="77777777" w:rsidR="00B57E1B" w:rsidRPr="008D0377" w:rsidRDefault="00B57E1B" w:rsidP="00B57E1B">
      <w:pPr>
        <w:pStyle w:val="Text"/>
      </w:pPr>
      <w:r w:rsidRPr="008D0377">
        <w:t>Deutsche Einheitsverfahren zur Wasser-, Abwasser- und Schlammuntersuchung - Schlamm und Sedimente (Gruppe S) - Teil 17: Bestimmung von extrahierbaren organisch gebundenen Halogenen (EOX) (S 17)</w:t>
      </w:r>
    </w:p>
    <w:p w14:paraId="73CA4328" w14:textId="733BED7B" w:rsidR="00B57E1B" w:rsidRPr="008D0377" w:rsidRDefault="00B57E1B" w:rsidP="00B57E1B">
      <w:pPr>
        <w:pStyle w:val="Text"/>
      </w:pPr>
      <w:r w:rsidRPr="008D0377">
        <w:t>DIN 38414-24:2000-10</w:t>
      </w:r>
    </w:p>
    <w:p w14:paraId="317F4B05" w14:textId="77777777" w:rsidR="00B57E1B" w:rsidRPr="008D0377" w:rsidRDefault="00B57E1B" w:rsidP="00B57E1B">
      <w:pPr>
        <w:pStyle w:val="Text"/>
      </w:pPr>
      <w:r w:rsidRPr="008D0377">
        <w:t>Deutsche Einheitsverfahren zur Wasser-, Abwasser- und Schlammuntersuchung - Schlamm und Sedimente (Gruppe S) – Teil 24: Bestimmung von polychlorierten Dibenzodioxinen (PCDD) und polychlorierten Dibenzofuranen (PCDF) (S 24)</w:t>
      </w:r>
    </w:p>
    <w:p w14:paraId="3F09831E" w14:textId="5D127215" w:rsidR="00B57E1B" w:rsidRPr="008D0377" w:rsidRDefault="00B57E1B" w:rsidP="00B57E1B">
      <w:pPr>
        <w:pStyle w:val="Text"/>
      </w:pPr>
      <w:r w:rsidRPr="008D0377">
        <w:t>DIN EN 12673:1999-05</w:t>
      </w:r>
    </w:p>
    <w:p w14:paraId="6AF7FB6D" w14:textId="77777777" w:rsidR="00B57E1B" w:rsidRPr="008D0377" w:rsidRDefault="00B57E1B" w:rsidP="00B57E1B">
      <w:pPr>
        <w:pStyle w:val="Text"/>
      </w:pPr>
      <w:r w:rsidRPr="008D0377">
        <w:t>Wasserbeschaffenheit - Gaschromatographische Bestimmung einiger ausgewählter Chlorphenole in Wasser; Deutsche Fassung EN 12673:1998</w:t>
      </w:r>
    </w:p>
    <w:p w14:paraId="2069D85D" w14:textId="27AF66C6" w:rsidR="00B57E1B" w:rsidRPr="008D0377" w:rsidRDefault="00B57E1B" w:rsidP="00B57E1B">
      <w:pPr>
        <w:pStyle w:val="Text"/>
      </w:pPr>
      <w:r w:rsidRPr="008D0377">
        <w:t>DIN EN 13657:2003-01</w:t>
      </w:r>
    </w:p>
    <w:p w14:paraId="179E31AB" w14:textId="77777777" w:rsidR="00B57E1B" w:rsidRPr="008D0377" w:rsidRDefault="00B57E1B" w:rsidP="00B57E1B">
      <w:pPr>
        <w:pStyle w:val="Text"/>
      </w:pPr>
      <w:r w:rsidRPr="008D0377">
        <w:t xml:space="preserve">Charakterisierung von Abfällen - </w:t>
      </w:r>
      <w:proofErr w:type="spellStart"/>
      <w:r w:rsidRPr="008D0377">
        <w:t>Aufschluß</w:t>
      </w:r>
      <w:proofErr w:type="spellEnd"/>
      <w:r w:rsidRPr="008D0377">
        <w:t xml:space="preserve"> zur anschließenden Bestimmung des in Königswasser löslichen Anteils an Elementen in Abfällen; Deutsche Fassung EN 13657:2002</w:t>
      </w:r>
    </w:p>
    <w:p w14:paraId="0D5318CA" w14:textId="0F0676ED" w:rsidR="00B57E1B" w:rsidRPr="008D0377" w:rsidRDefault="00B57E1B" w:rsidP="00B57E1B">
      <w:pPr>
        <w:pStyle w:val="Text"/>
      </w:pPr>
      <w:r w:rsidRPr="008D0377">
        <w:t>DIN EN 14346:2007-03</w:t>
      </w:r>
    </w:p>
    <w:p w14:paraId="47EAC889" w14:textId="77777777" w:rsidR="00B57E1B" w:rsidRPr="008D0377" w:rsidRDefault="00B57E1B" w:rsidP="00B57E1B">
      <w:pPr>
        <w:pStyle w:val="Text"/>
      </w:pPr>
      <w:r w:rsidRPr="008D0377">
        <w:t xml:space="preserve">Charakterisierung von Abfällen - Berechnung der Trockenmasse durch Bestimmung des Trockenrückstandes oder des Wassergehaltes; Deutsche Fassung EN 14346:2006 </w:t>
      </w:r>
    </w:p>
    <w:p w14:paraId="70BA8B0E" w14:textId="060D1008" w:rsidR="00B57E1B" w:rsidRPr="008D0377" w:rsidRDefault="00B57E1B" w:rsidP="00B57E1B">
      <w:pPr>
        <w:pStyle w:val="Text"/>
      </w:pPr>
      <w:r w:rsidRPr="008D0377">
        <w:t>DIN EN 15192:2007-02</w:t>
      </w:r>
    </w:p>
    <w:p w14:paraId="3F758FF9" w14:textId="77777777" w:rsidR="00B57E1B" w:rsidRPr="008D0377" w:rsidRDefault="00B57E1B" w:rsidP="00B57E1B">
      <w:pPr>
        <w:pStyle w:val="Text"/>
      </w:pPr>
      <w:r w:rsidRPr="008D0377">
        <w:t>Charakterisierung von Abfällen und Boden - Bestimmung von sechswertigem Chrom in Feststoffen durch alkalischen Aufschluss und Ionenchromatographie mit photometrischer Detektion; Deutsche Fassung EN 15192:2006</w:t>
      </w:r>
    </w:p>
    <w:p w14:paraId="3B45D71D" w14:textId="3E2CC3A5" w:rsidR="00B57E1B" w:rsidRPr="008D0377" w:rsidRDefault="00B57E1B" w:rsidP="00B57E1B">
      <w:pPr>
        <w:pStyle w:val="Text"/>
      </w:pPr>
      <w:r w:rsidRPr="008D0377">
        <w:t>DIN EN 15933:2012-11</w:t>
      </w:r>
    </w:p>
    <w:p w14:paraId="015A3E8B" w14:textId="77777777" w:rsidR="00B57E1B" w:rsidRPr="008D0377" w:rsidRDefault="00B57E1B" w:rsidP="00B57E1B">
      <w:pPr>
        <w:pStyle w:val="Text"/>
      </w:pPr>
      <w:r w:rsidRPr="008D0377">
        <w:t xml:space="preserve">Schlamm, behandelter Bioabfall und Boden - Bestimmung des pH-Werts; </w:t>
      </w:r>
    </w:p>
    <w:p w14:paraId="7E1E0726" w14:textId="77777777" w:rsidR="00B57E1B" w:rsidRPr="008D0377" w:rsidRDefault="00B57E1B" w:rsidP="00B57E1B">
      <w:pPr>
        <w:pStyle w:val="Text"/>
      </w:pPr>
      <w:r w:rsidRPr="008D0377">
        <w:t>Deutsche Fassung EN 15933:2012</w:t>
      </w:r>
    </w:p>
    <w:p w14:paraId="227DC1F2" w14:textId="565A6862" w:rsidR="00B57E1B" w:rsidRPr="008D0377" w:rsidRDefault="00B57E1B" w:rsidP="00B57E1B">
      <w:pPr>
        <w:pStyle w:val="Text"/>
      </w:pPr>
      <w:r w:rsidRPr="008D0377">
        <w:t>DIN EN 15934:2012-11</w:t>
      </w:r>
    </w:p>
    <w:p w14:paraId="4D8612F7" w14:textId="77777777" w:rsidR="00B57E1B" w:rsidRPr="008D0377" w:rsidRDefault="00B57E1B" w:rsidP="00B57E1B">
      <w:pPr>
        <w:pStyle w:val="Text"/>
      </w:pPr>
      <w:r w:rsidRPr="008D0377">
        <w:t>Schlamm, behandelter Bioabfall, Boden und Abfall - Berechnung des Trockenmassenanteils nach Bestimmung des Trockenrückstands oder des Wassergehalts; Deutsche Fassung EN 15934:2012</w:t>
      </w:r>
    </w:p>
    <w:p w14:paraId="2C8A8778" w14:textId="65635077" w:rsidR="00B57E1B" w:rsidRPr="008D0377" w:rsidRDefault="00B57E1B" w:rsidP="00B57E1B">
      <w:pPr>
        <w:pStyle w:val="Text"/>
      </w:pPr>
      <w:r w:rsidRPr="008D0377">
        <w:lastRenderedPageBreak/>
        <w:t>DIN EN 15936:2012-11</w:t>
      </w:r>
    </w:p>
    <w:p w14:paraId="597BCDB3" w14:textId="77777777" w:rsidR="00B57E1B" w:rsidRPr="008D0377" w:rsidRDefault="00B57E1B" w:rsidP="00B57E1B">
      <w:pPr>
        <w:pStyle w:val="Text"/>
      </w:pPr>
      <w:r w:rsidRPr="008D0377">
        <w:t>Schlamm, behandelter Bioabfall, Boden und Abfall - Bestimmung des gesamten organischen Kohlenstoffs (TOC) mittels trockener Verbrennung; Deutsche Fassung EN 15936:2012</w:t>
      </w:r>
    </w:p>
    <w:p w14:paraId="79D74E5B" w14:textId="2E12CF68" w:rsidR="00B57E1B" w:rsidRPr="008D0377" w:rsidRDefault="00B57E1B" w:rsidP="00B57E1B">
      <w:pPr>
        <w:pStyle w:val="Text"/>
      </w:pPr>
      <w:r w:rsidRPr="008D0377">
        <w:t xml:space="preserve">DIN EN 16167:2019-06 </w:t>
      </w:r>
    </w:p>
    <w:p w14:paraId="53E60327" w14:textId="77777777" w:rsidR="00B57E1B" w:rsidRPr="008D0377" w:rsidRDefault="00B57E1B" w:rsidP="00B57E1B">
      <w:pPr>
        <w:pStyle w:val="Text"/>
      </w:pPr>
      <w:r w:rsidRPr="008D0377">
        <w:t>Boden, behandelter Bioabfall und Schlamm - Bestimmung von polychlorierten Biphenylen (PCB) mittels Gaschromatographie mit Massenspektrometrie-Kopplung (GC-MS) und Gaschromatographie mit Elektroneneinfangdetektion (GC-ECD); Deutsche Fassung EN 16167:2018+AC:2019</w:t>
      </w:r>
    </w:p>
    <w:p w14:paraId="22BA32EB" w14:textId="22AB8B05" w:rsidR="00B57E1B" w:rsidRPr="008D0377" w:rsidRDefault="00B57E1B" w:rsidP="00B57E1B">
      <w:pPr>
        <w:pStyle w:val="Text"/>
      </w:pPr>
      <w:r w:rsidRPr="008D0377">
        <w:t>DIN EN 16170:2017-01</w:t>
      </w:r>
    </w:p>
    <w:p w14:paraId="5C403690" w14:textId="77777777" w:rsidR="00B57E1B" w:rsidRPr="008D0377" w:rsidRDefault="00B57E1B" w:rsidP="00B57E1B">
      <w:pPr>
        <w:pStyle w:val="Text"/>
      </w:pPr>
      <w:r w:rsidRPr="008D0377">
        <w:t xml:space="preserve">Schlamm, behandelter Bioabfall und Boden - Bestimmung von Spurenelementen mittels optischer </w:t>
      </w:r>
      <w:proofErr w:type="spellStart"/>
      <w:r w:rsidRPr="008D0377">
        <w:t>Emissionsspektrometrie</w:t>
      </w:r>
      <w:proofErr w:type="spellEnd"/>
      <w:r w:rsidRPr="008D0377">
        <w:t xml:space="preserve"> mit induktiv gekoppeltem Plasma (ICP-OES); Deutsche Fassung EN 16170:2016</w:t>
      </w:r>
    </w:p>
    <w:p w14:paraId="3636430D" w14:textId="2A01082C" w:rsidR="00B57E1B" w:rsidRPr="008D0377" w:rsidRDefault="00B57E1B" w:rsidP="00B57E1B">
      <w:pPr>
        <w:pStyle w:val="Text"/>
      </w:pPr>
      <w:r w:rsidRPr="008D0377">
        <w:t>DIN EN 16171:2017-01</w:t>
      </w:r>
    </w:p>
    <w:p w14:paraId="5AB72715" w14:textId="77777777" w:rsidR="00B57E1B" w:rsidRPr="008D0377" w:rsidRDefault="00B57E1B" w:rsidP="00B57E1B">
      <w:pPr>
        <w:pStyle w:val="Text"/>
      </w:pPr>
      <w:r w:rsidRPr="008D0377">
        <w:t xml:space="preserve">Schlamm, behandelter Bioabfall und Boden – Bestimmung von Spurenelementen mittels Massenspektrometrie mit induktiv gekoppeltem Plasma (ICP-MS); Deutsche Fassung EN 16171:2016 </w:t>
      </w:r>
    </w:p>
    <w:p w14:paraId="5C3E39CC" w14:textId="04A35329" w:rsidR="00B57E1B" w:rsidRPr="008D0377" w:rsidRDefault="00B57E1B" w:rsidP="00B57E1B">
      <w:pPr>
        <w:pStyle w:val="Text"/>
      </w:pPr>
      <w:r w:rsidRPr="008D0377">
        <w:t>DIN EN 16174:2012-11, Schlamm, behandelter Bioabfall und Boden - Aufschluss von mit Königswasser löslichen Anteilen von Elementen; Deutsche Fassung EN 16174:2012</w:t>
      </w:r>
    </w:p>
    <w:p w14:paraId="50AED19A" w14:textId="08B9F0D6" w:rsidR="00B57E1B" w:rsidRPr="008D0377" w:rsidRDefault="00B57E1B" w:rsidP="00B57E1B">
      <w:pPr>
        <w:pStyle w:val="Text"/>
      </w:pPr>
      <w:r w:rsidRPr="008D0377">
        <w:t>DIN EN 16175-1:2016-12</w:t>
      </w:r>
    </w:p>
    <w:p w14:paraId="5DABE9EB" w14:textId="77777777" w:rsidR="00B57E1B" w:rsidRPr="008D0377" w:rsidRDefault="00B57E1B" w:rsidP="00B57E1B">
      <w:pPr>
        <w:pStyle w:val="Text"/>
      </w:pPr>
      <w:r w:rsidRPr="008D0377">
        <w:t>Schlamm, behandelter Bioabfall und Boden - Bestimmung von Quecksilber - Teil 1: Kaltdampf-Atomabsorptionsspektrometrie (CV-AAS); Deutsche Fassung EN 16175-1:2016</w:t>
      </w:r>
    </w:p>
    <w:p w14:paraId="6ED0479A" w14:textId="60590A45" w:rsidR="00B57E1B" w:rsidRPr="008D0377" w:rsidRDefault="00B57E1B" w:rsidP="00B57E1B">
      <w:pPr>
        <w:pStyle w:val="Text"/>
      </w:pPr>
      <w:r w:rsidRPr="008D0377">
        <w:t>DIN EN 16175-2:2016-12</w:t>
      </w:r>
    </w:p>
    <w:p w14:paraId="4757D27C" w14:textId="77777777" w:rsidR="00B57E1B" w:rsidRPr="008D0377" w:rsidRDefault="00B57E1B" w:rsidP="00B57E1B">
      <w:pPr>
        <w:pStyle w:val="Text"/>
      </w:pPr>
      <w:r w:rsidRPr="008D0377">
        <w:t>Schlamm, behandelter Bioabfall und Boden - Bestimmung von Quecksilber - Teil 2: Kaltdampf-</w:t>
      </w:r>
      <w:proofErr w:type="spellStart"/>
      <w:r w:rsidRPr="008D0377">
        <w:t>Atomfluoreszenzspektrometrie</w:t>
      </w:r>
      <w:proofErr w:type="spellEnd"/>
      <w:r w:rsidRPr="008D0377">
        <w:t xml:space="preserve"> (CV-AFS); Deutsche Fassung EN 16175-2:2016</w:t>
      </w:r>
    </w:p>
    <w:p w14:paraId="2875A7EE" w14:textId="52EBF2AD" w:rsidR="00B57E1B" w:rsidRPr="008D0377" w:rsidRDefault="00B57E1B" w:rsidP="00B57E1B">
      <w:pPr>
        <w:pStyle w:val="Text"/>
      </w:pPr>
      <w:r w:rsidRPr="008D0377">
        <w:t xml:space="preserve">DIN EN 16181:2019-08 </w:t>
      </w:r>
    </w:p>
    <w:p w14:paraId="44B828DB" w14:textId="77777777" w:rsidR="00B57E1B" w:rsidRPr="008D0377" w:rsidRDefault="00B57E1B" w:rsidP="00B57E1B">
      <w:pPr>
        <w:pStyle w:val="Text"/>
      </w:pPr>
      <w:r w:rsidRPr="008D0377">
        <w:t>Boden, behandelter Bioabfall und Schlamm - Bestimmung von polycyclischen aromatischen Kohlenwasserstoffen (PAK) mittels Gaschromatographie (GC) und Hochleistungs-Flüssigkeitschromatographie (HPLC); Deutsche Fassung EN 16181:2018</w:t>
      </w:r>
    </w:p>
    <w:p w14:paraId="0528F6BD" w14:textId="40C9A91F" w:rsidR="00B57E1B" w:rsidRPr="008D0377" w:rsidRDefault="00B57E1B" w:rsidP="00B57E1B">
      <w:pPr>
        <w:pStyle w:val="Text"/>
      </w:pPr>
      <w:r w:rsidRPr="008D0377">
        <w:t xml:space="preserve">DIN EN 16190:2019-10 </w:t>
      </w:r>
    </w:p>
    <w:p w14:paraId="0F8E5EAB" w14:textId="77777777" w:rsidR="00B57E1B" w:rsidRPr="008D0377" w:rsidRDefault="00B57E1B" w:rsidP="00B57E1B">
      <w:pPr>
        <w:pStyle w:val="Text"/>
      </w:pPr>
      <w:r w:rsidRPr="008D0377">
        <w:t>Boden, behandelter Bioabfall und Schlamm - Bestimmung von Dioxinen und Furanen sowie Dioxin-vergleichbaren polychlorierten Biphenylen mittels Gaschromatographie und hochauflösender massenspektrometrischer Detektion (HR GC-MS); Deutsche Fassung EN 16190:2018</w:t>
      </w:r>
    </w:p>
    <w:p w14:paraId="1F97D157" w14:textId="1369CEAD" w:rsidR="00B57E1B" w:rsidRPr="008D0377" w:rsidRDefault="00B57E1B" w:rsidP="00B57E1B">
      <w:pPr>
        <w:pStyle w:val="Text"/>
      </w:pPr>
      <w:r w:rsidRPr="008D0377">
        <w:t xml:space="preserve">DIN EN ISO 5667-3:2019-07 </w:t>
      </w:r>
    </w:p>
    <w:p w14:paraId="1E46A97C" w14:textId="77777777" w:rsidR="00B57E1B" w:rsidRPr="008D0377" w:rsidRDefault="00B57E1B" w:rsidP="00B57E1B">
      <w:pPr>
        <w:pStyle w:val="Text"/>
      </w:pPr>
      <w:r w:rsidRPr="008D0377">
        <w:t>Wasserbeschaffenheit - Probenahme - Teil 3: Konservierung und Handhabung von Wasserproben (ISO 5667-3:2018); Deutsche Fassung EN ISO 5667-3:2018</w:t>
      </w:r>
    </w:p>
    <w:p w14:paraId="2359493D" w14:textId="5D2A701A" w:rsidR="00B57E1B" w:rsidRPr="008D0377" w:rsidRDefault="00B57E1B" w:rsidP="00B57E1B">
      <w:pPr>
        <w:pStyle w:val="Text"/>
      </w:pPr>
      <w:r w:rsidRPr="008D0377">
        <w:t>DIN EN ISO 9377-2:2001-07</w:t>
      </w:r>
    </w:p>
    <w:p w14:paraId="335B7464" w14:textId="77777777" w:rsidR="00B57E1B" w:rsidRPr="008D0377" w:rsidRDefault="00B57E1B" w:rsidP="00B57E1B">
      <w:pPr>
        <w:pStyle w:val="Text"/>
      </w:pPr>
      <w:r w:rsidRPr="008D0377">
        <w:lastRenderedPageBreak/>
        <w:t>Wasserbeschaffenheit - Bestimmung des Kohlenwasserstoff-Index – Teil 2: Verfahren nach Lösemittelextraktion und Gaschromatographie (ISO 9377-2:2000); Deutsche Fassung EN ISO 9377-2:2000</w:t>
      </w:r>
    </w:p>
    <w:p w14:paraId="75C2BF31" w14:textId="401B8A8F" w:rsidR="00B57E1B" w:rsidRPr="008D0377" w:rsidRDefault="00B57E1B" w:rsidP="00B57E1B">
      <w:pPr>
        <w:pStyle w:val="Text"/>
      </w:pPr>
      <w:r w:rsidRPr="008D0377">
        <w:t>DIN EN ISO 10301:1997-08</w:t>
      </w:r>
    </w:p>
    <w:p w14:paraId="4B2DB30F" w14:textId="77777777" w:rsidR="00B57E1B" w:rsidRPr="008D0377" w:rsidRDefault="00B57E1B" w:rsidP="00B57E1B">
      <w:pPr>
        <w:pStyle w:val="Text"/>
      </w:pPr>
      <w:r w:rsidRPr="008D0377">
        <w:t>Wasserbeschaffenheit - Bestimmung leichtflüchtiger halogenierter Kohlenwasserstoffe – Gaschromatographische Verfahren (ISO 10301:1997); Deutsche Fassung EN ISO 10301:1997</w:t>
      </w:r>
    </w:p>
    <w:p w14:paraId="01662520" w14:textId="7B9F661D" w:rsidR="00B57E1B" w:rsidRPr="008D0377" w:rsidRDefault="00B57E1B" w:rsidP="00B57E1B">
      <w:pPr>
        <w:pStyle w:val="Text"/>
      </w:pPr>
      <w:r w:rsidRPr="008D0377">
        <w:t>DIN EN ISO 10304-1:2009-07</w:t>
      </w:r>
    </w:p>
    <w:p w14:paraId="46AADF04" w14:textId="77777777" w:rsidR="00B57E1B" w:rsidRPr="008D0377" w:rsidRDefault="00B57E1B" w:rsidP="00B57E1B">
      <w:pPr>
        <w:pStyle w:val="Text"/>
      </w:pPr>
      <w:r w:rsidRPr="008D0377">
        <w:t>Wasserbeschaffenheit - Bestimmung von gelösten Anionen mittels Flüssigkeits-Ionenchromatographie – Teil 1: Bestimmung von Bromid, Chlorid, Fluorid, Nitrat, Nitrit, Phosphat und Sulfat (ISO 10304-1:2007); Deutsche Fassung EN ISO 10304-1:2009</w:t>
      </w:r>
    </w:p>
    <w:p w14:paraId="73FDFFAE" w14:textId="2D1D6265" w:rsidR="00B57E1B" w:rsidRPr="008D0377" w:rsidRDefault="00B57E1B" w:rsidP="00B57E1B">
      <w:pPr>
        <w:pStyle w:val="Text"/>
      </w:pPr>
      <w:r w:rsidRPr="008D0377">
        <w:t xml:space="preserve">DIN EN ISO 11272:2017-07 </w:t>
      </w:r>
    </w:p>
    <w:p w14:paraId="72469A16" w14:textId="77777777" w:rsidR="00B57E1B" w:rsidRPr="008D0377" w:rsidRDefault="00B57E1B" w:rsidP="00B57E1B">
      <w:pPr>
        <w:pStyle w:val="Text"/>
      </w:pPr>
      <w:r w:rsidRPr="008D0377">
        <w:t xml:space="preserve">Bodenbeschaffenheit - Bestimmung der Trockenrohdichte </w:t>
      </w:r>
    </w:p>
    <w:p w14:paraId="19924324" w14:textId="77777777" w:rsidR="00B57E1B" w:rsidRPr="008D0377" w:rsidRDefault="00B57E1B" w:rsidP="00B57E1B">
      <w:pPr>
        <w:pStyle w:val="Text"/>
      </w:pPr>
      <w:r w:rsidRPr="008D0377">
        <w:t>(ISO 11272:2017); Deutsche Fassung EN ISO 11272:2017</w:t>
      </w:r>
    </w:p>
    <w:p w14:paraId="310A78CA" w14:textId="5B5479E8" w:rsidR="00B57E1B" w:rsidRPr="008D0377" w:rsidRDefault="00B57E1B" w:rsidP="00B57E1B">
      <w:pPr>
        <w:pStyle w:val="Text"/>
      </w:pPr>
      <w:r w:rsidRPr="008D0377">
        <w:t>DIN EN ISO/IEC 17020:2012-07</w:t>
      </w:r>
    </w:p>
    <w:p w14:paraId="79C899D9" w14:textId="77777777" w:rsidR="00B57E1B" w:rsidRPr="008D0377" w:rsidRDefault="00B57E1B" w:rsidP="00B57E1B">
      <w:pPr>
        <w:pStyle w:val="Text"/>
      </w:pPr>
      <w:r w:rsidRPr="008D0377">
        <w:t>Konformitätsbewertung - Anforderungen an den Betrieb verschiedener Typen von Stellen, die Inspektionen durchführen (ISO/IEC 17020:2012); Deutsche und Englische Fassung EN ISO/IEC 17020:2012</w:t>
      </w:r>
    </w:p>
    <w:p w14:paraId="186658A4" w14:textId="52D5A27B" w:rsidR="00B57E1B" w:rsidRPr="008D0377" w:rsidRDefault="00B57E1B" w:rsidP="00B57E1B">
      <w:pPr>
        <w:pStyle w:val="Text"/>
      </w:pPr>
      <w:r w:rsidRPr="008D0377">
        <w:t>DIN EN ISO 11885:2009-09</w:t>
      </w:r>
    </w:p>
    <w:p w14:paraId="296347F9" w14:textId="77777777" w:rsidR="00B57E1B" w:rsidRPr="008D0377" w:rsidRDefault="00B57E1B" w:rsidP="00B57E1B">
      <w:pPr>
        <w:pStyle w:val="Text"/>
      </w:pPr>
      <w:r w:rsidRPr="008D0377">
        <w:t>Wasserbeschaffenheit - Bestimmung von ausgewählten Elementen durch induktiv gekoppelte Plasma-Atom-</w:t>
      </w:r>
      <w:proofErr w:type="spellStart"/>
      <w:r w:rsidRPr="008D0377">
        <w:t>Emissionsspektrometrie</w:t>
      </w:r>
      <w:proofErr w:type="spellEnd"/>
      <w:r w:rsidRPr="008D0377">
        <w:t xml:space="preserve"> (ICP-OES) (ISO 11885:2007); Deutsche Fassung EN ISO 11885:2009</w:t>
      </w:r>
    </w:p>
    <w:p w14:paraId="2E7B9DDB" w14:textId="68C7236B" w:rsidR="00B57E1B" w:rsidRPr="008D0377" w:rsidRDefault="00B57E1B" w:rsidP="00B57E1B">
      <w:pPr>
        <w:pStyle w:val="Text"/>
      </w:pPr>
      <w:r w:rsidRPr="008D0377">
        <w:t>DIN EN ISO 12846:2012-08</w:t>
      </w:r>
    </w:p>
    <w:p w14:paraId="5763AF00" w14:textId="77777777" w:rsidR="00B57E1B" w:rsidRPr="008D0377" w:rsidRDefault="00B57E1B" w:rsidP="00B57E1B">
      <w:pPr>
        <w:pStyle w:val="Text"/>
      </w:pPr>
      <w:r w:rsidRPr="008D0377">
        <w:t>Wasserbeschaffenheit - Bestimmung von Quecksilber - Verfahren mittels Atomabsorptionsspektrometrie (AAS) mit und ohne Anreicherung (ISO 12846: 2012); Deutsche Fassung EN ISO 12846:2012</w:t>
      </w:r>
    </w:p>
    <w:p w14:paraId="2198B6D6" w14:textId="3AA6BECD" w:rsidR="00B57E1B" w:rsidRPr="008D0377" w:rsidRDefault="00B57E1B" w:rsidP="00B57E1B">
      <w:pPr>
        <w:pStyle w:val="Text"/>
      </w:pPr>
      <w:r w:rsidRPr="008D0377">
        <w:t>DIN EN ISO 14403-1:2012-10</w:t>
      </w:r>
    </w:p>
    <w:p w14:paraId="7AAAE2FD" w14:textId="77777777" w:rsidR="00B57E1B" w:rsidRPr="008D0377" w:rsidRDefault="00B57E1B" w:rsidP="00B57E1B">
      <w:pPr>
        <w:pStyle w:val="Text"/>
      </w:pPr>
      <w:r w:rsidRPr="008D0377">
        <w:t>Wasserbeschaffenheit - Bestimmung von Gesamtcyanid und freiem Cyanid mittels Fließanalytik (FIA und CFA) – Teil 1: Verfahren mittels Fließinjektionsanalyse (FIA) (ISO 14403-1:2012); Deutsche Fassung EN ISO 14403-1:2012</w:t>
      </w:r>
    </w:p>
    <w:p w14:paraId="23B60E3F" w14:textId="29F28CC6" w:rsidR="00B57E1B" w:rsidRPr="008D0377" w:rsidRDefault="00B57E1B" w:rsidP="00B57E1B">
      <w:pPr>
        <w:pStyle w:val="Text"/>
      </w:pPr>
      <w:r w:rsidRPr="008D0377">
        <w:t>DIN EN ISO 14403-2:2012-10</w:t>
      </w:r>
    </w:p>
    <w:p w14:paraId="1A4D5AF5" w14:textId="77777777" w:rsidR="00B57E1B" w:rsidRPr="008D0377" w:rsidRDefault="00B57E1B" w:rsidP="00B57E1B">
      <w:pPr>
        <w:pStyle w:val="Text"/>
      </w:pPr>
      <w:r w:rsidRPr="008D0377">
        <w:t>Wasserbeschaffenheit - Bestimmung von Gesamtcyanid und freiem Cyanid mittels Fließanalytik (FIA und CFA) – Teil 2: Verfahren mittels kontinuierlicher Durchflussanalyse (CFA) (ISO 14403-2:2012); Deutsche Fassung EN ISO 14403-2:2012</w:t>
      </w:r>
    </w:p>
    <w:p w14:paraId="3E96F755" w14:textId="590F5AA6" w:rsidR="00B57E1B" w:rsidRPr="008D0377" w:rsidRDefault="00B57E1B" w:rsidP="00B57E1B">
      <w:pPr>
        <w:pStyle w:val="Text"/>
      </w:pPr>
      <w:r w:rsidRPr="008D0377">
        <w:t>DIN EN ISO 15586:2004-02</w:t>
      </w:r>
    </w:p>
    <w:p w14:paraId="409B4F9F" w14:textId="77777777" w:rsidR="00B57E1B" w:rsidRPr="008D0377" w:rsidRDefault="00B57E1B" w:rsidP="00B57E1B">
      <w:pPr>
        <w:pStyle w:val="Text"/>
      </w:pPr>
      <w:r w:rsidRPr="008D0377">
        <w:t>Wasserbeschaffenheit - Bestimmung von Spurenelementen mittels Atomabsorptionsspektrometrie mit dem Graphitrohr-Verfahren (ISO 15586:2003); Deutsche Fassung EN ISO 15586:2003</w:t>
      </w:r>
    </w:p>
    <w:p w14:paraId="3BB0F968" w14:textId="3D158086" w:rsidR="00B57E1B" w:rsidRPr="008D0377" w:rsidRDefault="00B57E1B" w:rsidP="00B57E1B">
      <w:pPr>
        <w:pStyle w:val="Text"/>
      </w:pPr>
      <w:r w:rsidRPr="008D0377">
        <w:lastRenderedPageBreak/>
        <w:t>DIN EN ISO 15680:2004-04</w:t>
      </w:r>
    </w:p>
    <w:p w14:paraId="0F5CCE85" w14:textId="77777777" w:rsidR="00B57E1B" w:rsidRPr="008D0377" w:rsidRDefault="00B57E1B" w:rsidP="00B57E1B">
      <w:pPr>
        <w:pStyle w:val="Text"/>
      </w:pPr>
      <w:r w:rsidRPr="008D0377">
        <w:t>Wasserbeschaffenheit - Gaschromatographische Bestimmung einer Anzahl monocyclischer aromatischer Kohlenwasserstoffe, Naphthalin und einiger chlorierter Substanzen mittels Purge und Trap-Anreicherung und thermischer Desorption (ISO 15680:2003); Deutsche Fassung EN ISO 15680:2003</w:t>
      </w:r>
    </w:p>
    <w:p w14:paraId="150A6AF9" w14:textId="7CF075EF" w:rsidR="00B57E1B" w:rsidRPr="008D0377" w:rsidRDefault="00B57E1B" w:rsidP="00B57E1B">
      <w:pPr>
        <w:pStyle w:val="Text"/>
      </w:pPr>
      <w:r w:rsidRPr="008D0377">
        <w:t xml:space="preserve">DIN EN ISO/IEC 17025:2018-03 </w:t>
      </w:r>
    </w:p>
    <w:p w14:paraId="4BB67F0A" w14:textId="77777777" w:rsidR="00B57E1B" w:rsidRPr="008D0377" w:rsidRDefault="00B57E1B" w:rsidP="00B57E1B">
      <w:pPr>
        <w:pStyle w:val="Text"/>
      </w:pPr>
      <w:r w:rsidRPr="008D0377">
        <w:t>Allgemeine Anforderungen an die Kompetenz von Prüf- und Kalibrierlaboratorien (ISO/IEC 17025:2017); Deutsche und Englische Fassung EN ISO/IEC 17025:2017</w:t>
      </w:r>
    </w:p>
    <w:p w14:paraId="00081A97" w14:textId="2FE94930" w:rsidR="00B57E1B" w:rsidRPr="008D0377" w:rsidRDefault="00B57E1B" w:rsidP="00B57E1B">
      <w:pPr>
        <w:pStyle w:val="Text"/>
      </w:pPr>
      <w:r w:rsidRPr="008D0377">
        <w:t xml:space="preserve">DIN EN ISO 17892-4:2017-04 </w:t>
      </w:r>
    </w:p>
    <w:p w14:paraId="51F0BE9D" w14:textId="77777777" w:rsidR="00B57E1B" w:rsidRPr="008D0377" w:rsidRDefault="00B57E1B" w:rsidP="00B57E1B">
      <w:pPr>
        <w:pStyle w:val="Text"/>
      </w:pPr>
      <w:r w:rsidRPr="008D0377">
        <w:t>Geotechnische Erkundung und Untersuchung - Laborversuche an Bodenproben - Teil 4: Bestimmung der Korngrößenverteilung (ISO 17892-4:2016); Deutsche Fassung EN ISO 17892-4:2016</w:t>
      </w:r>
    </w:p>
    <w:p w14:paraId="32637983" w14:textId="23A9778D" w:rsidR="00B57E1B" w:rsidRPr="008D0377" w:rsidRDefault="00B57E1B" w:rsidP="00B57E1B">
      <w:pPr>
        <w:pStyle w:val="Text"/>
      </w:pPr>
      <w:r w:rsidRPr="008D0377">
        <w:t>DIN EN ISO 17294-2:2017-01</w:t>
      </w:r>
    </w:p>
    <w:p w14:paraId="2D3966D7" w14:textId="77777777" w:rsidR="00B57E1B" w:rsidRPr="008D0377" w:rsidRDefault="00B57E1B" w:rsidP="00B57E1B">
      <w:pPr>
        <w:pStyle w:val="Text"/>
      </w:pPr>
      <w:r w:rsidRPr="008D0377">
        <w:t>Wasserbeschaffenheit - Anwendung der induktiv gekoppelten Plasma-Massenspektrometrie (ICP-MS) - Teil 2: Bestimmung von ausgewählten Elementen einschließlich Uran-Isotope (ISO 17294-2:2016); Deutsche Fassung EN ISO 17294-2:2017</w:t>
      </w:r>
    </w:p>
    <w:p w14:paraId="24CC173D" w14:textId="375C3025" w:rsidR="00B57E1B" w:rsidRPr="008D0377" w:rsidRDefault="00B57E1B" w:rsidP="00B57E1B">
      <w:pPr>
        <w:pStyle w:val="Text"/>
      </w:pPr>
      <w:r w:rsidRPr="008D0377">
        <w:t>DIN EN ISO 17380:2013-10</w:t>
      </w:r>
    </w:p>
    <w:p w14:paraId="44A443CB" w14:textId="77777777" w:rsidR="00B57E1B" w:rsidRPr="008D0377" w:rsidRDefault="00B57E1B" w:rsidP="00B57E1B">
      <w:pPr>
        <w:pStyle w:val="Text"/>
      </w:pPr>
      <w:r w:rsidRPr="008D0377">
        <w:t>Bodenbeschaffenheit - Bestimmung des Gehalts an Gesamtcyanid und leicht freisetzbarem Cyanid - Verfahren mittels kontinuierlicher Durchflussanalyse (ISO 17380:2013); Deutsche Fassung EN ISO 17380:2013</w:t>
      </w:r>
    </w:p>
    <w:p w14:paraId="0FBC5ED2" w14:textId="66AFBFB3" w:rsidR="00B57E1B" w:rsidRPr="008D0377" w:rsidRDefault="00B57E1B" w:rsidP="00B57E1B">
      <w:pPr>
        <w:pStyle w:val="Text"/>
      </w:pPr>
      <w:r w:rsidRPr="008D0377">
        <w:t>DIN EN ISO 17852:2008-04</w:t>
      </w:r>
    </w:p>
    <w:p w14:paraId="488E4F5E" w14:textId="77777777" w:rsidR="00B57E1B" w:rsidRPr="008D0377" w:rsidRDefault="00B57E1B" w:rsidP="00B57E1B">
      <w:pPr>
        <w:pStyle w:val="Text"/>
      </w:pPr>
      <w:r w:rsidRPr="008D0377">
        <w:t xml:space="preserve">Wasserbeschaffenheit - Bestimmung von Quecksilber - Verfahren mittels </w:t>
      </w:r>
      <w:proofErr w:type="spellStart"/>
      <w:r w:rsidRPr="008D0377">
        <w:t>Atomfluoreszenzspektrometrie</w:t>
      </w:r>
      <w:proofErr w:type="spellEnd"/>
      <w:r w:rsidRPr="008D0377">
        <w:t xml:space="preserve"> (ISO 17852:2006); Deutsche Fassung EN ISO 17852:2008</w:t>
      </w:r>
    </w:p>
    <w:p w14:paraId="6C5F3743" w14:textId="7F5A2212" w:rsidR="00B57E1B" w:rsidRPr="008D0377" w:rsidRDefault="00B57E1B" w:rsidP="00B57E1B">
      <w:pPr>
        <w:pStyle w:val="Text"/>
      </w:pPr>
      <w:r w:rsidRPr="008D0377">
        <w:t>DIN EN ISO 17943:2016-10</w:t>
      </w:r>
    </w:p>
    <w:p w14:paraId="1BD7EDF1" w14:textId="77777777" w:rsidR="00B57E1B" w:rsidRPr="008D0377" w:rsidRDefault="00B57E1B" w:rsidP="00B57E1B">
      <w:pPr>
        <w:pStyle w:val="Text"/>
      </w:pPr>
      <w:r w:rsidRPr="008D0377">
        <w:t xml:space="preserve">Wasserbeschaffenheit - Bestimmung flüchtiger organischer Verbindungen in Wasser - Verfahren mittels </w:t>
      </w:r>
      <w:proofErr w:type="spellStart"/>
      <w:r w:rsidRPr="008D0377">
        <w:t>Headspace</w:t>
      </w:r>
      <w:proofErr w:type="spellEnd"/>
      <w:r w:rsidRPr="008D0377">
        <w:t>-Festphasenmikroextraktion (HS-SPME) gefolgt von der Gaschromatographie und Massenspektrometrie (GC-MS) (ISO 17943:2016); Deutsche Fassung EN ISO 17943:2016</w:t>
      </w:r>
    </w:p>
    <w:p w14:paraId="57993A73" w14:textId="3FDA09E5" w:rsidR="00B57E1B" w:rsidRPr="008D0377" w:rsidRDefault="00B57E1B" w:rsidP="00B57E1B">
      <w:pPr>
        <w:pStyle w:val="Text"/>
      </w:pPr>
      <w:r w:rsidRPr="008D0377">
        <w:t>DIN EN ISO 17993:2004-03</w:t>
      </w:r>
    </w:p>
    <w:p w14:paraId="2C643F72" w14:textId="77777777" w:rsidR="00B57E1B" w:rsidRPr="008D0377" w:rsidRDefault="00B57E1B" w:rsidP="00B57E1B">
      <w:pPr>
        <w:pStyle w:val="Text"/>
      </w:pPr>
      <w:r w:rsidRPr="008D0377">
        <w:t>Wasserbeschaffenheit - Bestimmung von 15 polycyclischen aromatischen Kohlenwasserstoffen (PAK) in Wasser durch HPLC mit Fluoreszenzdetektion nach Flüssig-Flüssig-Extraktion (ISO 17993:2002); Deutsche Fassung EN ISO 17993:2003</w:t>
      </w:r>
    </w:p>
    <w:p w14:paraId="4210D729" w14:textId="2ABA6BB0" w:rsidR="00B57E1B" w:rsidRPr="008D0377" w:rsidRDefault="00B57E1B" w:rsidP="00B57E1B">
      <w:pPr>
        <w:pStyle w:val="Text"/>
      </w:pPr>
      <w:r w:rsidRPr="008D0377">
        <w:t>DIN EN ISO 18857-1:2007-02</w:t>
      </w:r>
    </w:p>
    <w:p w14:paraId="1B1B122B" w14:textId="77777777" w:rsidR="00B57E1B" w:rsidRPr="008D0377" w:rsidRDefault="00B57E1B" w:rsidP="00B57E1B">
      <w:pPr>
        <w:pStyle w:val="Text"/>
      </w:pPr>
      <w:r w:rsidRPr="008D0377">
        <w:t>Wasserbeschaffenheit- Bestimmung ausgewählter Alkylphenole – Teil 1: Verfahren für nichtfiltrierte Proben mittels Flüssig-Flüssig-Extraktion und Gaschromatographie mit massenselektiver Detektion (ISO 18857-1:2005); Deutsche Fassung EN ISO 18857-1:2006</w:t>
      </w:r>
    </w:p>
    <w:p w14:paraId="7D97C686" w14:textId="4CC1FC14" w:rsidR="00B57E1B" w:rsidRPr="008D0377" w:rsidRDefault="00B57E1B" w:rsidP="00B57E1B">
      <w:pPr>
        <w:pStyle w:val="Text"/>
      </w:pPr>
      <w:r w:rsidRPr="008D0377">
        <w:t>DIN EN ISO 22475-1:2007-01</w:t>
      </w:r>
    </w:p>
    <w:p w14:paraId="42A7F7CB" w14:textId="77777777" w:rsidR="00B57E1B" w:rsidRPr="008D0377" w:rsidRDefault="00B57E1B" w:rsidP="00B57E1B">
      <w:pPr>
        <w:pStyle w:val="Text"/>
      </w:pPr>
      <w:r w:rsidRPr="008D0377">
        <w:lastRenderedPageBreak/>
        <w:t>Geotechnische Erkundung und Untersuchung – Probenentnahmeverfahren und Grundwassermessungen – Teil 1: Technische Grundlagen der Ausführung (ISO 22475-1:2006); Deutsche Fassung EN ISO 22475-1:2006</w:t>
      </w:r>
    </w:p>
    <w:p w14:paraId="05CB5260" w14:textId="48F06D7F" w:rsidR="00B57E1B" w:rsidRPr="008D0377" w:rsidRDefault="00B57E1B" w:rsidP="00B57E1B">
      <w:pPr>
        <w:pStyle w:val="Text"/>
      </w:pPr>
      <w:r w:rsidRPr="008D0377">
        <w:t>DIN EN ISO 22478:2006-07</w:t>
      </w:r>
    </w:p>
    <w:p w14:paraId="6423E5E5" w14:textId="77777777" w:rsidR="00B57E1B" w:rsidRPr="008D0377" w:rsidRDefault="00B57E1B" w:rsidP="00B57E1B">
      <w:pPr>
        <w:pStyle w:val="Text"/>
      </w:pPr>
      <w:r w:rsidRPr="008D0377">
        <w:t>Wasserbeschaffenheit - Bestimmung ausgewählter Explosivstoffe und verwandter Verbindungen – Verfahren mittels Hochleistungs-Flüssigkeitschromatographie (HPLC) mit UV-Detektion (ISO 22478:2006); Deutsche Fassung EN ISO 22478:2006</w:t>
      </w:r>
    </w:p>
    <w:p w14:paraId="7822C172" w14:textId="4AA57FFF" w:rsidR="00B57E1B" w:rsidRPr="008D0377" w:rsidRDefault="00B57E1B" w:rsidP="00B57E1B">
      <w:pPr>
        <w:pStyle w:val="Text"/>
      </w:pPr>
      <w:r w:rsidRPr="008D0377">
        <w:t>DIN ISO 10381-1:2003-08</w:t>
      </w:r>
    </w:p>
    <w:p w14:paraId="68641C5C" w14:textId="77777777" w:rsidR="00B57E1B" w:rsidRPr="008D0377" w:rsidRDefault="00B57E1B" w:rsidP="00B57E1B">
      <w:pPr>
        <w:pStyle w:val="Text"/>
      </w:pPr>
      <w:r w:rsidRPr="008D0377">
        <w:t xml:space="preserve">Bodenbeschaffenheit - Probenahme - Teil 1: Anleitung zur Aufstellung von </w:t>
      </w:r>
      <w:proofErr w:type="spellStart"/>
      <w:r w:rsidRPr="008D0377">
        <w:t>Probenahmeprogrammen</w:t>
      </w:r>
      <w:proofErr w:type="spellEnd"/>
      <w:r w:rsidRPr="008D0377">
        <w:t xml:space="preserve"> (ISO 10381-1:2002)</w:t>
      </w:r>
    </w:p>
    <w:p w14:paraId="3015D725" w14:textId="4A2C31D4" w:rsidR="00B57E1B" w:rsidRPr="008D0377" w:rsidRDefault="00B57E1B" w:rsidP="00B57E1B">
      <w:pPr>
        <w:pStyle w:val="Text"/>
      </w:pPr>
      <w:r w:rsidRPr="008D0377">
        <w:t>DIN ISO 10381-2:2003-08</w:t>
      </w:r>
    </w:p>
    <w:p w14:paraId="50EB703F" w14:textId="77777777" w:rsidR="00B57E1B" w:rsidRPr="008D0377" w:rsidRDefault="00B57E1B" w:rsidP="00B57E1B">
      <w:pPr>
        <w:pStyle w:val="Text"/>
      </w:pPr>
      <w:r w:rsidRPr="008D0377">
        <w:t xml:space="preserve">Bodenbeschaffenheit – Probenahme – Teil 2: Anleitung für </w:t>
      </w:r>
      <w:proofErr w:type="spellStart"/>
      <w:r w:rsidRPr="008D0377">
        <w:t>Probenahmeverfahren</w:t>
      </w:r>
      <w:proofErr w:type="spellEnd"/>
      <w:r w:rsidRPr="008D0377">
        <w:t xml:space="preserve"> (ISO 10381-2:2002)</w:t>
      </w:r>
    </w:p>
    <w:p w14:paraId="2B4CE8CE" w14:textId="1C8063D7" w:rsidR="00B57E1B" w:rsidRPr="008D0377" w:rsidRDefault="00B57E1B" w:rsidP="00B57E1B">
      <w:pPr>
        <w:pStyle w:val="Text"/>
      </w:pPr>
      <w:r w:rsidRPr="008D0377">
        <w:t>DIN ISO 10382:2003-05</w:t>
      </w:r>
    </w:p>
    <w:p w14:paraId="408BF1B1" w14:textId="77777777" w:rsidR="00B57E1B" w:rsidRPr="008D0377" w:rsidRDefault="00B57E1B" w:rsidP="00B57E1B">
      <w:pPr>
        <w:pStyle w:val="Text"/>
      </w:pPr>
      <w:r w:rsidRPr="008D0377">
        <w:t xml:space="preserve">Bodenbeschaffenheit - Bestimmung von </w:t>
      </w:r>
      <w:proofErr w:type="spellStart"/>
      <w:r w:rsidRPr="008D0377">
        <w:t>Organochlorpestiziden</w:t>
      </w:r>
      <w:proofErr w:type="spellEnd"/>
      <w:r w:rsidRPr="008D0377">
        <w:t xml:space="preserve"> und polychlorierten Biphenylen - Gaschromatographisches Verfahren mit Elektroneneinfang-Detektor (ISO 10382:2002)</w:t>
      </w:r>
    </w:p>
    <w:p w14:paraId="1B511393" w14:textId="0482F012" w:rsidR="00B57E1B" w:rsidRPr="008D0377" w:rsidRDefault="00B57E1B" w:rsidP="00B57E1B">
      <w:pPr>
        <w:pStyle w:val="Text"/>
      </w:pPr>
      <w:r w:rsidRPr="008D0377">
        <w:t>DIN ISO 11262:2012-04</w:t>
      </w:r>
    </w:p>
    <w:p w14:paraId="1068BE6E" w14:textId="77777777" w:rsidR="00B57E1B" w:rsidRPr="008D0377" w:rsidRDefault="00B57E1B" w:rsidP="00B57E1B">
      <w:pPr>
        <w:pStyle w:val="Text"/>
      </w:pPr>
      <w:r w:rsidRPr="008D0377">
        <w:t>Bodenbeschaffenheit - Bestimmung von Gesamtcyanid (ISO 11262:2011)</w:t>
      </w:r>
    </w:p>
    <w:p w14:paraId="42295BE0" w14:textId="2E40A886" w:rsidR="00B57E1B" w:rsidRPr="008D0377" w:rsidRDefault="00B57E1B" w:rsidP="00B57E1B">
      <w:pPr>
        <w:pStyle w:val="Text"/>
      </w:pPr>
      <w:r w:rsidRPr="008D0377">
        <w:t>DIN ISO 11277:2002-08</w:t>
      </w:r>
    </w:p>
    <w:p w14:paraId="47B68A40" w14:textId="77777777" w:rsidR="00B57E1B" w:rsidRPr="008D0377" w:rsidRDefault="00B57E1B" w:rsidP="00B57E1B">
      <w:pPr>
        <w:pStyle w:val="Text"/>
      </w:pPr>
      <w:r w:rsidRPr="008D0377">
        <w:t>Bodenbeschaffenheit - Bestimmung der Partikelgrößenverteilung in Mineralböden - Verfahren mittels Siebung und Sedimentation (ISO 11277:1998 + ISO 11277:1998 Corrigendum 1:2002)</w:t>
      </w:r>
    </w:p>
    <w:p w14:paraId="4D3AA1A9" w14:textId="018DE930" w:rsidR="00B57E1B" w:rsidRPr="008D0377" w:rsidRDefault="00B57E1B" w:rsidP="00B57E1B">
      <w:pPr>
        <w:pStyle w:val="Text"/>
      </w:pPr>
      <w:r w:rsidRPr="008D0377">
        <w:t>DIN ISO 11352:2013-03</w:t>
      </w:r>
    </w:p>
    <w:p w14:paraId="5D58A211" w14:textId="77777777" w:rsidR="00B57E1B" w:rsidRPr="008D0377" w:rsidRDefault="00B57E1B" w:rsidP="00B57E1B">
      <w:pPr>
        <w:pStyle w:val="Text"/>
      </w:pPr>
      <w:r w:rsidRPr="008D0377">
        <w:t>Wasserbeschaffenheit – Abschätzung der Messunsicherheit beruhend auf Validierungs- und Kontrolldaten (ISO 11352:2012)</w:t>
      </w:r>
    </w:p>
    <w:p w14:paraId="50E96BE6" w14:textId="3C377502" w:rsidR="00B57E1B" w:rsidRPr="008D0377" w:rsidRDefault="00B57E1B" w:rsidP="00B57E1B">
      <w:pPr>
        <w:pStyle w:val="Text"/>
      </w:pPr>
      <w:r w:rsidRPr="008D0377">
        <w:t xml:space="preserve">DIN ISO 11916-1:2014-11 </w:t>
      </w:r>
    </w:p>
    <w:p w14:paraId="25DD48AC" w14:textId="77777777" w:rsidR="00B57E1B" w:rsidRPr="008D0377" w:rsidRDefault="00B57E1B" w:rsidP="00B57E1B">
      <w:pPr>
        <w:pStyle w:val="Text"/>
      </w:pPr>
      <w:r w:rsidRPr="008D0377">
        <w:t>Bodenbeschaffenheit - Bestimmung von ausgewählten Explosivstoffen und verwandten Verbindungen – Teil 1: Verfahren mittels Hochleistungs-Flüssigkeitschromatographie (HPLC) und UV-Detektion (ISO 11916-1:2013)</w:t>
      </w:r>
    </w:p>
    <w:p w14:paraId="02B321C1" w14:textId="3690ABC3" w:rsidR="00B57E1B" w:rsidRPr="008D0377" w:rsidRDefault="00B57E1B" w:rsidP="00B57E1B">
      <w:pPr>
        <w:pStyle w:val="Text"/>
      </w:pPr>
      <w:r w:rsidRPr="008D0377">
        <w:t>DIN ISO 11916-2:2014-11</w:t>
      </w:r>
    </w:p>
    <w:p w14:paraId="2D229745" w14:textId="77777777" w:rsidR="00B57E1B" w:rsidRPr="008D0377" w:rsidRDefault="00B57E1B" w:rsidP="00B57E1B">
      <w:pPr>
        <w:pStyle w:val="Text"/>
      </w:pPr>
      <w:r w:rsidRPr="008D0377">
        <w:t>Bodenbeschaffenheit - Bestimmung von ausgewählten Explosivstoffen und verwandten Verbindungen – Teil 2: Verfahren mittels Gaschromatographie (GC) und Elektronen-Einfang-Detektion (ECD) oder massenspektrometrischer Detektion (MS) (ISO 11916-2:2013)</w:t>
      </w:r>
    </w:p>
    <w:p w14:paraId="05BEB334" w14:textId="671A3B91" w:rsidR="00B57E1B" w:rsidRPr="008D0377" w:rsidRDefault="00B57E1B" w:rsidP="00B57E1B">
      <w:pPr>
        <w:pStyle w:val="Text"/>
      </w:pPr>
      <w:r w:rsidRPr="008D0377">
        <w:t>E DIN ISO 17378-2:2017-01</w:t>
      </w:r>
    </w:p>
    <w:p w14:paraId="7FED7C72" w14:textId="77777777" w:rsidR="00B57E1B" w:rsidRPr="008D0377" w:rsidRDefault="00B57E1B" w:rsidP="00B57E1B">
      <w:pPr>
        <w:pStyle w:val="Text"/>
      </w:pPr>
      <w:r w:rsidRPr="008D0377">
        <w:t xml:space="preserve">Wasserbeschaffenheit - Bestimmung von Arsen und Antimon - Teil 2: Atomabsorptionsspektrometrie mit </w:t>
      </w:r>
      <w:proofErr w:type="spellStart"/>
      <w:r w:rsidRPr="008D0377">
        <w:t>Hydridbildung</w:t>
      </w:r>
      <w:proofErr w:type="spellEnd"/>
      <w:r w:rsidRPr="008D0377">
        <w:t xml:space="preserve"> (HG-AAS) (ISO 17378-2:2014)</w:t>
      </w:r>
    </w:p>
    <w:p w14:paraId="372F70C4" w14:textId="746C20CF" w:rsidR="00B57E1B" w:rsidRPr="008D0377" w:rsidRDefault="00B57E1B" w:rsidP="00B57E1B">
      <w:pPr>
        <w:pStyle w:val="Text"/>
      </w:pPr>
      <w:r w:rsidRPr="008D0377">
        <w:lastRenderedPageBreak/>
        <w:t>DIN ISO 14154:2005-12</w:t>
      </w:r>
    </w:p>
    <w:p w14:paraId="3205DE2E" w14:textId="77777777" w:rsidR="00B57E1B" w:rsidRPr="008D0377" w:rsidRDefault="00B57E1B" w:rsidP="00B57E1B">
      <w:pPr>
        <w:pStyle w:val="Text"/>
      </w:pPr>
      <w:r w:rsidRPr="008D0377">
        <w:t>Bodenbeschaffenheit - Bestimmung von ausgewählten Chlorphenolen - Gaschromatographisches Verfahren mit Elektronen-Einfang-Detektion (ISO 14154:2005)</w:t>
      </w:r>
    </w:p>
    <w:p w14:paraId="19D8AB5E" w14:textId="73339E0E" w:rsidR="00B57E1B" w:rsidRPr="008D0377" w:rsidRDefault="00B57E1B" w:rsidP="00B57E1B">
      <w:pPr>
        <w:pStyle w:val="Text"/>
      </w:pPr>
      <w:r w:rsidRPr="008D0377">
        <w:t>DIN ISO 18287:2006-05</w:t>
      </w:r>
    </w:p>
    <w:p w14:paraId="2832F36A" w14:textId="77777777" w:rsidR="00B57E1B" w:rsidRPr="008D0377" w:rsidRDefault="00B57E1B" w:rsidP="00B57E1B">
      <w:pPr>
        <w:pStyle w:val="Text"/>
      </w:pPr>
      <w:r w:rsidRPr="008D0377">
        <w:t>Bodenbeschaffenheit - Bestimmung der polycyclischen aromatischen Kohlenwasserstoffe (PAK) - Gaschromatographisches Verfahren mit Nachweis durch Massenspektrometrie (GC-MS) (ISO 18287:2006)</w:t>
      </w:r>
    </w:p>
    <w:p w14:paraId="3286E2C1" w14:textId="1E437ED7" w:rsidR="00B57E1B" w:rsidRPr="008D0377" w:rsidRDefault="00B57E1B" w:rsidP="00B57E1B">
      <w:pPr>
        <w:pStyle w:val="Text"/>
      </w:pPr>
      <w:r w:rsidRPr="008D0377">
        <w:t>DIN ISO 19730:2009-07</w:t>
      </w:r>
    </w:p>
    <w:p w14:paraId="7BB5E3EC" w14:textId="77777777" w:rsidR="00B57E1B" w:rsidRPr="008D0377" w:rsidRDefault="00B57E1B" w:rsidP="00B57E1B">
      <w:pPr>
        <w:pStyle w:val="Text"/>
      </w:pPr>
      <w:r w:rsidRPr="008D0377">
        <w:t>Bodenbeschaffenheit - Extraktion von Spurenelementen aus Böden mit Ammoniumnitratlösung (ISO 19730:2008)</w:t>
      </w:r>
    </w:p>
    <w:p w14:paraId="6D9873BB" w14:textId="1E65CC68" w:rsidR="00B57E1B" w:rsidRPr="008D0377" w:rsidRDefault="00B57E1B" w:rsidP="00B57E1B">
      <w:pPr>
        <w:pStyle w:val="Text"/>
      </w:pPr>
      <w:r w:rsidRPr="008D0377">
        <w:t>DIN ISO 20280:2010-05</w:t>
      </w:r>
    </w:p>
    <w:p w14:paraId="0C9CB5FD" w14:textId="77777777" w:rsidR="00B57E1B" w:rsidRPr="008D0377" w:rsidRDefault="00B57E1B" w:rsidP="00B57E1B">
      <w:pPr>
        <w:pStyle w:val="Text"/>
      </w:pPr>
      <w:r w:rsidRPr="008D0377">
        <w:t>Bodenbeschaffenheit - Bestimmung von Arsen, Antimon und Selen in Königswasser-Bodenextrakten mittels elektrothermischer oder Hydrid-Atomabsorptionsspektrometrie (ISO 20280:2007)</w:t>
      </w:r>
    </w:p>
    <w:p w14:paraId="218963E2" w14:textId="425F8481" w:rsidR="00B57E1B" w:rsidRPr="008D0377" w:rsidRDefault="00B57E1B" w:rsidP="00B57E1B">
      <w:pPr>
        <w:pStyle w:val="Text"/>
      </w:pPr>
      <w:r w:rsidRPr="008D0377">
        <w:t>DIN ISO 22036:2009-06</w:t>
      </w:r>
    </w:p>
    <w:p w14:paraId="2EC99A90" w14:textId="77777777" w:rsidR="00B57E1B" w:rsidRPr="008D0377" w:rsidRDefault="00B57E1B" w:rsidP="00B57E1B">
      <w:pPr>
        <w:pStyle w:val="Text"/>
      </w:pPr>
      <w:r w:rsidRPr="008D0377">
        <w:t xml:space="preserve">Bodenbeschaffenheit - Bestimmung von Spurenelementen in Bodenextrakten mittels Atomemissionsspektrometrie mit induktiv gekoppeltem Plasma (ICP-AES) (ISO 22036:2008) </w:t>
      </w:r>
    </w:p>
    <w:p w14:paraId="085552D7" w14:textId="656B10B8" w:rsidR="00B57E1B" w:rsidRPr="008D0377" w:rsidRDefault="00B57E1B" w:rsidP="00B57E1B">
      <w:pPr>
        <w:pStyle w:val="Text"/>
      </w:pPr>
      <w:r w:rsidRPr="008D0377">
        <w:t>LAGA PN 98:2001-12</w:t>
      </w:r>
    </w:p>
    <w:p w14:paraId="4C57B727" w14:textId="77777777" w:rsidR="00B57E1B" w:rsidRPr="008D0377" w:rsidRDefault="00B57E1B" w:rsidP="00B57E1B">
      <w:pPr>
        <w:pStyle w:val="Text"/>
      </w:pPr>
      <w:r w:rsidRPr="008D0377">
        <w:t>Richtlinie für das Vorgehen bei physikalischen, chemischen und biologischen Untersuchungen im Zusammenhang mit der Verwertung/Beseitigung von Abfällen; Mitteilungen Länderarbeitsgemeinschaft Abfall (LAGA) 32; 2002</w:t>
      </w:r>
    </w:p>
    <w:p w14:paraId="76B2CF90" w14:textId="576D4419" w:rsidR="00B57E1B" w:rsidRPr="008D0377" w:rsidRDefault="00B57E1B" w:rsidP="00B57E1B">
      <w:pPr>
        <w:pStyle w:val="Text"/>
      </w:pPr>
      <w:r w:rsidRPr="008D0377">
        <w:t>VDI 3865 Blatt 1:2005-06</w:t>
      </w:r>
    </w:p>
    <w:p w14:paraId="44D1C3C5" w14:textId="77777777" w:rsidR="00B57E1B" w:rsidRPr="008D0377" w:rsidRDefault="00B57E1B" w:rsidP="00B57E1B">
      <w:pPr>
        <w:pStyle w:val="Text"/>
      </w:pPr>
      <w:r w:rsidRPr="008D0377">
        <w:t>Messen organischer Bodenverunreinigungen - Messplanung für die Untersuchung der Bodenluft auf leichtflüchtige organische Verbindungen</w:t>
      </w:r>
    </w:p>
    <w:p w14:paraId="2494D8DB" w14:textId="15DA6A72" w:rsidR="00B57E1B" w:rsidRPr="008D0377" w:rsidRDefault="00B57E1B" w:rsidP="00B57E1B">
      <w:pPr>
        <w:pStyle w:val="Text"/>
      </w:pPr>
      <w:r w:rsidRPr="008D0377">
        <w:t>VDI 3865 Blatt 2:1998-01</w:t>
      </w:r>
    </w:p>
    <w:p w14:paraId="7D5000ED" w14:textId="77777777" w:rsidR="00B57E1B" w:rsidRPr="008D0377" w:rsidRDefault="00B57E1B" w:rsidP="00B57E1B">
      <w:pPr>
        <w:pStyle w:val="Text"/>
      </w:pPr>
      <w:r w:rsidRPr="008D0377">
        <w:t>Messen organischer Bodenverunreinigungen - Techniken für die aktive Entnahme von Bodenluftproben</w:t>
      </w:r>
    </w:p>
    <w:p w14:paraId="24766068" w14:textId="77325873" w:rsidR="00B57E1B" w:rsidRPr="008D0377" w:rsidRDefault="00B57E1B" w:rsidP="00B57E1B">
      <w:pPr>
        <w:pStyle w:val="Text"/>
      </w:pPr>
      <w:r w:rsidRPr="008D0377">
        <w:t xml:space="preserve">VDI 3865 Blatt 3:1998-06 </w:t>
      </w:r>
    </w:p>
    <w:p w14:paraId="6C5D3F0F" w14:textId="77777777" w:rsidR="00B57E1B" w:rsidRPr="008D0377" w:rsidRDefault="00B57E1B" w:rsidP="00B57E1B">
      <w:pPr>
        <w:pStyle w:val="Text"/>
      </w:pPr>
      <w:r w:rsidRPr="008D0377">
        <w:t>Messen organischer Bodenverunreinigungen - Gaschromatographische Bestimmung von niedrigsiedenden organischen Verbindungen in Bodenluft nach Anreicherung an Aktivkohle oder XAD-4 und Desorption mit organischem Lösungsmittel</w:t>
      </w:r>
    </w:p>
    <w:p w14:paraId="20714624" w14:textId="61782717" w:rsidR="00B57E1B" w:rsidRPr="008D0377" w:rsidRDefault="00B57E1B" w:rsidP="00B57E1B">
      <w:pPr>
        <w:pStyle w:val="Text"/>
      </w:pPr>
      <w:r w:rsidRPr="008D0377">
        <w:t xml:space="preserve">VDI 3860 Blatt 1:2006-05 </w:t>
      </w:r>
    </w:p>
    <w:p w14:paraId="349C92EB" w14:textId="77777777" w:rsidR="00B57E1B" w:rsidRPr="008D0377" w:rsidRDefault="00B57E1B" w:rsidP="00B57E1B">
      <w:pPr>
        <w:pStyle w:val="Text"/>
      </w:pPr>
      <w:r w:rsidRPr="008D0377">
        <w:t>Messen von Deponiegas - Grundlagen</w:t>
      </w:r>
    </w:p>
    <w:p w14:paraId="71654853" w14:textId="59808C2C" w:rsidR="00B57E1B" w:rsidRPr="008D0377" w:rsidRDefault="00B57E1B" w:rsidP="00B57E1B">
      <w:pPr>
        <w:pStyle w:val="Text"/>
      </w:pPr>
      <w:r w:rsidRPr="008D0377">
        <w:t xml:space="preserve"> VDI 3860 Blatt 2:2019-05 </w:t>
      </w:r>
    </w:p>
    <w:p w14:paraId="55947DFB" w14:textId="77777777" w:rsidR="00B57E1B" w:rsidRPr="008D0377" w:rsidRDefault="00B57E1B" w:rsidP="00B57E1B">
      <w:pPr>
        <w:pStyle w:val="Text"/>
      </w:pPr>
      <w:r w:rsidRPr="008D0377">
        <w:t>Messen von Deponiegasen - Messungen im Gaserfassungssystem</w:t>
      </w:r>
    </w:p>
    <w:p w14:paraId="0E11A1AF" w14:textId="338E66A0" w:rsidR="00B57E1B" w:rsidRPr="008D0377" w:rsidRDefault="00B57E1B" w:rsidP="00B57E1B">
      <w:pPr>
        <w:pStyle w:val="Text"/>
      </w:pPr>
      <w:r w:rsidRPr="008D0377">
        <w:lastRenderedPageBreak/>
        <w:t xml:space="preserve"> VDI 3860 Blatt 3:2017-11</w:t>
      </w:r>
    </w:p>
    <w:p w14:paraId="55746FE5" w14:textId="77777777" w:rsidR="00B57E1B" w:rsidRPr="008D0377" w:rsidRDefault="00B57E1B" w:rsidP="00B57E1B">
      <w:pPr>
        <w:pStyle w:val="Text"/>
      </w:pPr>
      <w:r w:rsidRPr="008D0377">
        <w:t>Messen von Deponiegasen - Messung von Methan an der Deponieoberfläche mittels Saugglockenverfahren</w:t>
      </w:r>
    </w:p>
    <w:p w14:paraId="5AAEAD8D" w14:textId="7903DE84" w:rsidR="00B57E1B" w:rsidRPr="008D0377" w:rsidRDefault="00B57E1B" w:rsidP="00B57E1B">
      <w:pPr>
        <w:pStyle w:val="Text"/>
      </w:pPr>
      <w:r w:rsidRPr="008D0377">
        <w:t>VDI 3865 Blatt 4:2000-12</w:t>
      </w:r>
    </w:p>
    <w:p w14:paraId="00580B1D" w14:textId="42958981" w:rsidR="00B57E1B" w:rsidRPr="00B57E1B" w:rsidRDefault="00B57E1B" w:rsidP="00B57E1B">
      <w:pPr>
        <w:pStyle w:val="Text"/>
      </w:pPr>
      <w:r w:rsidRPr="008D0377">
        <w:t>Messen organischer Bodenverunreinigungen - Gaschromatographische Bestimmung von niedrigsiedenden organischen Verbindungen in Bodenluft durch Direktmessung</w:t>
      </w:r>
    </w:p>
    <w:p w14:paraId="45D51891" w14:textId="0F0AC9A7" w:rsidR="00B57E1B" w:rsidRPr="00B57E1B" w:rsidRDefault="00B57E1B" w:rsidP="00B57E1B">
      <w:pPr>
        <w:pStyle w:val="ArtikelBezeichner"/>
      </w:pPr>
    </w:p>
    <w:p w14:paraId="780C35EC" w14:textId="553C6498" w:rsidR="00B57E1B" w:rsidRPr="008D0377" w:rsidRDefault="00B57E1B" w:rsidP="00B57E1B">
      <w:pPr>
        <w:pStyle w:val="Artikelberschrift"/>
      </w:pPr>
      <w:r w:rsidRPr="008D0377">
        <w:t>Änderung der Verordnung über Deponien und Langzeitlager</w:t>
      </w:r>
      <w:r w:rsidR="00D83684" w:rsidRPr="008D0377">
        <w:t xml:space="preserve"> (Deponierung – DepV)</w:t>
      </w:r>
    </w:p>
    <w:p w14:paraId="41D29A6E" w14:textId="12E00D9C" w:rsidR="00D83684" w:rsidRPr="008D0377" w:rsidRDefault="00D83684" w:rsidP="00D83684">
      <w:pPr>
        <w:pStyle w:val="JuristischerAbsatznichtnummeriert"/>
      </w:pPr>
      <w:r w:rsidRPr="008D0377">
        <w:t>Die Deponieverordnung vom 27. April 2009 (BGBl. I S. 900), die zuletzt durch Artikel 2 der Verordnung vom 30. Juni 2020 (BGBl. I S. 1533) geändert worden ist, wird wie folgt geändert:</w:t>
      </w:r>
    </w:p>
    <w:p w14:paraId="3876CCC6" w14:textId="5257D28D" w:rsidR="00D83684" w:rsidRDefault="00D83684" w:rsidP="00D83684">
      <w:pPr>
        <w:pStyle w:val="NummerierungStufe1"/>
      </w:pPr>
      <w:r>
        <w:t>In § 6 wird nach Absatz 1 folgender Absatz 1a angefügt:</w:t>
      </w:r>
    </w:p>
    <w:p w14:paraId="1F8EF1C2" w14:textId="77777777" w:rsidR="00D83684" w:rsidRPr="008D0377" w:rsidRDefault="00D83684" w:rsidP="008E5A5F">
      <w:pPr>
        <w:pStyle w:val="RevisionJuristischerAbsatzmanuell"/>
        <w:tabs>
          <w:tab w:val="clear" w:pos="850"/>
          <w:tab w:val="left" w:pos="1275"/>
        </w:tabs>
        <w:ind w:left="425" w:firstLine="350"/>
      </w:pPr>
      <w:r>
        <w:t>„</w:t>
      </w:r>
      <w:r w:rsidRPr="008D0377">
        <w:t xml:space="preserve">(1a) Folgende mineralische Ersatzbaustoffe im Sinne von § 2 Nummer 1 der Ersatzbaustoffverordnung vom … </w:t>
      </w:r>
      <w:r w:rsidRPr="008D0377">
        <w:rPr>
          <w:rStyle w:val="Marker"/>
        </w:rPr>
        <w:t>[einsetzen: Datum der Ausfertigung und Fundstelle im BGBl.]</w:t>
      </w:r>
      <w:r w:rsidRPr="008D0377">
        <w:t>, die als Abfall anfallen und die nach Abschnitt 3 Unterabschnitt 1 der Ersatzbaustoffverordnung güteüberwacht und klassifiziert sind oder nicht aufbereitetes Bodenmaterial und nicht aufbereitetes Baggergut, das nach Abschnitt 3 Unterabschnitt 2 der Ersatzbaustoffverordnung untersucht und klassifiziert ist, gelten ohne Beprobung nach Anhang 4 bei Anlieferung zur Deponie als</w:t>
      </w:r>
    </w:p>
    <w:p w14:paraId="24098D53" w14:textId="741E14A6" w:rsidR="00D83684" w:rsidRPr="008D0377" w:rsidRDefault="00260869" w:rsidP="008E5A5F">
      <w:pPr>
        <w:pStyle w:val="RevisionNummerierungStufe1manuell"/>
        <w:tabs>
          <w:tab w:val="clear" w:pos="425"/>
          <w:tab w:val="left" w:pos="850"/>
        </w:tabs>
        <w:ind w:left="850"/>
      </w:pPr>
      <w:r>
        <w:t>1.</w:t>
      </w:r>
      <w:r>
        <w:tab/>
      </w:r>
      <w:r w:rsidR="00D83684" w:rsidRPr="008D0377">
        <w:t>nicht gefährliche Abfälle, die die Zuordnungskriterien des Anhangs 3 Nummer 2 für die Deponieklasse I einhalten</w:t>
      </w:r>
    </w:p>
    <w:p w14:paraId="1D7F6CAA" w14:textId="69278238" w:rsidR="00D83684" w:rsidRPr="008D0377" w:rsidRDefault="00260869" w:rsidP="008E5A5F">
      <w:pPr>
        <w:pStyle w:val="RevisionNummerierungStufe2manuell"/>
        <w:tabs>
          <w:tab w:val="clear" w:pos="850"/>
          <w:tab w:val="left" w:pos="1275"/>
        </w:tabs>
        <w:ind w:left="1275"/>
      </w:pPr>
      <w:r>
        <w:t>a)</w:t>
      </w:r>
      <w:r>
        <w:tab/>
      </w:r>
      <w:r w:rsidR="00D83684" w:rsidRPr="008D0377">
        <w:t>Bodenmaterial der Klasse F2 oder F3 - BM-F2, BM-F3 -,</w:t>
      </w:r>
    </w:p>
    <w:p w14:paraId="3C78827C" w14:textId="3946F780" w:rsidR="00D83684" w:rsidRPr="008D0377" w:rsidRDefault="00260869" w:rsidP="008E5A5F">
      <w:pPr>
        <w:pStyle w:val="RevisionNummerierungStufe2manuell"/>
        <w:tabs>
          <w:tab w:val="clear" w:pos="850"/>
          <w:tab w:val="left" w:pos="1275"/>
        </w:tabs>
        <w:ind w:left="1275"/>
      </w:pPr>
      <w:r>
        <w:t>b)</w:t>
      </w:r>
      <w:r>
        <w:tab/>
      </w:r>
      <w:r w:rsidR="00D83684" w:rsidRPr="008D0377">
        <w:t>Baggergut der Klasse F2 oder F3 - BG-F2, BG-F3 -,</w:t>
      </w:r>
    </w:p>
    <w:p w14:paraId="1085DE24" w14:textId="543C07CF" w:rsidR="00D83684" w:rsidRPr="008D0377" w:rsidRDefault="00260869" w:rsidP="008E5A5F">
      <w:pPr>
        <w:pStyle w:val="RevisionNummerierungStufe2manuell"/>
        <w:tabs>
          <w:tab w:val="clear" w:pos="850"/>
          <w:tab w:val="left" w:pos="1275"/>
        </w:tabs>
        <w:ind w:left="1275"/>
      </w:pPr>
      <w:r>
        <w:t>c)</w:t>
      </w:r>
      <w:r>
        <w:tab/>
      </w:r>
      <w:r w:rsidR="00D83684" w:rsidRPr="008D0377">
        <w:t xml:space="preserve">Stahlwerksschlacke der Klasse 1 oder 2 - SWS-1, SWS-2, </w:t>
      </w:r>
    </w:p>
    <w:p w14:paraId="7AA7BE40" w14:textId="2252263F" w:rsidR="00D83684" w:rsidRPr="008D0377" w:rsidRDefault="00D83684" w:rsidP="008E5A5F">
      <w:pPr>
        <w:pStyle w:val="RevisionNummerierungStufe2manuell"/>
        <w:tabs>
          <w:tab w:val="clear" w:pos="850"/>
          <w:tab w:val="left" w:pos="1275"/>
        </w:tabs>
        <w:ind w:left="1275"/>
      </w:pPr>
      <w:r w:rsidRPr="008D0377">
        <w:t>d)</w:t>
      </w:r>
      <w:r w:rsidR="00260869">
        <w:tab/>
      </w:r>
      <w:r w:rsidRPr="008D0377">
        <w:t>Hochofenstückschlacke der Klasse 1 oder 2 - HOS-1, HOS-2 -,</w:t>
      </w:r>
    </w:p>
    <w:p w14:paraId="103A9FC7" w14:textId="2E9B64FE" w:rsidR="00D83684" w:rsidRPr="008D0377" w:rsidRDefault="00D83684" w:rsidP="008E5A5F">
      <w:pPr>
        <w:pStyle w:val="RevisionNummerierungStufe2manuell"/>
        <w:tabs>
          <w:tab w:val="clear" w:pos="850"/>
          <w:tab w:val="left" w:pos="1275"/>
        </w:tabs>
        <w:ind w:left="1275"/>
      </w:pPr>
      <w:r w:rsidRPr="008D0377">
        <w:t>e)</w:t>
      </w:r>
      <w:r w:rsidR="00260869">
        <w:tab/>
      </w:r>
      <w:r w:rsidRPr="008D0377">
        <w:t>Hüttensand - HS -,</w:t>
      </w:r>
    </w:p>
    <w:p w14:paraId="341058F4" w14:textId="75EE498D" w:rsidR="00D83684" w:rsidRPr="008D0377" w:rsidRDefault="00D83684" w:rsidP="008E5A5F">
      <w:pPr>
        <w:pStyle w:val="RevisionNummerierungStufe2manuell"/>
        <w:tabs>
          <w:tab w:val="clear" w:pos="850"/>
          <w:tab w:val="left" w:pos="1275"/>
        </w:tabs>
        <w:ind w:left="1275"/>
      </w:pPr>
      <w:r w:rsidRPr="008D0377">
        <w:t>f)</w:t>
      </w:r>
      <w:r w:rsidR="00260869">
        <w:tab/>
      </w:r>
      <w:proofErr w:type="spellStart"/>
      <w:r w:rsidRPr="008D0377">
        <w:t>Gießereikupolofenschlacke</w:t>
      </w:r>
      <w:proofErr w:type="spellEnd"/>
      <w:r w:rsidRPr="008D0377">
        <w:t xml:space="preserve"> - GKOS -,</w:t>
      </w:r>
    </w:p>
    <w:p w14:paraId="7231634D" w14:textId="02A4B281" w:rsidR="00D83684" w:rsidRPr="008D0377" w:rsidRDefault="00D83684" w:rsidP="008E5A5F">
      <w:pPr>
        <w:pStyle w:val="RevisionNummerierungStufe2manuell"/>
        <w:tabs>
          <w:tab w:val="clear" w:pos="850"/>
          <w:tab w:val="left" w:pos="1275"/>
        </w:tabs>
        <w:ind w:left="1275"/>
      </w:pPr>
      <w:r w:rsidRPr="008D0377">
        <w:t>g)</w:t>
      </w:r>
      <w:r w:rsidR="00260869">
        <w:tab/>
      </w:r>
      <w:r w:rsidRPr="008D0377">
        <w:t>Gießereirestsand der Klasse 1 - GRS-1 -,</w:t>
      </w:r>
    </w:p>
    <w:p w14:paraId="6BBB78EE" w14:textId="2E89F216" w:rsidR="00D83684" w:rsidRPr="008D0377" w:rsidRDefault="00D83684" w:rsidP="008E5A5F">
      <w:pPr>
        <w:pStyle w:val="RevisionNummerierungStufe2manuell"/>
        <w:tabs>
          <w:tab w:val="clear" w:pos="850"/>
          <w:tab w:val="left" w:pos="1275"/>
        </w:tabs>
        <w:ind w:left="1275"/>
      </w:pPr>
      <w:r w:rsidRPr="008D0377">
        <w:t>h)</w:t>
      </w:r>
      <w:r w:rsidR="00260869">
        <w:tab/>
      </w:r>
      <w:r w:rsidRPr="008D0377">
        <w:t>Kupferhüttenmaterial der Klasse 1 oder 2 - CUM-1, CUM-2 -,</w:t>
      </w:r>
    </w:p>
    <w:p w14:paraId="121B3B53" w14:textId="4108C78C" w:rsidR="00D83684" w:rsidRPr="008D0377" w:rsidRDefault="00D83684" w:rsidP="008E5A5F">
      <w:pPr>
        <w:pStyle w:val="RevisionNummerierungStufe2manuell"/>
        <w:tabs>
          <w:tab w:val="clear" w:pos="850"/>
          <w:tab w:val="left" w:pos="1275"/>
        </w:tabs>
        <w:ind w:left="1275"/>
      </w:pPr>
      <w:r w:rsidRPr="008D0377">
        <w:t>i)</w:t>
      </w:r>
      <w:r w:rsidR="00260869">
        <w:tab/>
      </w:r>
      <w:r w:rsidRPr="008D0377">
        <w:t>Steinkohlenkesselasche - SKA -,</w:t>
      </w:r>
    </w:p>
    <w:p w14:paraId="39BF922E" w14:textId="0156D515" w:rsidR="00D83684" w:rsidRPr="008D0377" w:rsidRDefault="00D83684" w:rsidP="008E5A5F">
      <w:pPr>
        <w:pStyle w:val="RevisionNummerierungStufe2manuell"/>
        <w:tabs>
          <w:tab w:val="clear" w:pos="850"/>
          <w:tab w:val="left" w:pos="1275"/>
        </w:tabs>
        <w:ind w:left="1275"/>
      </w:pPr>
      <w:r w:rsidRPr="008D0377">
        <w:t>j)</w:t>
      </w:r>
      <w:r w:rsidR="00260869">
        <w:tab/>
      </w:r>
      <w:r w:rsidRPr="008D0377">
        <w:t>Braunkohlenflugasche - BFA -,</w:t>
      </w:r>
    </w:p>
    <w:p w14:paraId="0557BCF1" w14:textId="5AB3CF4B" w:rsidR="00D83684" w:rsidRPr="008D0377" w:rsidRDefault="00D83684" w:rsidP="008E5A5F">
      <w:pPr>
        <w:pStyle w:val="RevisionNummerierungStufe2manuell"/>
        <w:tabs>
          <w:tab w:val="clear" w:pos="850"/>
          <w:tab w:val="left" w:pos="1275"/>
        </w:tabs>
        <w:ind w:left="1275"/>
      </w:pPr>
      <w:r w:rsidRPr="008D0377">
        <w:t>k)</w:t>
      </w:r>
      <w:r w:rsidR="00260869">
        <w:tab/>
      </w:r>
      <w:r w:rsidRPr="008D0377">
        <w:t xml:space="preserve">Hausmüllverbrennungsasche der Klasse 1oder 2 - HMVA-1, HMVA-2, </w:t>
      </w:r>
    </w:p>
    <w:p w14:paraId="11F80EF1" w14:textId="72571054" w:rsidR="00D83684" w:rsidRPr="008D0377" w:rsidRDefault="00D83684" w:rsidP="008E5A5F">
      <w:pPr>
        <w:pStyle w:val="RevisionNummerierungStufe2manuell"/>
        <w:tabs>
          <w:tab w:val="clear" w:pos="850"/>
          <w:tab w:val="left" w:pos="1275"/>
        </w:tabs>
        <w:ind w:left="1275"/>
      </w:pPr>
      <w:r w:rsidRPr="008D0377">
        <w:t>l)</w:t>
      </w:r>
      <w:r w:rsidR="00260869">
        <w:tab/>
      </w:r>
      <w:r w:rsidRPr="008D0377">
        <w:t>Recycling-Baustoff der Klasse 1, 2 oder 3 - RC-1, RC-2, RC-3 -</w:t>
      </w:r>
    </w:p>
    <w:p w14:paraId="6E94BEEC" w14:textId="3B008851" w:rsidR="00D83684" w:rsidRPr="008D0377" w:rsidRDefault="00D83684" w:rsidP="008E5A5F">
      <w:pPr>
        <w:pStyle w:val="RevisionNummerierungStufe2manuell"/>
        <w:tabs>
          <w:tab w:val="clear" w:pos="850"/>
          <w:tab w:val="left" w:pos="1275"/>
        </w:tabs>
        <w:ind w:left="1275"/>
      </w:pPr>
      <w:r w:rsidRPr="008D0377">
        <w:lastRenderedPageBreak/>
        <w:t>m)</w:t>
      </w:r>
      <w:r w:rsidR="00260869">
        <w:tab/>
      </w:r>
      <w:r w:rsidRPr="008D0377">
        <w:t>Gleisschotter der Klasse 2 oder 3 - GS-2, GS-3 -</w:t>
      </w:r>
    </w:p>
    <w:p w14:paraId="0DD688FE" w14:textId="22D11C70" w:rsidR="00D83684" w:rsidRPr="008D0377" w:rsidRDefault="00D83684" w:rsidP="008E5A5F">
      <w:pPr>
        <w:pStyle w:val="RevisionJuristischerAbsatzFolgeabsatz"/>
        <w:ind w:left="425"/>
      </w:pPr>
      <w:r w:rsidRPr="008D0377">
        <w:t>oder</w:t>
      </w:r>
    </w:p>
    <w:p w14:paraId="3B9C2AFC" w14:textId="42617D08" w:rsidR="00D83684" w:rsidRPr="008D0377" w:rsidRDefault="00260869" w:rsidP="008E5A5F">
      <w:pPr>
        <w:pStyle w:val="RevisionNummerierungStufe1manuell"/>
        <w:tabs>
          <w:tab w:val="clear" w:pos="425"/>
          <w:tab w:val="left" w:pos="850"/>
        </w:tabs>
        <w:ind w:left="850"/>
      </w:pPr>
      <w:r>
        <w:t>2.</w:t>
      </w:r>
      <w:r>
        <w:tab/>
      </w:r>
      <w:r w:rsidR="00D83684" w:rsidRPr="008D0377">
        <w:t xml:space="preserve">als </w:t>
      </w:r>
      <w:proofErr w:type="spellStart"/>
      <w:r w:rsidR="00D83684" w:rsidRPr="008D0377">
        <w:t>Inertabfälle</w:t>
      </w:r>
      <w:proofErr w:type="spellEnd"/>
      <w:r w:rsidR="00D83684" w:rsidRPr="008D0377">
        <w:t>, die die Zuordnungskriterien des Anhangs 3 Nummer 2 für die Deponieklasse 0 einhalten</w:t>
      </w:r>
    </w:p>
    <w:p w14:paraId="7129E215" w14:textId="4FA576C7" w:rsidR="00D83684" w:rsidRPr="008D0377" w:rsidRDefault="00260869" w:rsidP="008E5A5F">
      <w:pPr>
        <w:pStyle w:val="RevisionNummerierungStufe2manuell"/>
        <w:tabs>
          <w:tab w:val="clear" w:pos="850"/>
          <w:tab w:val="left" w:pos="1275"/>
        </w:tabs>
        <w:ind w:left="1275"/>
      </w:pPr>
      <w:r>
        <w:t>a)</w:t>
      </w:r>
      <w:r>
        <w:tab/>
      </w:r>
      <w:r w:rsidR="00D83684" w:rsidRPr="008D0377">
        <w:t>Bodenmaterial der Klasse 0, 0*, F0*oder F1 - BM-0, BM-0*, BM-F0*, BM-F1 -,</w:t>
      </w:r>
    </w:p>
    <w:p w14:paraId="6ED325FA" w14:textId="2FF32739" w:rsidR="00D83684" w:rsidRPr="008D0377" w:rsidRDefault="00260869" w:rsidP="008E5A5F">
      <w:pPr>
        <w:pStyle w:val="RevisionNummerierungStufe2manuell"/>
        <w:tabs>
          <w:tab w:val="clear" w:pos="850"/>
          <w:tab w:val="left" w:pos="1275"/>
        </w:tabs>
        <w:ind w:left="1275"/>
      </w:pPr>
      <w:r>
        <w:t>b)</w:t>
      </w:r>
      <w:r>
        <w:tab/>
      </w:r>
      <w:r w:rsidR="00D83684" w:rsidRPr="008D0377">
        <w:t>Baggergut der Klasse 0, 0*, F0* oder 1 - BG-0, BG-0*, BG-F0*, BG-F1 -,</w:t>
      </w:r>
    </w:p>
    <w:p w14:paraId="3564ECD2" w14:textId="34748308" w:rsidR="00D83684" w:rsidRPr="008D0377" w:rsidRDefault="00260869" w:rsidP="008E5A5F">
      <w:pPr>
        <w:pStyle w:val="RevisionNummerierungStufe2manuell"/>
        <w:tabs>
          <w:tab w:val="clear" w:pos="850"/>
          <w:tab w:val="left" w:pos="1275"/>
        </w:tabs>
        <w:ind w:left="1275"/>
      </w:pPr>
      <w:r>
        <w:t>c)</w:t>
      </w:r>
      <w:r>
        <w:tab/>
      </w:r>
      <w:r w:rsidR="00D83684" w:rsidRPr="008D0377">
        <w:t xml:space="preserve">Gleisschotter der Klasse 0 oder 1 - GS-0, GS-1 - und </w:t>
      </w:r>
    </w:p>
    <w:p w14:paraId="7BDDF7A5" w14:textId="05637E1D" w:rsidR="00D83684" w:rsidRPr="008D0377" w:rsidRDefault="00260869" w:rsidP="008E5A5F">
      <w:pPr>
        <w:pStyle w:val="RevisionNummerierungStufe2manuell"/>
        <w:tabs>
          <w:tab w:val="clear" w:pos="850"/>
          <w:tab w:val="left" w:pos="1275"/>
        </w:tabs>
        <w:ind w:left="1275"/>
      </w:pPr>
      <w:r>
        <w:t>d)</w:t>
      </w:r>
      <w:r>
        <w:tab/>
      </w:r>
      <w:r w:rsidR="00D83684" w:rsidRPr="008D0377">
        <w:t>Schmelzkammergranulat - SKG -.</w:t>
      </w:r>
    </w:p>
    <w:p w14:paraId="0E353F4C" w14:textId="6566F9A0" w:rsidR="00D83684" w:rsidRPr="008D0377" w:rsidRDefault="00D83684" w:rsidP="008E5A5F">
      <w:pPr>
        <w:pStyle w:val="RevisionJuristischerAbsatzFolgeabsatz"/>
        <w:ind w:left="425"/>
      </w:pPr>
      <w:r w:rsidRPr="008D0377">
        <w:t>Eine andere Zuordnung der in Satz 1 Nummer 1 und 2 genannten mineralischen Ersatzbaustoffe zu den Deponieklassen kann durch eine Beprobung und Abfalluntersuchung nach Anhang 4 erfolgen.</w:t>
      </w:r>
      <w:r w:rsidRPr="00D83684">
        <w:t>“</w:t>
      </w:r>
    </w:p>
    <w:p w14:paraId="64AB304F" w14:textId="14291295" w:rsidR="00D83684" w:rsidRDefault="00D83684" w:rsidP="00D83684">
      <w:pPr>
        <w:pStyle w:val="NummerierungStufe1"/>
      </w:pPr>
      <w:r>
        <w:t xml:space="preserve">§ 8 wird wie folgt geändert: </w:t>
      </w:r>
    </w:p>
    <w:p w14:paraId="06BA926F" w14:textId="411E91F7" w:rsidR="00D83684" w:rsidRDefault="00D83684" w:rsidP="00D83684">
      <w:pPr>
        <w:pStyle w:val="NummerierungStufe2"/>
      </w:pPr>
      <w:r>
        <w:t xml:space="preserve">In Absatz 1 Satz 5 werden nach den Wörtern </w:t>
      </w:r>
      <w:r w:rsidRPr="00D83684">
        <w:rPr>
          <w:rStyle w:val="RevisionText"/>
        </w:rPr>
        <w:t>„</w:t>
      </w:r>
      <w:r>
        <w:rPr>
          <w:rStyle w:val="RevisionText"/>
        </w:rPr>
        <w:t>eines Abfalls</w:t>
      </w:r>
      <w:r w:rsidRPr="00D83684">
        <w:rPr>
          <w:rStyle w:val="RevisionText"/>
        </w:rPr>
        <w:t>“</w:t>
      </w:r>
      <w:r>
        <w:t xml:space="preserve"> die Wörter </w:t>
      </w:r>
      <w:proofErr w:type="gramStart"/>
      <w:r w:rsidRPr="00D83684">
        <w:rPr>
          <w:rStyle w:val="RevisionText"/>
        </w:rPr>
        <w:t>„</w:t>
      </w:r>
      <w:r>
        <w:rPr>
          <w:rStyle w:val="RevisionText"/>
        </w:rPr>
        <w:t xml:space="preserve"> ,</w:t>
      </w:r>
      <w:proofErr w:type="gramEnd"/>
      <w:r>
        <w:rPr>
          <w:rStyle w:val="RevisionText"/>
        </w:rPr>
        <w:t xml:space="preserve"> </w:t>
      </w:r>
      <w:r w:rsidRPr="00D83684">
        <w:rPr>
          <w:rStyle w:val="RevisionText"/>
        </w:rPr>
        <w:t>ausgenommen Abfälle nach § 6 A</w:t>
      </w:r>
      <w:r>
        <w:rPr>
          <w:rStyle w:val="RevisionText"/>
        </w:rPr>
        <w:t>bsatz 1a Nummer 1 und Nummer 2,</w:t>
      </w:r>
      <w:r w:rsidRPr="00D83684">
        <w:rPr>
          <w:rStyle w:val="RevisionText"/>
        </w:rPr>
        <w:t>“</w:t>
      </w:r>
      <w:r>
        <w:t xml:space="preserve"> eingefügt.</w:t>
      </w:r>
    </w:p>
    <w:p w14:paraId="4CD29595" w14:textId="28536FDF" w:rsidR="00D83684" w:rsidRDefault="00D83684" w:rsidP="00D83684">
      <w:pPr>
        <w:pStyle w:val="NummerierungStufe2"/>
      </w:pPr>
      <w:r>
        <w:t xml:space="preserve">In Absatz 2 Satz 1 werden nach dem Wort </w:t>
      </w:r>
      <w:r w:rsidRPr="00D83684">
        <w:rPr>
          <w:rStyle w:val="RevisionText"/>
        </w:rPr>
        <w:t>„</w:t>
      </w:r>
      <w:r>
        <w:rPr>
          <w:rStyle w:val="RevisionText"/>
        </w:rPr>
        <w:t xml:space="preserve">enthalten, </w:t>
      </w:r>
      <w:r w:rsidRPr="00D83684">
        <w:rPr>
          <w:rStyle w:val="RevisionText"/>
        </w:rPr>
        <w:t>“</w:t>
      </w:r>
      <w:r>
        <w:t xml:space="preserve"> die Wörter </w:t>
      </w:r>
      <w:r w:rsidRPr="00D83684">
        <w:rPr>
          <w:rStyle w:val="RevisionText"/>
        </w:rPr>
        <w:t>„</w:t>
      </w:r>
      <w:r>
        <w:rPr>
          <w:rStyle w:val="RevisionText"/>
        </w:rPr>
        <w:t>bei Abfällen nach § 6 Absatz 1a Nummer 1 und Nummer 2</w:t>
      </w:r>
      <w:r w:rsidRPr="00D83684">
        <w:rPr>
          <w:rStyle w:val="RevisionText"/>
        </w:rPr>
        <w:t>“</w:t>
      </w:r>
      <w:r>
        <w:t xml:space="preserve"> eingefügt.</w:t>
      </w:r>
    </w:p>
    <w:p w14:paraId="23F79036" w14:textId="2C5B0573" w:rsidR="00D83684" w:rsidRDefault="00D83684" w:rsidP="00D83684">
      <w:pPr>
        <w:pStyle w:val="NummerierungStufe2"/>
      </w:pPr>
      <w:r>
        <w:t>Nach Absatz 8 wird folgender Absatz 8 a eingefügt:</w:t>
      </w:r>
    </w:p>
    <w:p w14:paraId="48D060B9" w14:textId="414C7E5A" w:rsidR="00D83684" w:rsidRPr="00260869" w:rsidRDefault="00D83684" w:rsidP="008E5A5F">
      <w:pPr>
        <w:pStyle w:val="RevisionJuristischerAbsatzmanuell"/>
        <w:tabs>
          <w:tab w:val="clear" w:pos="850"/>
          <w:tab w:val="left" w:pos="1700"/>
        </w:tabs>
        <w:ind w:left="850" w:firstLine="350"/>
      </w:pPr>
      <w:r>
        <w:t>„</w:t>
      </w:r>
      <w:r w:rsidR="00260869">
        <w:t>(8a)</w:t>
      </w:r>
      <w:r w:rsidR="00260869">
        <w:tab/>
      </w:r>
      <w:r w:rsidRPr="008D0377">
        <w:t>Überprüfungen nach Absatz 3 und Kontrollen nach Absatz 5, ausgenommen diejenigen nach Satz 4, sind für Abfälle nach § 6 Absatz 1a Nummer 1 und Nummer 2 nicht erforderlich. Abweichend von Absatz 1 Satz 1 Nummer 6 bis 8 und Nummer 12 sowie von Absatz 4 Satz 1 Nummer 3 ist für diese Abfälle die Einhaltung der Materialwerte der Anlage 1 der Ersatzbaustoffverordnung und gegebenenfalls die Klasse des mineralischen Ersatzbaustoffs jeweils durch die Dokumentation nach § 12 Absatz 1 Satz 1 der Ersatzbaustoffverordnung nachzuweisen. Für nicht aufbereitetes Bodenmaterial und nicht aufbereitetes Baggergut ist die Einhaltung der Materialwerte der Anlage 1 der Ersatzbaustoffverordnung und die Klasse des Bodenmaterials oder des Baggerguts durch die Dokumente nach § 17 der Ersatzbaustoffverordnung nachzuweisen.</w:t>
      </w:r>
      <w:r w:rsidRPr="00D83684">
        <w:t>“</w:t>
      </w:r>
    </w:p>
    <w:p w14:paraId="55C3DCC1" w14:textId="15E8B697" w:rsidR="00B57E1B" w:rsidRDefault="00B57E1B" w:rsidP="00B57E1B">
      <w:pPr>
        <w:pStyle w:val="ArtikelBezeichner"/>
      </w:pPr>
    </w:p>
    <w:p w14:paraId="565869B6" w14:textId="27222392" w:rsidR="00B57E1B" w:rsidRPr="00B57E1B" w:rsidRDefault="00D83684" w:rsidP="00D83684">
      <w:pPr>
        <w:pStyle w:val="Artikelberschrift"/>
      </w:pPr>
      <w:r>
        <w:t>Änderung der Gewerbeabfallverordnung</w:t>
      </w:r>
    </w:p>
    <w:p w14:paraId="62635816" w14:textId="5D9ED820" w:rsidR="00B57E1B" w:rsidRPr="008D0377" w:rsidRDefault="00D83684" w:rsidP="00B57E1B">
      <w:pPr>
        <w:pStyle w:val="JuristischerAbsatznichtnummeriert"/>
      </w:pPr>
      <w:r w:rsidRPr="008D0377">
        <w:t>Nach § 8 Absatz 1 der Gewerbeabfallverordnung vom 18. April 2017 (BGBl. I S. 896), die durch Artikel 5 Absatz 2 des Gesetzes vom 23. Oktober 2020 (BGBl. I S. 2232) geändert worden ist, wird folgender Absatz 1a eingefügt:</w:t>
      </w:r>
    </w:p>
    <w:p w14:paraId="32AA9A15" w14:textId="044FF1E5" w:rsidR="00D83684" w:rsidRPr="008D0377" w:rsidRDefault="00D83684" w:rsidP="008E5A5F">
      <w:pPr>
        <w:pStyle w:val="RevisionJuristischerAbsatzmanuell"/>
        <w:ind w:firstLine="350"/>
      </w:pPr>
      <w:r>
        <w:t>„</w:t>
      </w:r>
      <w:r w:rsidR="00260869">
        <w:t>(1a)</w:t>
      </w:r>
      <w:r w:rsidR="00260869">
        <w:tab/>
      </w:r>
      <w:r w:rsidRPr="008D0377">
        <w:t xml:space="preserve">Soweit beim Rückbau, bei der Sanierung oder bei der Reparatur technischer Bauwerke Stoffe nach § 2 Nummer 18 bis 29 und 32 der Ersatzbaustoffverordnung vom … </w:t>
      </w:r>
      <w:r w:rsidRPr="008D0377">
        <w:rPr>
          <w:rStyle w:val="Marker"/>
        </w:rPr>
        <w:t>[einsetzen: Tag der Verkündung und Fundstelle im BGBl.]</w:t>
      </w:r>
      <w:r w:rsidRPr="008D0377">
        <w:t xml:space="preserve"> als Abfälle anfallen, gilt für die Getrenntsammlung, die Vorbereitung zur Wiederverwendung und das Recycling dieser Abfälle ausschließlich § 24 der Ersatzbaustoffverordnung.</w:t>
      </w:r>
      <w:r w:rsidRPr="00D83684">
        <w:t>“</w:t>
      </w:r>
    </w:p>
    <w:p w14:paraId="6246B33A" w14:textId="77777777" w:rsidR="009B0B0B" w:rsidRDefault="009B0B0B" w:rsidP="009B0B0B">
      <w:pPr>
        <w:pStyle w:val="ArtikelBezeichner"/>
      </w:pPr>
    </w:p>
    <w:p w14:paraId="4D569641" w14:textId="42BA75A8" w:rsidR="009B0B0B" w:rsidRPr="008D0377" w:rsidRDefault="009B0B0B" w:rsidP="00D07F8C">
      <w:pPr>
        <w:pStyle w:val="Artikelberschrift"/>
      </w:pPr>
      <w:r w:rsidRPr="008D0377">
        <w:t>Inkrafttreten</w:t>
      </w:r>
      <w:r w:rsidR="00D96AD1">
        <w:t>;</w:t>
      </w:r>
      <w:r w:rsidR="00D83684" w:rsidRPr="008D0377">
        <w:t xml:space="preserve"> Außerkrafttreten</w:t>
      </w:r>
    </w:p>
    <w:p w14:paraId="632ADDAD" w14:textId="3A78DF77" w:rsidR="00D83684" w:rsidRPr="008D0377" w:rsidRDefault="00D83684" w:rsidP="00D83684">
      <w:pPr>
        <w:pStyle w:val="JuristischerAbsatznummeriert"/>
      </w:pPr>
      <w:r w:rsidRPr="008D0377">
        <w:t xml:space="preserve">Diese Verordnung tritt am … </w:t>
      </w:r>
      <w:r w:rsidRPr="008D0377">
        <w:rPr>
          <w:rStyle w:val="Marker"/>
        </w:rPr>
        <w:t>[einsetzen: Datum des ersten Tages des fünfundzwanzigsten auf die Verkündung dieser Verordnung folgenden Kalendermonats]</w:t>
      </w:r>
      <w:r w:rsidRPr="008D0377">
        <w:t xml:space="preserve"> in Kraft. Gleichzeitig tritt die Bundes-Bodenschutz- und Altlastenverordnung vom 12. Juli 1999 (BGBl. I S. 1554), die zuletzt durch Artikel 126 der Verordnung vom 19. Juni 2020 (BGBl. I S. 1328) geändert worden ist, außer Kraft.</w:t>
      </w:r>
    </w:p>
    <w:p w14:paraId="4A21A063" w14:textId="71499D14" w:rsidR="00D83684" w:rsidRPr="008D0377" w:rsidRDefault="00D83684" w:rsidP="00D83684">
      <w:pPr>
        <w:pStyle w:val="JuristischerAbsatznummeriert"/>
      </w:pPr>
      <w:r w:rsidRPr="008D0377">
        <w:t xml:space="preserve">Die Bundesregierung überprüft auf der Grundlage der abfallwirtschaftlichen Entwicklung bis zum … </w:t>
      </w:r>
      <w:r w:rsidRPr="008D0377">
        <w:rPr>
          <w:rStyle w:val="Marker"/>
        </w:rPr>
        <w:t>[einsetzen: Angaben des Tages und Monats des Inkrafttretens dieser Verordnung sowie der Jahreszahl des zweiten auf das Inkrafttreten folgenden Jahres]</w:t>
      </w:r>
      <w:r w:rsidRPr="008D0377">
        <w:t xml:space="preserve"> die Auswirkungen des Vollzugs der Regelungen auf die Verwertung mineralischer Abfälle und setzt Folgerungen gegebenenfalls durch Anpassungen der Verordnung um.</w:t>
      </w:r>
    </w:p>
    <w:p w14:paraId="2B7B55B9" w14:textId="3B0FE5D0" w:rsidR="00D83684" w:rsidRPr="008D0377" w:rsidRDefault="00D83684" w:rsidP="00D83684">
      <w:pPr>
        <w:pStyle w:val="JuristischerAbsatznummeriert"/>
      </w:pPr>
      <w:r w:rsidRPr="008D0377">
        <w:t>Die Bundesregierung führt ein wissenschaftlich begleitetes Monitoring durch, das insbesondere</w:t>
      </w:r>
    </w:p>
    <w:p w14:paraId="3594642A" w14:textId="7277879D" w:rsidR="00D83684" w:rsidRPr="008D0377" w:rsidRDefault="00902D87" w:rsidP="00902D87">
      <w:pPr>
        <w:pStyle w:val="JuristischerAbsatzFolgeabsatz"/>
      </w:pPr>
      <w:r>
        <w:t xml:space="preserve">- </w:t>
      </w:r>
      <w:r w:rsidR="00D83684" w:rsidRPr="008D0377">
        <w:t>eine Bestandsaufnahme,</w:t>
      </w:r>
    </w:p>
    <w:p w14:paraId="18D35D73" w14:textId="4F3B82AA" w:rsidR="00D83684" w:rsidRPr="008D0377" w:rsidRDefault="00902D87" w:rsidP="00902D87">
      <w:pPr>
        <w:pStyle w:val="JuristischerAbsatzFolgeabsatz"/>
      </w:pPr>
      <w:r>
        <w:t xml:space="preserve">- </w:t>
      </w:r>
      <w:r w:rsidR="00D83684" w:rsidRPr="008D0377">
        <w:t>die Evaluierung der Werteregelungen des Fachkonzeptes der Ersatzbaustoffverordnung,</w:t>
      </w:r>
    </w:p>
    <w:p w14:paraId="7FB4D579" w14:textId="391080A3" w:rsidR="00D83684" w:rsidRPr="008D0377" w:rsidRDefault="00902D87" w:rsidP="00902D87">
      <w:pPr>
        <w:pStyle w:val="JuristischerAbsatzFolgeabsatz"/>
      </w:pPr>
      <w:r>
        <w:t xml:space="preserve">- </w:t>
      </w:r>
      <w:r w:rsidR="00D83684" w:rsidRPr="008D0377">
        <w:t>die Evaluierung der Werteregelungen der Bundesbodenschutz- und Altlastenverordnung,</w:t>
      </w:r>
    </w:p>
    <w:p w14:paraId="576E74D9" w14:textId="4923AEA1" w:rsidR="00D83684" w:rsidRPr="008D0377" w:rsidRDefault="00902D87" w:rsidP="00902D87">
      <w:pPr>
        <w:pStyle w:val="JuristischerAbsatzFolgeabsatz"/>
      </w:pPr>
      <w:r>
        <w:t xml:space="preserve">- </w:t>
      </w:r>
      <w:r w:rsidR="00D83684" w:rsidRPr="008D0377">
        <w:t>die tatsächliche Nutzung von mineralischen Ersatzbaustoffen unter Berücksichtigung der in bautechnischen Normen und Regelwerken festgelegten geeigneten Bauweisen sowie regionaler Verfügbarkeiten und Märkte,</w:t>
      </w:r>
    </w:p>
    <w:p w14:paraId="43858645" w14:textId="78EF1FEA" w:rsidR="00D83684" w:rsidRPr="008D0377" w:rsidRDefault="00902D87" w:rsidP="00902D87">
      <w:pPr>
        <w:pStyle w:val="JuristischerAbsatzFolgeabsatz"/>
      </w:pPr>
      <w:r>
        <w:t xml:space="preserve">- </w:t>
      </w:r>
      <w:r w:rsidR="00D83684" w:rsidRPr="008D0377">
        <w:t>die Entwicklung der Deponiemengen der in den Regelungsbereich der Verordnung fallenden mineralischen Abfälle,</w:t>
      </w:r>
    </w:p>
    <w:p w14:paraId="747CCBF2" w14:textId="08A85483" w:rsidR="00D83684" w:rsidRPr="008D0377" w:rsidRDefault="00902D87" w:rsidP="00902D87">
      <w:pPr>
        <w:pStyle w:val="JuristischerAbsatzFolgeabsatz"/>
      </w:pPr>
      <w:r>
        <w:t xml:space="preserve">- </w:t>
      </w:r>
      <w:r w:rsidR="00D83684" w:rsidRPr="008D0377">
        <w:t xml:space="preserve">die Wiederverwendungspotentiale der Ersatzbaustoffe mit höheren Schadstoffgesamtgehalten im </w:t>
      </w:r>
      <w:proofErr w:type="spellStart"/>
      <w:r w:rsidR="00D83684" w:rsidRPr="008D0377">
        <w:t>second-life</w:t>
      </w:r>
      <w:proofErr w:type="spellEnd"/>
      <w:r w:rsidR="00D83684" w:rsidRPr="008D0377">
        <w:t xml:space="preserve"> sowie </w:t>
      </w:r>
    </w:p>
    <w:p w14:paraId="72A8FCAB" w14:textId="3CBEECD9" w:rsidR="00D83684" w:rsidRPr="008D0377" w:rsidRDefault="00902D87" w:rsidP="00902D87">
      <w:pPr>
        <w:pStyle w:val="JuristischerAbsatzFolgeabsatz"/>
      </w:pPr>
      <w:r>
        <w:t xml:space="preserve">- </w:t>
      </w:r>
      <w:r w:rsidR="00D83684" w:rsidRPr="008D0377">
        <w:t>die Ableitung von Indikatoren und Parametern, um die zukünftige Entwicklung des Recyclings und der Verwertung mineralischer Ersatzbaustoffe in einem fortlaufenden Monitoring zu verfolgen,</w:t>
      </w:r>
    </w:p>
    <w:p w14:paraId="0DCF21D2" w14:textId="57F232C4" w:rsidR="009B0B0B" w:rsidRDefault="00D83684" w:rsidP="00260869">
      <w:pPr>
        <w:pStyle w:val="JuristischerAbsatzFolgeabsatz"/>
      </w:pPr>
      <w:r w:rsidRPr="008D0377">
        <w:t>umfasst und berichtet bis zum (einsetzen: Angaben des Tages und Monats des Inkrafttretens dieser Verordnung sowie der Jahreszahl des vierten auf das Inkrafttreten folgenden Jahres) dem Deutschen Bundestag über die Ergebnisse.</w:t>
      </w:r>
    </w:p>
    <w:p w14:paraId="22C6F853" w14:textId="0C4E16B4" w:rsidR="009B0B0B" w:rsidRDefault="009B0B0B" w:rsidP="008D0377">
      <w:pPr>
        <w:pStyle w:val="Schlussformel"/>
      </w:pPr>
      <w:r w:rsidRPr="008D0377">
        <w:t>Der Bundesrat hat zugestimmt.</w:t>
      </w:r>
    </w:p>
    <w:sectPr w:rsidR="009B0B0B" w:rsidSect="007947FE">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BA3AA" w14:textId="77777777" w:rsidR="00FC7C49" w:rsidRDefault="00FC7C49" w:rsidP="005D1540">
      <w:pPr>
        <w:spacing w:before="0" w:after="0"/>
      </w:pPr>
      <w:r>
        <w:separator/>
      </w:r>
    </w:p>
  </w:endnote>
  <w:endnote w:type="continuationSeparator" w:id="0">
    <w:p w14:paraId="5CC149F9" w14:textId="77777777" w:rsidR="00FC7C49" w:rsidRDefault="00FC7C49"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Frutiger 45 Light">
    <w:altName w:val="Arial Narrow"/>
    <w:charset w:val="00"/>
    <w:family w:val="swiss"/>
    <w:pitch w:val="variable"/>
    <w:sig w:usb0="00000003" w:usb1="00000000" w:usb2="00000000" w:usb3="00000000" w:csb0="00000001" w:csb1="00000000"/>
  </w:font>
  <w:font w:name="Meta Offc">
    <w:altName w:val="Arial"/>
    <w:charset w:val="00"/>
    <w:family w:val="swiss"/>
    <w:pitch w:val="variable"/>
    <w:sig w:usb0="00000003" w:usb1="5000207B" w:usb2="00000008" w:usb3="00000000" w:csb0="00000001" w:csb1="00000000"/>
  </w:font>
  <w:font w:name="Arial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TE40C14E8t00">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64457" w14:textId="77777777" w:rsidR="00FC7C49" w:rsidRDefault="00FC7C49" w:rsidP="005D1540">
      <w:pPr>
        <w:spacing w:before="0" w:after="0"/>
      </w:pPr>
      <w:r>
        <w:separator/>
      </w:r>
    </w:p>
  </w:footnote>
  <w:footnote w:type="continuationSeparator" w:id="0">
    <w:p w14:paraId="0BEF0047" w14:textId="77777777" w:rsidR="00FC7C49" w:rsidRDefault="00FC7C49" w:rsidP="005D1540">
      <w:pPr>
        <w:spacing w:before="0" w:after="0"/>
      </w:pPr>
      <w:r>
        <w:continuationSeparator/>
      </w:r>
    </w:p>
  </w:footnote>
  <w:footnote w:id="1">
    <w:p w14:paraId="23567654" w14:textId="6EE44BBA" w:rsidR="00FC7C49" w:rsidRPr="00D671AA" w:rsidRDefault="00FC7C49" w:rsidP="008D0377">
      <w:pPr>
        <w:pStyle w:val="Funotentext"/>
      </w:pPr>
      <w:r>
        <w:rPr>
          <w:rStyle w:val="Funotenzeichen"/>
        </w:rPr>
        <w:footnoteRef/>
      </w:r>
      <w:r>
        <w:t>)</w:t>
      </w:r>
      <w:r>
        <w:tab/>
      </w:r>
      <w:r w:rsidRPr="00C779BA">
        <w:t>Notifiziert gemäß der Richtlinie (EU) 2015/1535 des Europäischen Parlaments und des Rates vom 9. September 2015 über ein Informationsverfahren auf dem Gebiet der technischen Vorschriften und der Vorschriften für die Dienste der Informationsgesellschaft (ABl. L 241 vom 17.9.2015, S. 1).</w:t>
      </w:r>
    </w:p>
  </w:footnote>
  <w:footnote w:id="2">
    <w:p w14:paraId="470636AD" w14:textId="77777777" w:rsidR="00FC7C49" w:rsidRDefault="00FC7C49">
      <w:pPr>
        <w:pStyle w:val="Funotentext"/>
      </w:pPr>
      <w:r>
        <w:rPr>
          <w:rStyle w:val="Funotenzeichen"/>
        </w:rPr>
        <w:footnoteRef/>
      </w:r>
      <w:r w:rsidRPr="00D07F8C">
        <w:rPr>
          <w:rStyle w:val="Funotenzeichen"/>
          <w:vertAlign w:val="baseline"/>
        </w:rPr>
        <w:t>)</w:t>
      </w:r>
      <w:r>
        <w:tab/>
      </w:r>
      <w:r w:rsidRPr="00D07F8C">
        <w:t>Richtlinien, Technische Lieferbedingungen, Technische Vertragsbedingungen und Merkblätter der Forschungsgesellschaft für Straßen- und Verkehrswesen sind im FGSV-Verlag GmbH, Köln, erschienen und beim Deutschen Marken- und Patentamt in München archiviert und einsehbar.</w:t>
      </w:r>
      <w:r>
        <w:t xml:space="preserve"> </w:t>
      </w:r>
    </w:p>
  </w:footnote>
  <w:footnote w:id="3">
    <w:p w14:paraId="546C7399" w14:textId="77777777" w:rsidR="00FC7C49" w:rsidRDefault="00FC7C49">
      <w:pPr>
        <w:pStyle w:val="Funotentext"/>
      </w:pPr>
      <w:r>
        <w:rPr>
          <w:rStyle w:val="Funotenzeichen"/>
        </w:rPr>
        <w:footnoteRef/>
      </w:r>
      <w:r w:rsidRPr="00D07F8C">
        <w:rPr>
          <w:rStyle w:val="Funotenzeichen"/>
          <w:vertAlign w:val="baseline"/>
        </w:rPr>
        <w:t>)</w:t>
      </w:r>
      <w:r>
        <w:tab/>
      </w:r>
      <w:r w:rsidRPr="00D07F8C">
        <w:t>DIN-, EN- und ISO-Normen sind Beuth Verlag GmbH, Berlin und Köln, erschienen und beim Deutschen Patent- und Markenamt in München archivmäßig gesichert niedergelegt und einsehbar.</w:t>
      </w:r>
    </w:p>
  </w:footnote>
  <w:footnote w:id="4">
    <w:p w14:paraId="5F9B8BDF" w14:textId="77777777" w:rsidR="00FC7C49" w:rsidRDefault="00FC7C49">
      <w:pPr>
        <w:pStyle w:val="Funotentext"/>
      </w:pPr>
      <w:r>
        <w:rPr>
          <w:rStyle w:val="Funotenzeichen"/>
        </w:rPr>
        <w:footnoteRef/>
      </w:r>
      <w:r w:rsidRPr="00D07F8C">
        <w:rPr>
          <w:rStyle w:val="Funotenzeichen"/>
          <w:vertAlign w:val="baseline"/>
        </w:rPr>
        <w:t>)</w:t>
      </w:r>
      <w:r>
        <w:tab/>
      </w:r>
      <w:r w:rsidRPr="00D07F8C">
        <w:t>Die LAGA Mitteilung 32 (PN 98 – Richtlinie für das Vorgehen bei physikalischen, chemischen und biologischen Untersuchungen im Zusammenhang mit der Verwertung/Beseitigung von Abfällen) in Verbindung mit der Handlungshilfe zur Anwendung der LAGA Mitteilung 32 (LAGA PN 98) vom 05.Mai 2019 ist auf der Internetseite der Bund/Länder Arbeitsgemeinschaft Abfall unter www.laga-online.de hinterlegt und einsehbar.</w:t>
      </w:r>
    </w:p>
  </w:footnote>
  <w:footnote w:id="5">
    <w:p w14:paraId="6D51DB4D" w14:textId="77777777" w:rsidR="00FC7C49" w:rsidRDefault="00FC7C49" w:rsidP="001F4995">
      <w:pPr>
        <w:pStyle w:val="Funotentext"/>
        <w:jc w:val="left"/>
      </w:pPr>
      <w:r>
        <w:rPr>
          <w:rStyle w:val="Funotenzeichen"/>
        </w:rPr>
        <w:footnoteRef/>
      </w:r>
      <w:r w:rsidRPr="001F4995">
        <w:rPr>
          <w:rStyle w:val="Funotenzeichen"/>
          <w:vertAlign w:val="baseline"/>
        </w:rPr>
        <w:t>)</w:t>
      </w:r>
      <w:r>
        <w:tab/>
        <w:t>Die Richtlinie 836.4108 der Deutschen Bahn AG ist auf der Internetseite der Deutschen Bahn AG</w:t>
      </w:r>
    </w:p>
    <w:p w14:paraId="78570B63" w14:textId="77777777" w:rsidR="00FC7C49" w:rsidRDefault="00D27887" w:rsidP="001F4995">
      <w:pPr>
        <w:pStyle w:val="Funotentext"/>
        <w:ind w:firstLine="0"/>
        <w:jc w:val="left"/>
      </w:pPr>
      <w:hyperlink r:id="rId1" w:history="1">
        <w:r w:rsidR="00FC7C49" w:rsidRPr="00CA6661">
          <w:rPr>
            <w:rStyle w:val="Hyperlink"/>
          </w:rPr>
          <w:t>https://mediendienste.extranet.deutschebahn.com/TM/PDF/2020-03-</w:t>
        </w:r>
      </w:hyperlink>
      <w:r w:rsidR="00FC7C49">
        <w:t>04_Ril%20836.4108_Bahnbauweisen%20f%C3%BCr%20den%20Einsatz%20mineralischer%20Ersatzbaustoffe_Entwurf.pdf</w:t>
      </w:r>
    </w:p>
    <w:p w14:paraId="3E5CBCE4" w14:textId="77777777" w:rsidR="00FC7C49" w:rsidRDefault="00FC7C49" w:rsidP="001F4995">
      <w:pPr>
        <w:pStyle w:val="Funotentext"/>
        <w:ind w:firstLine="0"/>
        <w:jc w:val="left"/>
      </w:pPr>
      <w:r>
        <w:t>veröffentlicht und bei der Deutschen Nationalbibliothek archivmäßig gesichert niedergelegt und einsehbar.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4DD15" w14:textId="2A4A313C" w:rsidR="00FC7C49" w:rsidRPr="007947FE" w:rsidRDefault="007947FE" w:rsidP="007947FE">
    <w:pPr>
      <w:pStyle w:val="Kopfzeile"/>
    </w:pPr>
    <w:r>
      <w:tab/>
      <w:t xml:space="preserve">- </w:t>
    </w:r>
    <w:r>
      <w:fldChar w:fldCharType="begin"/>
    </w:r>
    <w:r>
      <w:instrText xml:space="preserve"> PAGE  \* MERGEFORMAT </w:instrText>
    </w:r>
    <w:r>
      <w:fldChar w:fldCharType="separate"/>
    </w:r>
    <w:r w:rsidR="00175A7A">
      <w:rPr>
        <w:noProof/>
      </w:rPr>
      <w:t>32</w:t>
    </w:r>
    <w:r>
      <w:fldChar w:fldCharType="end"/>
    </w:r>
    <w:r w:rsidRPr="007947FE">
      <w:t xml:space="preserve"> -</w:t>
    </w:r>
    <w:r w:rsidRPr="007947FE">
      <w:tab/>
    </w:r>
    <w:r w:rsidR="00D27887">
      <w:fldChar w:fldCharType="begin"/>
    </w:r>
    <w:r w:rsidR="00D27887">
      <w:instrText xml:space="preserve"> DOCPROPERTY "Bearbeitungsstand" \* MERGEFORMAT </w:instrText>
    </w:r>
    <w:r w:rsidR="00D27887">
      <w:fldChar w:fldCharType="separate"/>
    </w:r>
    <w:r w:rsidRPr="007947FE">
      <w:rPr>
        <w:sz w:val="18"/>
      </w:rPr>
      <w:t xml:space="preserve">Bearbeitungsstand: </w:t>
    </w:r>
    <w:proofErr w:type="gramStart"/>
    <w:r w:rsidRPr="007947FE">
      <w:rPr>
        <w:sz w:val="18"/>
      </w:rPr>
      <w:t>19.02.2021  8</w:t>
    </w:r>
    <w:proofErr w:type="gramEnd"/>
    <w:r w:rsidRPr="007947FE">
      <w:rPr>
        <w:sz w:val="18"/>
      </w:rPr>
      <w:t>:23 Uhr</w:t>
    </w:r>
    <w:r w:rsidR="00D27887">
      <w:rP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3ABE2" w14:textId="07392244" w:rsidR="00FC7C49" w:rsidRPr="007947FE" w:rsidRDefault="007947FE" w:rsidP="007947FE">
    <w:pPr>
      <w:pStyle w:val="Kopfzeile"/>
    </w:pPr>
    <w:r>
      <w:tab/>
    </w:r>
    <w:r w:rsidRPr="007947FE">
      <w:tab/>
    </w:r>
    <w:r w:rsidR="00D27887">
      <w:fldChar w:fldCharType="begin"/>
    </w:r>
    <w:r w:rsidR="00D27887">
      <w:instrText xml:space="preserve"> DOCPROPERTY "Bearbeitungsstand" \* MERGEFORMAT </w:instrText>
    </w:r>
    <w:r w:rsidR="00D27887">
      <w:fldChar w:fldCharType="separate"/>
    </w:r>
    <w:r w:rsidRPr="007947FE">
      <w:rPr>
        <w:sz w:val="18"/>
      </w:rPr>
      <w:t xml:space="preserve">Bearbeitungsstand: </w:t>
    </w:r>
    <w:proofErr w:type="gramStart"/>
    <w:r w:rsidRPr="007947FE">
      <w:rPr>
        <w:sz w:val="18"/>
      </w:rPr>
      <w:t>19.02.2021  8</w:t>
    </w:r>
    <w:proofErr w:type="gramEnd"/>
    <w:r w:rsidRPr="007947FE">
      <w:rPr>
        <w:sz w:val="18"/>
      </w:rPr>
      <w:t>:23 Uhr</w:t>
    </w:r>
    <w:r w:rsidR="00D27887">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2ECDCFC"/>
    <w:lvl w:ilvl="0">
      <w:start w:val="1"/>
      <w:numFmt w:val="bullet"/>
      <w:pStyle w:val="standard1"/>
      <w:lvlText w:val=""/>
      <w:lvlJc w:val="left"/>
      <w:pPr>
        <w:tabs>
          <w:tab w:val="num" w:pos="-633"/>
        </w:tabs>
        <w:ind w:left="-633" w:hanging="360"/>
      </w:pPr>
      <w:rPr>
        <w:rFonts w:ascii="Symbol" w:hAnsi="Symbol" w:hint="default"/>
      </w:rPr>
    </w:lvl>
  </w:abstractNum>
  <w:abstractNum w:abstractNumId="1"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2" w15:restartNumberingAfterBreak="0">
    <w:nsid w:val="060344C3"/>
    <w:multiLevelType w:val="hybridMultilevel"/>
    <w:tmpl w:val="F0860786"/>
    <w:lvl w:ilvl="0" w:tplc="FB64F774">
      <w:start w:val="1"/>
      <w:numFmt w:val="upperRoman"/>
      <w:pStyle w:val="NKRAufzhlungrmisch"/>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4" w15:restartNumberingAfterBreak="0">
    <w:nsid w:val="0B72339F"/>
    <w:multiLevelType w:val="hybridMultilevel"/>
    <w:tmpl w:val="56DE17FA"/>
    <w:styleLink w:val="ListeBMJnumerisch231"/>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CF84362"/>
    <w:multiLevelType w:val="hybridMultilevel"/>
    <w:tmpl w:val="7A20BF8E"/>
    <w:lvl w:ilvl="0" w:tplc="B8DED368">
      <w:start w:val="1"/>
      <w:numFmt w:val="decimal"/>
      <w:lvlText w:val="%1)"/>
      <w:lvlJc w:val="left"/>
      <w:pPr>
        <w:tabs>
          <w:tab w:val="num" w:pos="360"/>
        </w:tabs>
        <w:ind w:left="360" w:hanging="360"/>
      </w:pPr>
      <w:rPr>
        <w:rFonts w:hint="default"/>
        <w:vertAlign w:val="superscript"/>
      </w:rPr>
    </w:lvl>
    <w:lvl w:ilvl="1" w:tplc="04070019" w:tentative="1">
      <w:start w:val="1"/>
      <w:numFmt w:val="lowerLetter"/>
      <w:lvlText w:val="%2."/>
      <w:lvlJc w:val="left"/>
      <w:pPr>
        <w:tabs>
          <w:tab w:val="num" w:pos="-540"/>
        </w:tabs>
        <w:ind w:left="-540" w:hanging="360"/>
      </w:pPr>
    </w:lvl>
    <w:lvl w:ilvl="2" w:tplc="0407001B" w:tentative="1">
      <w:start w:val="1"/>
      <w:numFmt w:val="lowerRoman"/>
      <w:lvlText w:val="%3."/>
      <w:lvlJc w:val="right"/>
      <w:pPr>
        <w:tabs>
          <w:tab w:val="num" w:pos="180"/>
        </w:tabs>
        <w:ind w:left="180" w:hanging="180"/>
      </w:pPr>
    </w:lvl>
    <w:lvl w:ilvl="3" w:tplc="0407000F" w:tentative="1">
      <w:start w:val="1"/>
      <w:numFmt w:val="decimal"/>
      <w:lvlText w:val="%4."/>
      <w:lvlJc w:val="left"/>
      <w:pPr>
        <w:tabs>
          <w:tab w:val="num" w:pos="900"/>
        </w:tabs>
        <w:ind w:left="900" w:hanging="360"/>
      </w:pPr>
    </w:lvl>
    <w:lvl w:ilvl="4" w:tplc="04070019" w:tentative="1">
      <w:start w:val="1"/>
      <w:numFmt w:val="lowerLetter"/>
      <w:lvlText w:val="%5."/>
      <w:lvlJc w:val="left"/>
      <w:pPr>
        <w:tabs>
          <w:tab w:val="num" w:pos="1620"/>
        </w:tabs>
        <w:ind w:left="1620" w:hanging="360"/>
      </w:pPr>
    </w:lvl>
    <w:lvl w:ilvl="5" w:tplc="0407001B" w:tentative="1">
      <w:start w:val="1"/>
      <w:numFmt w:val="lowerRoman"/>
      <w:lvlText w:val="%6."/>
      <w:lvlJc w:val="right"/>
      <w:pPr>
        <w:tabs>
          <w:tab w:val="num" w:pos="2340"/>
        </w:tabs>
        <w:ind w:left="2340" w:hanging="180"/>
      </w:pPr>
    </w:lvl>
    <w:lvl w:ilvl="6" w:tplc="0407000F" w:tentative="1">
      <w:start w:val="1"/>
      <w:numFmt w:val="decimal"/>
      <w:lvlText w:val="%7."/>
      <w:lvlJc w:val="left"/>
      <w:pPr>
        <w:tabs>
          <w:tab w:val="num" w:pos="3060"/>
        </w:tabs>
        <w:ind w:left="3060" w:hanging="360"/>
      </w:pPr>
    </w:lvl>
    <w:lvl w:ilvl="7" w:tplc="04070019" w:tentative="1">
      <w:start w:val="1"/>
      <w:numFmt w:val="lowerLetter"/>
      <w:lvlText w:val="%8."/>
      <w:lvlJc w:val="left"/>
      <w:pPr>
        <w:tabs>
          <w:tab w:val="num" w:pos="3780"/>
        </w:tabs>
        <w:ind w:left="3780" w:hanging="360"/>
      </w:pPr>
    </w:lvl>
    <w:lvl w:ilvl="8" w:tplc="0407001B" w:tentative="1">
      <w:start w:val="1"/>
      <w:numFmt w:val="lowerRoman"/>
      <w:lvlText w:val="%9."/>
      <w:lvlJc w:val="right"/>
      <w:pPr>
        <w:tabs>
          <w:tab w:val="num" w:pos="4500"/>
        </w:tabs>
        <w:ind w:left="4500" w:hanging="180"/>
      </w:pPr>
    </w:lvl>
  </w:abstractNum>
  <w:abstractNum w:abstractNumId="6" w15:restartNumberingAfterBreak="0">
    <w:nsid w:val="10CB70A7"/>
    <w:multiLevelType w:val="hybridMultilevel"/>
    <w:tmpl w:val="4CBADFE4"/>
    <w:styleLink w:val="ListeBMJnumerisch2"/>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7"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9"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4116C4"/>
    <w:multiLevelType w:val="multilevel"/>
    <w:tmpl w:val="F5F07EF6"/>
    <w:lvl w:ilvl="0">
      <w:start w:val="1"/>
      <w:numFmt w:val="decimal"/>
      <w:pStyle w:val="Tabellenberschrift"/>
      <w:lvlText w:val="%1"/>
      <w:lvlJc w:val="left"/>
      <w:pPr>
        <w:tabs>
          <w:tab w:val="num" w:pos="705"/>
        </w:tabs>
        <w:ind w:left="705" w:hanging="525"/>
      </w:pPr>
      <w:rPr>
        <w:rFonts w:cs="Times New Roman" w:hint="default"/>
      </w:rPr>
    </w:lvl>
    <w:lvl w:ilvl="1">
      <w:start w:val="2"/>
      <w:numFmt w:val="decimal"/>
      <w:lvlText w:val="%1.%2"/>
      <w:lvlJc w:val="left"/>
      <w:pPr>
        <w:tabs>
          <w:tab w:val="num" w:pos="705"/>
        </w:tabs>
        <w:ind w:left="705" w:hanging="525"/>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620"/>
        </w:tabs>
        <w:ind w:left="1620" w:hanging="1440"/>
      </w:pPr>
      <w:rPr>
        <w:rFonts w:cs="Times New Roman" w:hint="default"/>
      </w:rPr>
    </w:lvl>
    <w:lvl w:ilvl="6">
      <w:start w:val="1"/>
      <w:numFmt w:val="decimal"/>
      <w:lvlText w:val="%1.%2.%3.%4.%5.%6.%7"/>
      <w:lvlJc w:val="left"/>
      <w:pPr>
        <w:tabs>
          <w:tab w:val="num" w:pos="1620"/>
        </w:tabs>
        <w:ind w:left="1620" w:hanging="1440"/>
      </w:pPr>
      <w:rPr>
        <w:rFonts w:cs="Times New Roman" w:hint="default"/>
      </w:rPr>
    </w:lvl>
    <w:lvl w:ilvl="7">
      <w:start w:val="1"/>
      <w:numFmt w:val="decimal"/>
      <w:lvlText w:val="%1.%2.%3.%4.%5.%6.%7.%8"/>
      <w:lvlJc w:val="left"/>
      <w:pPr>
        <w:tabs>
          <w:tab w:val="num" w:pos="1980"/>
        </w:tabs>
        <w:ind w:left="1980" w:hanging="1800"/>
      </w:pPr>
      <w:rPr>
        <w:rFonts w:cs="Times New Roman" w:hint="default"/>
      </w:rPr>
    </w:lvl>
    <w:lvl w:ilvl="8">
      <w:start w:val="1"/>
      <w:numFmt w:val="decimal"/>
      <w:lvlText w:val="%1.%2.%3.%4.%5.%6.%7.%8.%9"/>
      <w:lvlJc w:val="left"/>
      <w:pPr>
        <w:tabs>
          <w:tab w:val="num" w:pos="1980"/>
        </w:tabs>
        <w:ind w:left="1980" w:hanging="1800"/>
      </w:pPr>
      <w:rPr>
        <w:rFonts w:cs="Times New Roman" w:hint="default"/>
      </w:rPr>
    </w:lvl>
  </w:abstractNum>
  <w:abstractNum w:abstractNumId="11"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2"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3" w15:restartNumberingAfterBreak="0">
    <w:nsid w:val="20825F00"/>
    <w:multiLevelType w:val="hybridMultilevel"/>
    <w:tmpl w:val="76368FC8"/>
    <w:styleLink w:val="ListeBMJnumerisch23"/>
    <w:lvl w:ilvl="0" w:tplc="94422F5C">
      <w:start w:val="1"/>
      <w:numFmt w:val="decimal"/>
      <w:pStyle w:val="NKRTextmitUnterpunkten"/>
      <w:lvlText w:val="II.%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5"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6"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19"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0" w15:restartNumberingAfterBreak="0">
    <w:nsid w:val="2F5E6B87"/>
    <w:multiLevelType w:val="hybridMultilevel"/>
    <w:tmpl w:val="AD1C82EA"/>
    <w:lvl w:ilvl="0" w:tplc="4BB0031A">
      <w:start w:val="1"/>
      <w:numFmt w:val="decimal"/>
      <w:pStyle w:val="NKRZwischenberschriftmitNumm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3" w15:restartNumberingAfterBreak="0">
    <w:nsid w:val="3E9E6CDE"/>
    <w:multiLevelType w:val="hybridMultilevel"/>
    <w:tmpl w:val="4AE46560"/>
    <w:lvl w:ilvl="0" w:tplc="0407000F">
      <w:start w:val="1"/>
      <w:numFmt w:val="decimal"/>
      <w:pStyle w:val="ListeTD"/>
      <w:lvlText w:val="%1."/>
      <w:lvlJc w:val="left"/>
      <w:pPr>
        <w:tabs>
          <w:tab w:val="num" w:pos="360"/>
        </w:tabs>
        <w:ind w:left="360" w:hanging="360"/>
      </w:pPr>
    </w:lvl>
    <w:lvl w:ilvl="1" w:tplc="5B96F5AC">
      <w:start w:val="1"/>
      <w:numFmt w:val="bullet"/>
      <w:lvlText w:val=""/>
      <w:lvlJc w:val="left"/>
      <w:pPr>
        <w:tabs>
          <w:tab w:val="num" w:pos="1211"/>
        </w:tabs>
        <w:ind w:left="1211" w:hanging="360"/>
      </w:pPr>
      <w:rPr>
        <w:rFonts w:ascii="Symbol" w:hAnsi="Symbol" w:hint="default"/>
      </w:rPr>
    </w:lvl>
    <w:lvl w:ilvl="2" w:tplc="5B96F5AC">
      <w:start w:val="1"/>
      <w:numFmt w:val="bullet"/>
      <w:lvlText w:val=""/>
      <w:lvlJc w:val="left"/>
      <w:pPr>
        <w:tabs>
          <w:tab w:val="num" w:pos="1980"/>
        </w:tabs>
        <w:ind w:left="1980" w:hanging="360"/>
      </w:pPr>
      <w:rPr>
        <w:rFonts w:ascii="Symbol" w:hAnsi="Symbol" w:hint="default"/>
      </w:r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5"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7" w15:restartNumberingAfterBreak="0">
    <w:nsid w:val="4D451F88"/>
    <w:multiLevelType w:val="multilevel"/>
    <w:tmpl w:val="53C03C46"/>
    <w:numStyleLink w:val="ListeBMJnumerisch"/>
  </w:abstractNum>
  <w:abstractNum w:abstractNumId="28" w15:restartNumberingAfterBreak="0">
    <w:nsid w:val="4D6613B2"/>
    <w:multiLevelType w:val="multilevel"/>
    <w:tmpl w:val="AD4008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3" w15:restartNumberingAfterBreak="0">
    <w:nsid w:val="55934017"/>
    <w:multiLevelType w:val="hybridMultilevel"/>
    <w:tmpl w:val="BF14F4F0"/>
    <w:lvl w:ilvl="0" w:tplc="1C8EB816">
      <w:numFmt w:val="bullet"/>
      <w:pStyle w:val="LiteraturSiWaP"/>
      <w:lvlText w:val="-"/>
      <w:lvlJc w:val="left"/>
      <w:pPr>
        <w:tabs>
          <w:tab w:val="num" w:pos="1065"/>
        </w:tabs>
        <w:ind w:left="1065" w:hanging="705"/>
      </w:pPr>
      <w:rPr>
        <w:rFonts w:ascii="Tahoma" w:eastAsia="Times New Roman" w:hAnsi="Tahoma" w:cs="Tahom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6748FE"/>
    <w:multiLevelType w:val="multilevel"/>
    <w:tmpl w:val="47282790"/>
    <w:lvl w:ilvl="0">
      <w:start w:val="1"/>
      <w:numFmt w:val="decimal"/>
      <w:suff w:val="nothing"/>
      <w:lvlText w:val="Artikel %1"/>
      <w:lvlJc w:val="left"/>
      <w:pPr>
        <w:ind w:left="7666" w:hanging="720"/>
      </w:pPr>
      <w:rPr>
        <w:rFonts w:hint="default"/>
      </w:rPr>
    </w:lvl>
    <w:lvl w:ilvl="1">
      <w:start w:val="6"/>
      <w:numFmt w:val="decimal"/>
      <w:suff w:val="nothing"/>
      <w:lvlText w:val="§ %2"/>
      <w:lvlJc w:val="left"/>
      <w:pPr>
        <w:ind w:left="6946" w:firstLine="0"/>
      </w:pPr>
      <w:rPr>
        <w:rFonts w:hint="default"/>
      </w:rPr>
    </w:lvl>
    <w:lvl w:ilvl="2">
      <w:start w:val="1"/>
      <w:numFmt w:val="decimal"/>
      <w:pStyle w:val="Formatvorlage1"/>
      <w:lvlText w:val="(%3)"/>
      <w:lvlJc w:val="left"/>
      <w:pPr>
        <w:tabs>
          <w:tab w:val="num" w:pos="7796"/>
        </w:tabs>
        <w:ind w:left="6946" w:firstLine="425"/>
      </w:pPr>
      <w:rPr>
        <w:rFonts w:hint="default"/>
      </w:rPr>
    </w:lvl>
    <w:lvl w:ilvl="3">
      <w:start w:val="1"/>
      <w:numFmt w:val="decimal"/>
      <w:lvlText w:val="%4."/>
      <w:lvlJc w:val="left"/>
      <w:pPr>
        <w:tabs>
          <w:tab w:val="num" w:pos="7371"/>
        </w:tabs>
        <w:ind w:left="7371" w:hanging="425"/>
      </w:pPr>
      <w:rPr>
        <w:rFonts w:hint="default"/>
      </w:rPr>
    </w:lvl>
    <w:lvl w:ilvl="4">
      <w:start w:val="1"/>
      <w:numFmt w:val="lowerLetter"/>
      <w:lvlText w:val="%5)"/>
      <w:lvlJc w:val="left"/>
      <w:pPr>
        <w:tabs>
          <w:tab w:val="num" w:pos="7796"/>
        </w:tabs>
        <w:ind w:left="7796" w:hanging="425"/>
      </w:pPr>
      <w:rPr>
        <w:rFonts w:hint="default"/>
      </w:rPr>
    </w:lvl>
    <w:lvl w:ilvl="5">
      <w:start w:val="1"/>
      <w:numFmt w:val="lowerLetter"/>
      <w:lvlText w:val="%6%6)"/>
      <w:lvlJc w:val="left"/>
      <w:pPr>
        <w:tabs>
          <w:tab w:val="num" w:pos="8222"/>
        </w:tabs>
        <w:ind w:left="8222" w:hanging="426"/>
      </w:pPr>
      <w:rPr>
        <w:rFonts w:hint="default"/>
      </w:rPr>
    </w:lvl>
    <w:lvl w:ilvl="6">
      <w:start w:val="1"/>
      <w:numFmt w:val="lowerLetter"/>
      <w:lvlText w:val="%7%7%7)"/>
      <w:lvlJc w:val="left"/>
      <w:pPr>
        <w:tabs>
          <w:tab w:val="num" w:pos="8930"/>
        </w:tabs>
        <w:ind w:left="8930" w:hanging="708"/>
      </w:pPr>
      <w:rPr>
        <w:rFonts w:hint="default"/>
      </w:rPr>
    </w:lvl>
    <w:lvl w:ilvl="7">
      <w:start w:val="1"/>
      <w:numFmt w:val="lowerLetter"/>
      <w:lvlText w:val="%8."/>
      <w:lvlJc w:val="left"/>
      <w:pPr>
        <w:ind w:left="9826" w:hanging="360"/>
      </w:pPr>
      <w:rPr>
        <w:rFonts w:hint="default"/>
      </w:rPr>
    </w:lvl>
    <w:lvl w:ilvl="8">
      <w:start w:val="1"/>
      <w:numFmt w:val="lowerRoman"/>
      <w:lvlText w:val="%9."/>
      <w:lvlJc w:val="left"/>
      <w:pPr>
        <w:ind w:left="10186" w:hanging="360"/>
      </w:pPr>
      <w:rPr>
        <w:rFonts w:hint="default"/>
      </w:rPr>
    </w:lvl>
  </w:abstractNum>
  <w:abstractNum w:abstractNumId="35" w15:restartNumberingAfterBreak="0">
    <w:nsid w:val="5FC13D86"/>
    <w:multiLevelType w:val="multilevel"/>
    <w:tmpl w:val="3DA2C87C"/>
    <w:styleLink w:val="ListeBMJnumerisch211"/>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6"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2675D61"/>
    <w:multiLevelType w:val="singleLevel"/>
    <w:tmpl w:val="04070011"/>
    <w:styleLink w:val="ListeBMJnumerisch24"/>
    <w:lvl w:ilvl="0">
      <w:start w:val="1"/>
      <w:numFmt w:val="decimal"/>
      <w:pStyle w:val="berschrift1SiWaP"/>
      <w:lvlText w:val="%1)"/>
      <w:lvlJc w:val="left"/>
      <w:pPr>
        <w:tabs>
          <w:tab w:val="num" w:pos="502"/>
        </w:tabs>
        <w:ind w:left="502" w:hanging="360"/>
      </w:pPr>
      <w:rPr>
        <w:rFonts w:hint="default"/>
      </w:rPr>
    </w:lvl>
  </w:abstractNum>
  <w:abstractNum w:abstractNumId="39" w15:restartNumberingAfterBreak="0">
    <w:nsid w:val="62D43C99"/>
    <w:multiLevelType w:val="multilevel"/>
    <w:tmpl w:val="AA8E8850"/>
    <w:lvl w:ilvl="0">
      <w:start w:val="3"/>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41" w15:restartNumberingAfterBreak="0">
    <w:nsid w:val="666D3E74"/>
    <w:multiLevelType w:val="hybridMultilevel"/>
    <w:tmpl w:val="6178C468"/>
    <w:lvl w:ilvl="0" w:tplc="04070015">
      <w:start w:val="1"/>
      <w:numFmt w:val="decimal"/>
      <w:lvlText w:val="(%1)"/>
      <w:lvlJc w:val="left"/>
      <w:pPr>
        <w:ind w:left="720" w:hanging="360"/>
      </w:pPr>
      <w:rPr>
        <w:rFonts w:hint="default"/>
      </w:rPr>
    </w:lvl>
    <w:lvl w:ilvl="1" w:tplc="787A505E">
      <w:start w:val="1"/>
      <w:numFmt w:val="decimal"/>
      <w:lvlText w:val="%2."/>
      <w:lvlJc w:val="left"/>
      <w:pPr>
        <w:ind w:left="1440" w:hanging="360"/>
      </w:pPr>
      <w:rPr>
        <w:rFonts w:hint="default"/>
        <w:b/>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7BE3655"/>
    <w:multiLevelType w:val="hybridMultilevel"/>
    <w:tmpl w:val="1C1E186E"/>
    <w:styleLink w:val="ListeBMJalphanumerisch2"/>
    <w:lvl w:ilvl="0" w:tplc="ED5211D8">
      <w:start w:val="1"/>
      <w:numFmt w:val="decimal"/>
      <w:lvlText w:val="%1."/>
      <w:lvlJc w:val="left"/>
      <w:pPr>
        <w:ind w:left="1352"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8BE7CDD"/>
    <w:multiLevelType w:val="hybridMultilevel"/>
    <w:tmpl w:val="F4424C76"/>
    <w:lvl w:ilvl="0" w:tplc="C82E0F44">
      <w:start w:val="1"/>
      <w:numFmt w:val="bullet"/>
      <w:pStyle w:val="NKRAufzhlungszeichen"/>
      <w:lvlText w:val=""/>
      <w:lvlJc w:val="left"/>
      <w:pPr>
        <w:ind w:left="36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5" w15:restartNumberingAfterBreak="0">
    <w:nsid w:val="6E1036E9"/>
    <w:multiLevelType w:val="multilevel"/>
    <w:tmpl w:val="5914D00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7"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8"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60A2D5E"/>
    <w:multiLevelType w:val="hybridMultilevel"/>
    <w:tmpl w:val="51FCA9DC"/>
    <w:lvl w:ilvl="0" w:tplc="0656955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34"/>
  </w:num>
  <w:num w:numId="4">
    <w:abstractNumId w:val="43"/>
  </w:num>
  <w:num w:numId="5">
    <w:abstractNumId w:val="18"/>
  </w:num>
  <w:num w:numId="6">
    <w:abstractNumId w:val="25"/>
  </w:num>
  <w:num w:numId="7">
    <w:abstractNumId w:val="35"/>
  </w:num>
  <w:num w:numId="8">
    <w:abstractNumId w:val="27"/>
  </w:num>
  <w:num w:numId="9">
    <w:abstractNumId w:val="30"/>
  </w:num>
  <w:num w:numId="10">
    <w:abstractNumId w:val="16"/>
  </w:num>
  <w:num w:numId="11">
    <w:abstractNumId w:val="48"/>
  </w:num>
  <w:num w:numId="12">
    <w:abstractNumId w:val="4"/>
  </w:num>
  <w:num w:numId="13">
    <w:abstractNumId w:val="33"/>
  </w:num>
  <w:num w:numId="14">
    <w:abstractNumId w:val="23"/>
  </w:num>
  <w:num w:numId="15">
    <w:abstractNumId w:val="38"/>
  </w:num>
  <w:num w:numId="16">
    <w:abstractNumId w:val="10"/>
  </w:num>
  <w:num w:numId="17">
    <w:abstractNumId w:val="0"/>
  </w:num>
  <w:num w:numId="18">
    <w:abstractNumId w:val="2"/>
  </w:num>
  <w:num w:numId="19">
    <w:abstractNumId w:val="13"/>
  </w:num>
  <w:num w:numId="20">
    <w:abstractNumId w:val="44"/>
  </w:num>
  <w:num w:numId="21">
    <w:abstractNumId w:val="20"/>
  </w:num>
  <w:num w:numId="22">
    <w:abstractNumId w:val="6"/>
  </w:num>
  <w:num w:numId="23">
    <w:abstractNumId w:val="45"/>
  </w:num>
  <w:num w:numId="24">
    <w:abstractNumId w:val="49"/>
  </w:num>
  <w:num w:numId="25">
    <w:abstractNumId w:val="39"/>
  </w:num>
  <w:num w:numId="26">
    <w:abstractNumId w:val="28"/>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1"/>
    <w:lvlOverride w:ilvl="0">
      <w:startOverride w:val="1"/>
    </w:lvlOverride>
  </w:num>
  <w:num w:numId="31">
    <w:abstractNumId w:val="24"/>
    <w:lvlOverride w:ilvl="0">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2"/>
  </w:num>
  <w:num w:numId="38">
    <w:abstractNumId w:val="50"/>
  </w:num>
  <w:num w:numId="39">
    <w:abstractNumId w:val="31"/>
  </w:num>
  <w:num w:numId="40">
    <w:abstractNumId w:val="8"/>
  </w:num>
  <w:num w:numId="41">
    <w:abstractNumId w:val="19"/>
  </w:num>
  <w:num w:numId="42">
    <w:abstractNumId w:val="1"/>
  </w:num>
  <w:num w:numId="43">
    <w:abstractNumId w:val="47"/>
  </w:num>
  <w:num w:numId="44">
    <w:abstractNumId w:val="21"/>
  </w:num>
  <w:num w:numId="45">
    <w:abstractNumId w:val="37"/>
  </w:num>
  <w:num w:numId="46">
    <w:abstractNumId w:val="7"/>
  </w:num>
  <w:num w:numId="47">
    <w:abstractNumId w:val="29"/>
  </w:num>
  <w:num w:numId="48">
    <w:abstractNumId w:val="14"/>
  </w:num>
  <w:num w:numId="49">
    <w:abstractNumId w:val="12"/>
  </w:num>
  <w:num w:numId="50">
    <w:abstractNumId w:val="26"/>
  </w:num>
  <w:num w:numId="51">
    <w:abstractNumId w:val="40"/>
  </w:num>
  <w:num w:numId="52">
    <w:abstractNumId w:val="15"/>
  </w:num>
  <w:num w:numId="53">
    <w:abstractNumId w:val="22"/>
  </w:num>
  <w:num w:numId="54">
    <w:abstractNumId w:val="3"/>
  </w:num>
  <w:num w:numId="55">
    <w:abstractNumId w:val="24"/>
  </w:num>
  <w:num w:numId="56">
    <w:abstractNumId w:val="9"/>
  </w:num>
  <w:num w:numId="57">
    <w:abstractNumId w:val="46"/>
  </w:num>
  <w:num w:numId="58">
    <w:abstractNumId w:val="42"/>
  </w:num>
  <w:num w:numId="59">
    <w:abstractNumId w:val="17"/>
  </w:num>
  <w:num w:numId="60">
    <w:abstractNumId w:val="36"/>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num>
  <w:num w:numId="63">
    <w:abstractNumId w:val="2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revisionView w:inkAnnotations="0"/>
  <w:defaultTabStop w:val="720"/>
  <w:autoHyphenation/>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sZähler" w:val="2"/>
    <w:docVar w:name="BefehlsKontext_SpeichernOOXML_Maximum" w:val="4197ms"/>
    <w:docVar w:name="BefehlsKontext_SpeichernOOXML_Schnitt" w:val="4197ms"/>
    <w:docVar w:name="BMJ" w:val="True"/>
    <w:docVar w:name="CUSTOMER" w:val="8"/>
    <w:docVar w:name="DQCDateTime" w:val="16.02.2021 15:20:29"/>
    <w:docVar w:name="DQCHighlighting" w:val="0"/>
    <w:docVar w:name="DQCPart_Begruendung" w:val="2"/>
    <w:docVar w:name="DQCPart_Dokument" w:val="0"/>
    <w:docVar w:name="DQCPart_Regelungsteil" w:val="0"/>
    <w:docVar w:name="DQCPart_Vorblatt" w:val="0"/>
    <w:docVar w:name="DQCResult_Aenderungsbefehl" w:val="0;0"/>
    <w:docVar w:name="DQCResult_Binnenverweise" w:val="0;0"/>
    <w:docVar w:name="DQCResult_Citations" w:val="0;4"/>
    <w:docVar w:name="DQCResult_EinzelneRegelungsteile" w:val="1;0"/>
    <w:docVar w:name="DQCResult_EmbeddedObjects" w:val="0;0"/>
    <w:docVar w:name="DQCResult_Gliederung" w:val="5;37"/>
    <w:docVar w:name="DQCResult_Marker" w:val="11;0"/>
    <w:docVar w:name="DQCResult_Metadata" w:val="0;0"/>
    <w:docVar w:name="DQCResult_ModifiedCharFormat" w:val="0;0"/>
    <w:docVar w:name="DQCResult_ModifiedMargins" w:val="0;0"/>
    <w:docVar w:name="DQCResult_ModifiedNumbering" w:val="1;0"/>
    <w:docVar w:name="DQCResult_StructureCheck" w:val="0;0"/>
    <w:docVar w:name="DQCResult_SuperfluousWhitespace" w:val="5;0"/>
    <w:docVar w:name="DQCResult_TermsAndDiction" w:val="-1"/>
    <w:docVar w:name="DQCResult_Verweise" w:val="0;0"/>
    <w:docVar w:name="DQCWithWarnings" w:val="1"/>
    <w:docVar w:name="EN_DocFileDateTimeAtOpen" w:val="19.02.2021 08:24:04"/>
    <w:docVar w:name="LW_DocType" w:val="AENDER"/>
    <w:docVar w:name="LWCons_Langue" w:val="DE"/>
  </w:docVars>
  <w:rsids>
    <w:rsidRoot w:val="009B0B0B"/>
    <w:rsid w:val="00026752"/>
    <w:rsid w:val="00026C3B"/>
    <w:rsid w:val="00070E61"/>
    <w:rsid w:val="000D3078"/>
    <w:rsid w:val="000D49B1"/>
    <w:rsid w:val="001205F9"/>
    <w:rsid w:val="001329DE"/>
    <w:rsid w:val="0013410C"/>
    <w:rsid w:val="001565B9"/>
    <w:rsid w:val="00174E3F"/>
    <w:rsid w:val="00175A7A"/>
    <w:rsid w:val="001F4995"/>
    <w:rsid w:val="001F4B00"/>
    <w:rsid w:val="00245600"/>
    <w:rsid w:val="00250713"/>
    <w:rsid w:val="00260869"/>
    <w:rsid w:val="002C3A42"/>
    <w:rsid w:val="003006DB"/>
    <w:rsid w:val="00305F67"/>
    <w:rsid w:val="0030665F"/>
    <w:rsid w:val="00381153"/>
    <w:rsid w:val="003900A6"/>
    <w:rsid w:val="003900D9"/>
    <w:rsid w:val="00391B63"/>
    <w:rsid w:val="003B66BE"/>
    <w:rsid w:val="003D2A28"/>
    <w:rsid w:val="003D4365"/>
    <w:rsid w:val="00407CD5"/>
    <w:rsid w:val="00417C41"/>
    <w:rsid w:val="0049501F"/>
    <w:rsid w:val="004954C9"/>
    <w:rsid w:val="004A770D"/>
    <w:rsid w:val="004B6F12"/>
    <w:rsid w:val="004C2891"/>
    <w:rsid w:val="004D6681"/>
    <w:rsid w:val="004F0B5E"/>
    <w:rsid w:val="004F3EA7"/>
    <w:rsid w:val="005035F2"/>
    <w:rsid w:val="00585B32"/>
    <w:rsid w:val="005D1540"/>
    <w:rsid w:val="005D6233"/>
    <w:rsid w:val="00627266"/>
    <w:rsid w:val="00656043"/>
    <w:rsid w:val="006632E7"/>
    <w:rsid w:val="006815BB"/>
    <w:rsid w:val="006D383A"/>
    <w:rsid w:val="00711C71"/>
    <w:rsid w:val="007135D3"/>
    <w:rsid w:val="00722A47"/>
    <w:rsid w:val="00727997"/>
    <w:rsid w:val="00753E12"/>
    <w:rsid w:val="0077202B"/>
    <w:rsid w:val="007947FE"/>
    <w:rsid w:val="008349D9"/>
    <w:rsid w:val="008809E7"/>
    <w:rsid w:val="00881303"/>
    <w:rsid w:val="008B5E0D"/>
    <w:rsid w:val="008D0377"/>
    <w:rsid w:val="008E5A5F"/>
    <w:rsid w:val="008F3A0A"/>
    <w:rsid w:val="00902D87"/>
    <w:rsid w:val="009030B5"/>
    <w:rsid w:val="00932993"/>
    <w:rsid w:val="00933425"/>
    <w:rsid w:val="009600A1"/>
    <w:rsid w:val="00962750"/>
    <w:rsid w:val="0098689C"/>
    <w:rsid w:val="009B0B0B"/>
    <w:rsid w:val="009B7F07"/>
    <w:rsid w:val="009D75EF"/>
    <w:rsid w:val="009E3875"/>
    <w:rsid w:val="00A10B6A"/>
    <w:rsid w:val="00A147E3"/>
    <w:rsid w:val="00A5066A"/>
    <w:rsid w:val="00AA1E49"/>
    <w:rsid w:val="00AB41E6"/>
    <w:rsid w:val="00B57E1B"/>
    <w:rsid w:val="00B71950"/>
    <w:rsid w:val="00B7529C"/>
    <w:rsid w:val="00B8032B"/>
    <w:rsid w:val="00B822A5"/>
    <w:rsid w:val="00BA64B0"/>
    <w:rsid w:val="00BF77F1"/>
    <w:rsid w:val="00C16A75"/>
    <w:rsid w:val="00C17FD1"/>
    <w:rsid w:val="00C30FB0"/>
    <w:rsid w:val="00C779BA"/>
    <w:rsid w:val="00C8399F"/>
    <w:rsid w:val="00CE1BE1"/>
    <w:rsid w:val="00CE7461"/>
    <w:rsid w:val="00D07F8C"/>
    <w:rsid w:val="00D16E21"/>
    <w:rsid w:val="00D21E79"/>
    <w:rsid w:val="00D27887"/>
    <w:rsid w:val="00D37BC8"/>
    <w:rsid w:val="00D409BA"/>
    <w:rsid w:val="00D4249C"/>
    <w:rsid w:val="00D52BBB"/>
    <w:rsid w:val="00D5621D"/>
    <w:rsid w:val="00D83684"/>
    <w:rsid w:val="00D96AD1"/>
    <w:rsid w:val="00DC4A4F"/>
    <w:rsid w:val="00DF77AF"/>
    <w:rsid w:val="00E11559"/>
    <w:rsid w:val="00E917F4"/>
    <w:rsid w:val="00ED6306"/>
    <w:rsid w:val="00EE2B72"/>
    <w:rsid w:val="00F00494"/>
    <w:rsid w:val="00F43C5E"/>
    <w:rsid w:val="00FC7C49"/>
    <w:rsid w:val="00FD13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909F0"/>
  <w15:docId w15:val="{8F5F8E65-05E7-4AAF-8AEC-1651D697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40" w:lineRule="auto"/>
      <w:jc w:val="both"/>
    </w:pPr>
    <w:rPr>
      <w:rFonts w:ascii="Arial" w:hAnsi="Arial" w:cs="Arial"/>
    </w:rPr>
  </w:style>
  <w:style w:type="paragraph" w:styleId="berschrift1">
    <w:name w:val="heading 1"/>
    <w:basedOn w:val="Standard"/>
    <w:next w:val="Text"/>
    <w:link w:val="berschrift1Zchn"/>
    <w:uiPriority w:val="9"/>
    <w:qFormat/>
    <w:rsid w:val="00A147E3"/>
    <w:pPr>
      <w:keepNext/>
      <w:numPr>
        <w:numId w:val="46"/>
      </w:numPr>
      <w:spacing w:before="240" w:after="60"/>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A147E3"/>
    <w:pPr>
      <w:keepNext/>
      <w:numPr>
        <w:ilvl w:val="1"/>
        <w:numId w:val="46"/>
      </w:numPr>
      <w:spacing w:before="240" w:after="60"/>
      <w:outlineLvl w:val="1"/>
    </w:pPr>
    <w:rPr>
      <w:rFonts w:eastAsiaTheme="majorEastAsia"/>
      <w:b/>
      <w:bCs/>
      <w:i/>
      <w:szCs w:val="26"/>
    </w:rPr>
  </w:style>
  <w:style w:type="paragraph" w:styleId="berschrift3">
    <w:name w:val="heading 3"/>
    <w:basedOn w:val="Standard"/>
    <w:next w:val="Text"/>
    <w:link w:val="berschrift3Zchn"/>
    <w:uiPriority w:val="9"/>
    <w:semiHidden/>
    <w:unhideWhenUsed/>
    <w:qFormat/>
    <w:rsid w:val="00A147E3"/>
    <w:pPr>
      <w:keepNext/>
      <w:numPr>
        <w:ilvl w:val="2"/>
        <w:numId w:val="46"/>
      </w:numPr>
      <w:spacing w:before="240" w:after="60"/>
      <w:outlineLvl w:val="2"/>
    </w:pPr>
    <w:rPr>
      <w:rFonts w:eastAsiaTheme="majorEastAsia"/>
      <w:b/>
      <w:bCs/>
    </w:rPr>
  </w:style>
  <w:style w:type="paragraph" w:styleId="berschrift4">
    <w:name w:val="heading 4"/>
    <w:basedOn w:val="Standard"/>
    <w:next w:val="Text"/>
    <w:link w:val="berschrift4Zchn"/>
    <w:uiPriority w:val="9"/>
    <w:semiHidden/>
    <w:unhideWhenUsed/>
    <w:qFormat/>
    <w:rsid w:val="00A147E3"/>
    <w:pPr>
      <w:keepNext/>
      <w:numPr>
        <w:ilvl w:val="3"/>
        <w:numId w:val="46"/>
      </w:numPr>
      <w:spacing w:before="240" w:after="60"/>
      <w:outlineLvl w:val="3"/>
    </w:pPr>
    <w:rPr>
      <w:rFonts w:eastAsiaTheme="majorEastAsia"/>
      <w:b/>
      <w:bCs/>
      <w:i/>
      <w:iCs/>
    </w:rPr>
  </w:style>
  <w:style w:type="paragraph" w:styleId="berschrift5">
    <w:name w:val="heading 5"/>
    <w:basedOn w:val="Standard"/>
    <w:next w:val="Standard"/>
    <w:link w:val="berschrift5Zchn"/>
    <w:unhideWhenUsed/>
    <w:qFormat/>
    <w:rsid w:val="00722A47"/>
    <w:pPr>
      <w:keepNext/>
      <w:keepLines/>
      <w:spacing w:before="200" w:after="0" w:line="360" w:lineRule="auto"/>
      <w:jc w:val="left"/>
      <w:outlineLvl w:val="4"/>
    </w:pPr>
    <w:rPr>
      <w:rFonts w:ascii="Times New Roman" w:eastAsia="Times New Roman" w:hAnsi="Times New Roman" w:cs="Times New Roman"/>
      <w:bCs/>
      <w:color w:val="243F60"/>
      <w:sz w:val="21"/>
    </w:rPr>
  </w:style>
  <w:style w:type="paragraph" w:styleId="berschrift6">
    <w:name w:val="heading 6"/>
    <w:basedOn w:val="Standard"/>
    <w:next w:val="Standard"/>
    <w:link w:val="berschrift6Zchn"/>
    <w:unhideWhenUsed/>
    <w:qFormat/>
    <w:rsid w:val="00722A47"/>
    <w:pPr>
      <w:keepNext/>
      <w:keepLines/>
      <w:spacing w:before="200" w:after="0" w:line="360" w:lineRule="auto"/>
      <w:jc w:val="left"/>
      <w:outlineLvl w:val="5"/>
    </w:pPr>
    <w:rPr>
      <w:rFonts w:ascii="Times New Roman" w:eastAsia="Times New Roman" w:hAnsi="Times New Roman" w:cs="Times New Roman"/>
      <w:bCs/>
      <w:i/>
      <w:iCs/>
      <w:color w:val="243F60"/>
      <w:sz w:val="21"/>
    </w:rPr>
  </w:style>
  <w:style w:type="paragraph" w:styleId="berschrift7">
    <w:name w:val="heading 7"/>
    <w:basedOn w:val="Standard"/>
    <w:next w:val="Standard"/>
    <w:link w:val="berschrift7Zchn"/>
    <w:unhideWhenUsed/>
    <w:qFormat/>
    <w:rsid w:val="00722A47"/>
    <w:pPr>
      <w:keepNext/>
      <w:keepLines/>
      <w:spacing w:before="200" w:after="0" w:line="360" w:lineRule="auto"/>
      <w:jc w:val="left"/>
      <w:outlineLvl w:val="6"/>
    </w:pPr>
    <w:rPr>
      <w:rFonts w:ascii="Times New Roman" w:eastAsia="Times New Roman" w:hAnsi="Times New Roman" w:cs="Times New Roman"/>
      <w:bCs/>
      <w:i/>
      <w:iCs/>
      <w:color w:val="404040"/>
      <w:sz w:val="21"/>
    </w:rPr>
  </w:style>
  <w:style w:type="paragraph" w:styleId="berschrift8">
    <w:name w:val="heading 8"/>
    <w:basedOn w:val="Standard"/>
    <w:next w:val="Standard"/>
    <w:link w:val="berschrift8Zchn"/>
    <w:unhideWhenUsed/>
    <w:qFormat/>
    <w:rsid w:val="00722A47"/>
    <w:pPr>
      <w:keepNext/>
      <w:keepLines/>
      <w:spacing w:before="200" w:after="0" w:line="360" w:lineRule="auto"/>
      <w:jc w:val="left"/>
      <w:outlineLvl w:val="7"/>
    </w:pPr>
    <w:rPr>
      <w:rFonts w:ascii="Times New Roman" w:eastAsia="Times New Roman" w:hAnsi="Times New Roman" w:cs="Times New Roman"/>
      <w:bCs/>
      <w:color w:val="404040"/>
      <w:sz w:val="20"/>
      <w:szCs w:val="20"/>
    </w:rPr>
  </w:style>
  <w:style w:type="paragraph" w:styleId="berschrift9">
    <w:name w:val="heading 9"/>
    <w:basedOn w:val="Standard"/>
    <w:next w:val="Standard"/>
    <w:link w:val="berschrift9Zchn"/>
    <w:unhideWhenUsed/>
    <w:qFormat/>
    <w:rsid w:val="00722A4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9B0B0B"/>
    <w:rPr>
      <w:color w:val="0000FF"/>
      <w:u w:val="single"/>
    </w:rPr>
  </w:style>
  <w:style w:type="paragraph" w:styleId="Listenabsatz">
    <w:name w:val="List Paragraph"/>
    <w:basedOn w:val="Standard"/>
    <w:uiPriority w:val="34"/>
    <w:qFormat/>
    <w:rsid w:val="006632E7"/>
    <w:pPr>
      <w:ind w:left="720"/>
      <w:contextualSpacing/>
    </w:pPr>
  </w:style>
  <w:style w:type="paragraph" w:styleId="Sprechblasentext">
    <w:name w:val="Balloon Text"/>
    <w:basedOn w:val="Standard"/>
    <w:link w:val="SprechblasentextZchn"/>
    <w:semiHidden/>
    <w:unhideWhenUsed/>
    <w:rsid w:val="00D07F8C"/>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D07F8C"/>
    <w:rPr>
      <w:rFonts w:ascii="Segoe UI" w:hAnsi="Segoe UI" w:cs="Segoe UI"/>
      <w:sz w:val="18"/>
      <w:szCs w:val="18"/>
    </w:rPr>
  </w:style>
  <w:style w:type="table" w:styleId="Tabellenraster">
    <w:name w:val="Table Grid"/>
    <w:basedOn w:val="NormaleTabelle"/>
    <w:uiPriority w:val="59"/>
    <w:rsid w:val="00D07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nhideWhenUsed/>
    <w:qFormat/>
    <w:rsid w:val="00F43C5E"/>
    <w:pPr>
      <w:spacing w:before="0" w:after="200"/>
      <w:jc w:val="left"/>
    </w:pPr>
    <w:rPr>
      <w:rFonts w:ascii="Times New Roman" w:eastAsia="Calibri" w:hAnsi="Times New Roman" w:cs="Times New Roman"/>
      <w:b/>
      <w:color w:val="4F81BD"/>
      <w:sz w:val="18"/>
      <w:szCs w:val="18"/>
    </w:rPr>
  </w:style>
  <w:style w:type="paragraph" w:styleId="NurText">
    <w:name w:val="Plain Text"/>
    <w:basedOn w:val="Standard"/>
    <w:link w:val="NurTextZchn"/>
    <w:uiPriority w:val="99"/>
    <w:unhideWhenUsed/>
    <w:rsid w:val="00DC4A4F"/>
    <w:pPr>
      <w:spacing w:before="0" w:after="0"/>
    </w:pPr>
    <w:rPr>
      <w:rFonts w:ascii="Consolas" w:hAnsi="Consolas"/>
      <w:sz w:val="21"/>
      <w:szCs w:val="21"/>
    </w:rPr>
  </w:style>
  <w:style w:type="character" w:customStyle="1" w:styleId="NurTextZchn">
    <w:name w:val="Nur Text Zchn"/>
    <w:basedOn w:val="Absatz-Standardschriftart"/>
    <w:link w:val="NurText"/>
    <w:uiPriority w:val="99"/>
    <w:rsid w:val="00DC4A4F"/>
    <w:rPr>
      <w:rFonts w:ascii="Consolas" w:hAnsi="Consolas" w:cs="Arial"/>
      <w:sz w:val="21"/>
      <w:szCs w:val="21"/>
    </w:rPr>
  </w:style>
  <w:style w:type="paragraph" w:styleId="Abbildungsverzeichnis">
    <w:name w:val="table of figures"/>
    <w:basedOn w:val="Standard"/>
    <w:next w:val="Standard"/>
    <w:uiPriority w:val="99"/>
    <w:unhideWhenUsed/>
    <w:rsid w:val="00722A47"/>
    <w:pPr>
      <w:spacing w:after="0"/>
    </w:pPr>
  </w:style>
  <w:style w:type="character" w:customStyle="1" w:styleId="berschrift5Zchn">
    <w:name w:val="Überschrift 5 Zchn"/>
    <w:basedOn w:val="Absatz-Standardschriftart"/>
    <w:link w:val="berschrift5"/>
    <w:rsid w:val="00722A47"/>
    <w:rPr>
      <w:rFonts w:ascii="Times New Roman" w:eastAsia="Times New Roman" w:hAnsi="Times New Roman" w:cs="Times New Roman"/>
      <w:bCs/>
      <w:color w:val="243F60"/>
      <w:sz w:val="21"/>
    </w:rPr>
  </w:style>
  <w:style w:type="character" w:customStyle="1" w:styleId="berschrift6Zchn">
    <w:name w:val="Überschrift 6 Zchn"/>
    <w:basedOn w:val="Absatz-Standardschriftart"/>
    <w:link w:val="berschrift6"/>
    <w:rsid w:val="00722A47"/>
    <w:rPr>
      <w:rFonts w:ascii="Times New Roman" w:eastAsia="Times New Roman" w:hAnsi="Times New Roman" w:cs="Times New Roman"/>
      <w:bCs/>
      <w:i/>
      <w:iCs/>
      <w:color w:val="243F60"/>
      <w:sz w:val="21"/>
    </w:rPr>
  </w:style>
  <w:style w:type="character" w:customStyle="1" w:styleId="berschrift7Zchn">
    <w:name w:val="Überschrift 7 Zchn"/>
    <w:basedOn w:val="Absatz-Standardschriftart"/>
    <w:link w:val="berschrift7"/>
    <w:rsid w:val="00722A47"/>
    <w:rPr>
      <w:rFonts w:ascii="Times New Roman" w:eastAsia="Times New Roman" w:hAnsi="Times New Roman" w:cs="Times New Roman"/>
      <w:bCs/>
      <w:i/>
      <w:iCs/>
      <w:color w:val="404040"/>
      <w:sz w:val="21"/>
    </w:rPr>
  </w:style>
  <w:style w:type="character" w:customStyle="1" w:styleId="berschrift8Zchn">
    <w:name w:val="Überschrift 8 Zchn"/>
    <w:basedOn w:val="Absatz-Standardschriftart"/>
    <w:link w:val="berschrift8"/>
    <w:rsid w:val="00722A47"/>
    <w:rPr>
      <w:rFonts w:ascii="Times New Roman" w:eastAsia="Times New Roman" w:hAnsi="Times New Roman" w:cs="Times New Roman"/>
      <w:bCs/>
      <w:color w:val="404040"/>
      <w:sz w:val="20"/>
      <w:szCs w:val="20"/>
    </w:rPr>
  </w:style>
  <w:style w:type="character" w:customStyle="1" w:styleId="berschrift9Zchn">
    <w:name w:val="Überschrift 9 Zchn"/>
    <w:basedOn w:val="Absatz-Standardschriftart"/>
    <w:link w:val="berschrift9"/>
    <w:rsid w:val="00722A47"/>
    <w:rPr>
      <w:rFonts w:asciiTheme="majorHAnsi" w:eastAsiaTheme="majorEastAsia" w:hAnsiTheme="majorHAnsi" w:cstheme="majorBidi"/>
      <w:i/>
      <w:iCs/>
      <w:color w:val="272727" w:themeColor="text1" w:themeTint="D8"/>
      <w:sz w:val="21"/>
      <w:szCs w:val="21"/>
    </w:rPr>
  </w:style>
  <w:style w:type="numbering" w:customStyle="1" w:styleId="KeineListe1">
    <w:name w:val="Keine Liste1"/>
    <w:next w:val="KeineListe"/>
    <w:uiPriority w:val="99"/>
    <w:semiHidden/>
    <w:unhideWhenUsed/>
    <w:rsid w:val="00722A47"/>
  </w:style>
  <w:style w:type="paragraph" w:customStyle="1" w:styleId="Zeilenabst15">
    <w:name w:val="Zeilenabst. 1.5"/>
    <w:basedOn w:val="Standard"/>
    <w:rsid w:val="00722A47"/>
    <w:pPr>
      <w:spacing w:before="0" w:after="0" w:line="360" w:lineRule="atLeast"/>
      <w:jc w:val="left"/>
    </w:pPr>
    <w:rPr>
      <w:rFonts w:ascii="Courier" w:eastAsia="Times New Roman" w:hAnsi="Courier" w:cs="Times New Roman"/>
      <w:sz w:val="24"/>
      <w:szCs w:val="20"/>
      <w:lang w:eastAsia="de-DE"/>
    </w:rPr>
  </w:style>
  <w:style w:type="paragraph" w:customStyle="1" w:styleId="BetreffBezug">
    <w:name w:val="Betreff/Bezug"/>
    <w:basedOn w:val="Standard"/>
    <w:rsid w:val="00722A47"/>
    <w:pPr>
      <w:spacing w:before="0" w:after="0" w:line="240" w:lineRule="atLeast"/>
      <w:ind w:left="1134" w:hanging="1134"/>
      <w:jc w:val="left"/>
    </w:pPr>
    <w:rPr>
      <w:rFonts w:ascii="Century" w:eastAsia="Times New Roman" w:hAnsi="Century" w:cs="Times New Roman"/>
      <w:sz w:val="24"/>
      <w:szCs w:val="20"/>
      <w:lang w:eastAsia="de-DE"/>
    </w:rPr>
  </w:style>
  <w:style w:type="paragraph" w:customStyle="1" w:styleId="Einrckunghier">
    <w:name w:val="Einrückung/hier"/>
    <w:basedOn w:val="Standard"/>
    <w:rsid w:val="00722A47"/>
    <w:pPr>
      <w:spacing w:before="0" w:after="0" w:line="240" w:lineRule="atLeast"/>
      <w:ind w:left="1985" w:hanging="851"/>
      <w:jc w:val="left"/>
    </w:pPr>
    <w:rPr>
      <w:rFonts w:ascii="Century" w:eastAsia="Times New Roman" w:hAnsi="Century" w:cs="Times New Roman"/>
      <w:sz w:val="24"/>
      <w:szCs w:val="20"/>
      <w:lang w:eastAsia="de-DE"/>
    </w:rPr>
  </w:style>
  <w:style w:type="paragraph" w:customStyle="1" w:styleId="Times">
    <w:name w:val="Times"/>
    <w:basedOn w:val="Standard"/>
    <w:rsid w:val="00722A47"/>
    <w:pPr>
      <w:tabs>
        <w:tab w:val="left" w:pos="426"/>
        <w:tab w:val="left" w:pos="851"/>
      </w:tabs>
      <w:spacing w:before="0" w:after="0" w:line="360" w:lineRule="atLeast"/>
      <w:ind w:right="28"/>
      <w:jc w:val="left"/>
    </w:pPr>
    <w:rPr>
      <w:rFonts w:ascii="Times New Roman" w:eastAsia="Times New Roman" w:hAnsi="Times New Roman" w:cs="Times New Roman"/>
      <w:sz w:val="26"/>
      <w:szCs w:val="20"/>
      <w:lang w:eastAsia="de-DE"/>
    </w:rPr>
  </w:style>
  <w:style w:type="paragraph" w:customStyle="1" w:styleId="Normal-Absatz">
    <w:name w:val="Normal-Absatz"/>
    <w:basedOn w:val="Standard"/>
    <w:rsid w:val="00722A47"/>
    <w:pPr>
      <w:overflowPunct w:val="0"/>
      <w:autoSpaceDE w:val="0"/>
      <w:autoSpaceDN w:val="0"/>
      <w:adjustRightInd w:val="0"/>
      <w:spacing w:before="0" w:after="0" w:line="360" w:lineRule="auto"/>
      <w:jc w:val="left"/>
      <w:textAlignment w:val="baseline"/>
    </w:pPr>
    <w:rPr>
      <w:rFonts w:eastAsia="Times New Roman" w:cs="Times New Roman"/>
      <w:szCs w:val="20"/>
      <w:lang w:eastAsia="de-DE"/>
    </w:rPr>
  </w:style>
  <w:style w:type="paragraph" w:customStyle="1" w:styleId="Default">
    <w:name w:val="Default"/>
    <w:rsid w:val="00722A47"/>
    <w:pPr>
      <w:autoSpaceDE w:val="0"/>
      <w:autoSpaceDN w:val="0"/>
      <w:adjustRightInd w:val="0"/>
      <w:spacing w:after="0" w:line="240" w:lineRule="auto"/>
    </w:pPr>
    <w:rPr>
      <w:rFonts w:ascii="Tahoma" w:eastAsia="Times New Roman" w:hAnsi="Tahoma" w:cs="Tahoma"/>
      <w:color w:val="000000"/>
      <w:sz w:val="24"/>
      <w:szCs w:val="24"/>
      <w:lang w:eastAsia="de-DE"/>
    </w:rPr>
  </w:style>
  <w:style w:type="paragraph" w:customStyle="1" w:styleId="LANUVText">
    <w:name w:val="LANUV_Text"/>
    <w:rsid w:val="00722A47"/>
    <w:pPr>
      <w:spacing w:after="0" w:line="320" w:lineRule="exact"/>
      <w:jc w:val="both"/>
    </w:pPr>
    <w:rPr>
      <w:rFonts w:ascii="Arial" w:eastAsia="Times New Roman" w:hAnsi="Arial" w:cs="Times New Roman"/>
      <w:lang w:eastAsia="de-DE"/>
    </w:rPr>
  </w:style>
  <w:style w:type="paragraph" w:customStyle="1" w:styleId="GesAbsatz">
    <w:name w:val="GesAbsatz"/>
    <w:basedOn w:val="Standard"/>
    <w:qFormat/>
    <w:rsid w:val="00722A47"/>
    <w:pPr>
      <w:tabs>
        <w:tab w:val="left" w:pos="425"/>
      </w:tabs>
      <w:overflowPunct w:val="0"/>
      <w:autoSpaceDE w:val="0"/>
      <w:autoSpaceDN w:val="0"/>
      <w:adjustRightInd w:val="0"/>
      <w:spacing w:before="100" w:after="60"/>
      <w:textAlignment w:val="baseline"/>
    </w:pPr>
    <w:rPr>
      <w:rFonts w:eastAsia="Times New Roman" w:cs="Times New Roman"/>
      <w:color w:val="000000"/>
      <w:sz w:val="20"/>
      <w:szCs w:val="20"/>
      <w:lang w:eastAsia="de-DE"/>
    </w:rPr>
  </w:style>
  <w:style w:type="paragraph" w:customStyle="1" w:styleId="Text15">
    <w:name w:val="Text15"/>
    <w:basedOn w:val="Standard"/>
    <w:rsid w:val="00722A47"/>
    <w:pPr>
      <w:spacing w:before="0" w:after="0" w:line="360" w:lineRule="auto"/>
      <w:jc w:val="left"/>
    </w:pPr>
    <w:rPr>
      <w:rFonts w:ascii="Tahoma" w:eastAsia="Times New Roman" w:hAnsi="Tahoma" w:cs="Times New Roman"/>
      <w:sz w:val="24"/>
      <w:szCs w:val="20"/>
      <w:lang w:eastAsia="de-DE"/>
    </w:rPr>
  </w:style>
  <w:style w:type="paragraph" w:customStyle="1" w:styleId="Briefbogentext">
    <w:name w:val="Briefbogentext"/>
    <w:basedOn w:val="Standard"/>
    <w:rsid w:val="00722A47"/>
    <w:pPr>
      <w:spacing w:before="0" w:after="0" w:line="320" w:lineRule="exact"/>
    </w:pPr>
    <w:rPr>
      <w:rFonts w:eastAsia="Times New Roman" w:cs="Times New Roman"/>
      <w:sz w:val="24"/>
      <w:szCs w:val="20"/>
      <w:lang w:eastAsia="de-DE"/>
    </w:rPr>
  </w:style>
  <w:style w:type="table" w:customStyle="1" w:styleId="Tabellenraster1">
    <w:name w:val="Tabellenraster1"/>
    <w:basedOn w:val="NormaleTabelle"/>
    <w:next w:val="Tabellenraster"/>
    <w:uiPriority w:val="59"/>
    <w:rsid w:val="00722A47"/>
    <w:pPr>
      <w:spacing w:after="0" w:line="240" w:lineRule="auto"/>
    </w:pPr>
    <w:rPr>
      <w:rFonts w:ascii="Century" w:eastAsia="Times New Roman" w:hAnsi="Century"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nhideWhenUsed/>
    <w:rsid w:val="00722A47"/>
    <w:pPr>
      <w:spacing w:before="0" w:after="0"/>
      <w:jc w:val="left"/>
    </w:pPr>
    <w:rPr>
      <w:rFonts w:ascii="Century" w:eastAsia="Times New Roman" w:hAnsi="Century" w:cs="Times New Roman"/>
      <w:sz w:val="20"/>
      <w:szCs w:val="20"/>
      <w:lang w:eastAsia="de-DE"/>
    </w:rPr>
  </w:style>
  <w:style w:type="character" w:customStyle="1" w:styleId="KommentartextZchn">
    <w:name w:val="Kommentartext Zchn"/>
    <w:basedOn w:val="Absatz-Standardschriftart"/>
    <w:link w:val="Kommentartext"/>
    <w:rsid w:val="00722A47"/>
    <w:rPr>
      <w:rFonts w:ascii="Century" w:eastAsia="Times New Roman" w:hAnsi="Century" w:cs="Times New Roman"/>
      <w:sz w:val="20"/>
      <w:szCs w:val="20"/>
      <w:lang w:eastAsia="de-DE"/>
    </w:rPr>
  </w:style>
  <w:style w:type="character" w:styleId="Kommentarzeichen">
    <w:name w:val="annotation reference"/>
    <w:rsid w:val="00722A47"/>
    <w:rPr>
      <w:sz w:val="16"/>
      <w:szCs w:val="16"/>
    </w:rPr>
  </w:style>
  <w:style w:type="paragraph" w:styleId="Textkrper">
    <w:name w:val="Body Text"/>
    <w:basedOn w:val="Standard"/>
    <w:link w:val="TextkrperZchn"/>
    <w:rsid w:val="00722A47"/>
    <w:pPr>
      <w:spacing w:before="0" w:after="0"/>
      <w:jc w:val="left"/>
    </w:pPr>
    <w:rPr>
      <w:rFonts w:ascii="Times New Roman" w:eastAsia="Times New Roman" w:hAnsi="Times New Roman" w:cs="Times New Roman"/>
      <w:b/>
      <w:bCs/>
      <w:sz w:val="24"/>
      <w:szCs w:val="24"/>
      <w:lang w:eastAsia="de-DE"/>
    </w:rPr>
  </w:style>
  <w:style w:type="character" w:customStyle="1" w:styleId="TextkrperZchn">
    <w:name w:val="Textkörper Zchn"/>
    <w:basedOn w:val="Absatz-Standardschriftart"/>
    <w:link w:val="Textkrper"/>
    <w:rsid w:val="00722A47"/>
    <w:rPr>
      <w:rFonts w:ascii="Times New Roman" w:eastAsia="Times New Roman" w:hAnsi="Times New Roman" w:cs="Times New Roman"/>
      <w:b/>
      <w:bCs/>
      <w:sz w:val="24"/>
      <w:szCs w:val="24"/>
      <w:lang w:eastAsia="de-DE"/>
    </w:rPr>
  </w:style>
  <w:style w:type="paragraph" w:customStyle="1" w:styleId="BW1Standard">
    <w:name w:val="BW_1Standard"/>
    <w:link w:val="BW1StandardZchn"/>
    <w:qFormat/>
    <w:rsid w:val="00722A47"/>
    <w:pPr>
      <w:spacing w:after="0" w:line="360" w:lineRule="atLeast"/>
    </w:pPr>
    <w:rPr>
      <w:rFonts w:ascii="Arial" w:hAnsi="Arial"/>
      <w:kern w:val="20"/>
      <w:sz w:val="24"/>
    </w:rPr>
  </w:style>
  <w:style w:type="character" w:customStyle="1" w:styleId="BW1StandardZchn">
    <w:name w:val="BW_1Standard Zchn"/>
    <w:basedOn w:val="Absatz-Standardschriftart"/>
    <w:link w:val="BW1Standard"/>
    <w:rsid w:val="00722A47"/>
    <w:rPr>
      <w:rFonts w:ascii="Arial" w:hAnsi="Arial"/>
      <w:kern w:val="20"/>
      <w:sz w:val="24"/>
    </w:rPr>
  </w:style>
  <w:style w:type="paragraph" w:styleId="Kommentarthema">
    <w:name w:val="annotation subject"/>
    <w:basedOn w:val="Kommentartext"/>
    <w:next w:val="Kommentartext"/>
    <w:link w:val="KommentarthemaZchn"/>
    <w:uiPriority w:val="99"/>
    <w:semiHidden/>
    <w:unhideWhenUsed/>
    <w:rsid w:val="00722A47"/>
    <w:rPr>
      <w:b/>
      <w:bCs/>
    </w:rPr>
  </w:style>
  <w:style w:type="character" w:customStyle="1" w:styleId="KommentarthemaZchn">
    <w:name w:val="Kommentarthema Zchn"/>
    <w:basedOn w:val="KommentartextZchn"/>
    <w:link w:val="Kommentarthema"/>
    <w:uiPriority w:val="99"/>
    <w:semiHidden/>
    <w:rsid w:val="00722A47"/>
    <w:rPr>
      <w:rFonts w:ascii="Century" w:eastAsia="Times New Roman" w:hAnsi="Century" w:cs="Times New Roman"/>
      <w:b/>
      <w:bCs/>
      <w:sz w:val="20"/>
      <w:szCs w:val="20"/>
      <w:lang w:eastAsia="de-DE"/>
    </w:rPr>
  </w:style>
  <w:style w:type="character" w:styleId="Fett">
    <w:name w:val="Strong"/>
    <w:qFormat/>
    <w:rsid w:val="00722A47"/>
    <w:rPr>
      <w:b/>
      <w:bCs/>
    </w:rPr>
  </w:style>
  <w:style w:type="character" w:styleId="Hervorhebung">
    <w:name w:val="Emphasis"/>
    <w:uiPriority w:val="20"/>
    <w:qFormat/>
    <w:rsid w:val="00722A47"/>
    <w:rPr>
      <w:i/>
      <w:iCs/>
    </w:rPr>
  </w:style>
  <w:style w:type="character" w:customStyle="1" w:styleId="tm9">
    <w:name w:val="tm9"/>
    <w:basedOn w:val="Absatz-Standardschriftart"/>
    <w:rsid w:val="00722A47"/>
  </w:style>
  <w:style w:type="paragraph" w:customStyle="1" w:styleId="Formatvorlage1">
    <w:name w:val="Formatvorlage1"/>
    <w:basedOn w:val="JuristischerAbsatznummeriert"/>
    <w:link w:val="Formatvorlage1Zchn"/>
    <w:qFormat/>
    <w:rsid w:val="00722A47"/>
    <w:pPr>
      <w:numPr>
        <w:numId w:val="3"/>
      </w:numPr>
      <w:spacing w:before="60" w:after="60"/>
      <w:outlineLvl w:val="9"/>
    </w:pPr>
    <w:rPr>
      <w:rFonts w:ascii="Times New Roman" w:eastAsia="Calibri" w:hAnsi="Times New Roman" w:cs="Times New Roman"/>
      <w:color w:val="0D0D0D"/>
      <w:sz w:val="21"/>
    </w:rPr>
  </w:style>
  <w:style w:type="numbering" w:customStyle="1" w:styleId="KeineListe11">
    <w:name w:val="Keine Liste11"/>
    <w:next w:val="KeineListe"/>
    <w:uiPriority w:val="99"/>
    <w:semiHidden/>
    <w:unhideWhenUsed/>
    <w:rsid w:val="00722A47"/>
  </w:style>
  <w:style w:type="paragraph" w:customStyle="1" w:styleId="Verfgung">
    <w:name w:val="Verfügung"/>
    <w:basedOn w:val="Standard"/>
    <w:next w:val="Standard"/>
    <w:rsid w:val="00722A47"/>
    <w:pPr>
      <w:spacing w:before="0" w:after="0" w:line="260" w:lineRule="atLeast"/>
      <w:ind w:hanging="284"/>
      <w:jc w:val="left"/>
    </w:pPr>
    <w:rPr>
      <w:rFonts w:ascii="Calibri" w:eastAsia="Times New Roman" w:hAnsi="Calibri" w:cs="Times New Roman"/>
      <w:vanish/>
      <w:color w:val="0000FF"/>
      <w:sz w:val="24"/>
      <w:szCs w:val="20"/>
      <w:lang w:eastAsia="de-DE"/>
    </w:rPr>
  </w:style>
  <w:style w:type="paragraph" w:styleId="Inhaltsverzeichnisberschrift">
    <w:name w:val="TOC Heading"/>
    <w:basedOn w:val="berschrift1"/>
    <w:next w:val="Standard"/>
    <w:uiPriority w:val="39"/>
    <w:unhideWhenUsed/>
    <w:qFormat/>
    <w:rsid w:val="00722A47"/>
    <w:pPr>
      <w:keepLines/>
      <w:numPr>
        <w:numId w:val="0"/>
      </w:numPr>
      <w:spacing w:after="0" w:line="259" w:lineRule="auto"/>
      <w:jc w:val="left"/>
      <w:outlineLvl w:val="9"/>
    </w:pPr>
    <w:rPr>
      <w:rFonts w:ascii="Calibri Light" w:hAnsi="Calibri Light" w:cs="Times New Roman"/>
      <w:b w:val="0"/>
      <w:bCs w:val="0"/>
      <w:color w:val="2E74B5"/>
      <w:kern w:val="0"/>
      <w:sz w:val="32"/>
      <w:szCs w:val="32"/>
      <w:lang w:eastAsia="de-DE"/>
    </w:rPr>
  </w:style>
  <w:style w:type="paragraph" w:customStyle="1" w:styleId="Untertitel1">
    <w:name w:val="Untertitel1"/>
    <w:basedOn w:val="Standard"/>
    <w:next w:val="Standard"/>
    <w:uiPriority w:val="11"/>
    <w:qFormat/>
    <w:rsid w:val="00722A47"/>
    <w:pPr>
      <w:numPr>
        <w:ilvl w:val="1"/>
      </w:numPr>
      <w:spacing w:before="0" w:after="160" w:line="259" w:lineRule="auto"/>
      <w:jc w:val="left"/>
    </w:pPr>
    <w:rPr>
      <w:rFonts w:ascii="Calibri" w:eastAsia="Times New Roman" w:hAnsi="Calibri" w:cs="Times New Roman"/>
      <w:color w:val="5A5A5A"/>
      <w:spacing w:val="15"/>
    </w:rPr>
  </w:style>
  <w:style w:type="character" w:customStyle="1" w:styleId="UntertitelZchn">
    <w:name w:val="Untertitel Zchn"/>
    <w:basedOn w:val="Absatz-Standardschriftart"/>
    <w:link w:val="Untertitel"/>
    <w:uiPriority w:val="11"/>
    <w:rsid w:val="00722A47"/>
    <w:rPr>
      <w:color w:val="5A5A5A"/>
      <w:spacing w:val="15"/>
    </w:rPr>
  </w:style>
  <w:style w:type="numbering" w:customStyle="1" w:styleId="KeineListe111">
    <w:name w:val="Keine Liste111"/>
    <w:next w:val="KeineListe"/>
    <w:semiHidden/>
    <w:unhideWhenUsed/>
    <w:rsid w:val="00722A47"/>
  </w:style>
  <w:style w:type="paragraph" w:styleId="berarbeitung">
    <w:name w:val="Revision"/>
    <w:hidden/>
    <w:semiHidden/>
    <w:rsid w:val="00722A47"/>
    <w:pPr>
      <w:spacing w:after="0" w:line="240" w:lineRule="auto"/>
    </w:pPr>
    <w:rPr>
      <w:rFonts w:ascii="Arial" w:eastAsia="Calibri" w:hAnsi="Arial" w:cs="Arial"/>
    </w:rPr>
  </w:style>
  <w:style w:type="paragraph" w:customStyle="1" w:styleId="Standard10">
    <w:name w:val="Standard1"/>
    <w:basedOn w:val="Standard"/>
    <w:rsid w:val="00722A47"/>
    <w:pPr>
      <w:spacing w:before="60" w:after="0"/>
    </w:pPr>
    <w:rPr>
      <w:rFonts w:ascii="Times New Roman" w:eastAsia="Times New Roman" w:hAnsi="Times New Roman" w:cs="Times New Roman"/>
      <w:sz w:val="24"/>
      <w:szCs w:val="24"/>
      <w:lang w:eastAsia="de-DE"/>
    </w:rPr>
  </w:style>
  <w:style w:type="paragraph" w:customStyle="1" w:styleId="Standard2">
    <w:name w:val="Standard2"/>
    <w:basedOn w:val="Standard"/>
    <w:rsid w:val="00722A47"/>
    <w:pPr>
      <w:spacing w:before="60" w:after="0"/>
    </w:pPr>
    <w:rPr>
      <w:rFonts w:ascii="Times New Roman" w:eastAsia="Times New Roman" w:hAnsi="Times New Roman" w:cs="Times New Roman"/>
      <w:sz w:val="24"/>
      <w:szCs w:val="24"/>
      <w:lang w:eastAsia="de-DE"/>
    </w:rPr>
  </w:style>
  <w:style w:type="paragraph" w:customStyle="1" w:styleId="sti-art">
    <w:name w:val="sti-art"/>
    <w:basedOn w:val="Standard"/>
    <w:rsid w:val="00722A47"/>
    <w:pPr>
      <w:spacing w:before="60" w:after="60"/>
      <w:jc w:val="center"/>
    </w:pPr>
    <w:rPr>
      <w:rFonts w:ascii="Times New Roman" w:eastAsia="Times New Roman" w:hAnsi="Times New Roman" w:cs="Times New Roman"/>
      <w:b/>
      <w:bCs/>
      <w:sz w:val="24"/>
      <w:szCs w:val="24"/>
      <w:lang w:eastAsia="de-DE"/>
    </w:rPr>
  </w:style>
  <w:style w:type="paragraph" w:customStyle="1" w:styleId="ti-art">
    <w:name w:val="ti-art"/>
    <w:basedOn w:val="Standard"/>
    <w:rsid w:val="00722A47"/>
    <w:pPr>
      <w:spacing w:before="360" w:after="60"/>
      <w:jc w:val="center"/>
    </w:pPr>
    <w:rPr>
      <w:rFonts w:ascii="Times New Roman" w:eastAsia="Times New Roman" w:hAnsi="Times New Roman" w:cs="Times New Roman"/>
      <w:i/>
      <w:iCs/>
      <w:sz w:val="24"/>
      <w:szCs w:val="24"/>
      <w:lang w:eastAsia="de-DE"/>
    </w:rPr>
  </w:style>
  <w:style w:type="paragraph" w:customStyle="1" w:styleId="Standard3">
    <w:name w:val="Standard3"/>
    <w:basedOn w:val="Standard"/>
    <w:rsid w:val="00722A47"/>
    <w:pPr>
      <w:spacing w:before="60" w:after="0"/>
    </w:pPr>
    <w:rPr>
      <w:rFonts w:ascii="Times New Roman" w:eastAsia="Times New Roman" w:hAnsi="Times New Roman" w:cs="Times New Roman"/>
      <w:sz w:val="24"/>
      <w:szCs w:val="24"/>
      <w:lang w:eastAsia="de-DE"/>
    </w:rPr>
  </w:style>
  <w:style w:type="paragraph" w:customStyle="1" w:styleId="Standard4">
    <w:name w:val="Standard4"/>
    <w:basedOn w:val="Standard"/>
    <w:rsid w:val="00722A47"/>
    <w:pPr>
      <w:spacing w:before="60" w:after="0"/>
    </w:pPr>
    <w:rPr>
      <w:rFonts w:ascii="Times New Roman" w:eastAsia="Times New Roman" w:hAnsi="Times New Roman" w:cs="Times New Roman"/>
      <w:sz w:val="24"/>
      <w:szCs w:val="24"/>
      <w:lang w:eastAsia="de-DE"/>
    </w:rPr>
  </w:style>
  <w:style w:type="paragraph" w:customStyle="1" w:styleId="Standard5">
    <w:name w:val="Standard5"/>
    <w:basedOn w:val="Standard"/>
    <w:rsid w:val="00722A47"/>
    <w:pPr>
      <w:spacing w:before="60" w:after="0"/>
    </w:pPr>
    <w:rPr>
      <w:rFonts w:ascii="Times New Roman" w:eastAsia="Times New Roman" w:hAnsi="Times New Roman" w:cs="Times New Roman"/>
      <w:sz w:val="24"/>
      <w:szCs w:val="24"/>
      <w:lang w:eastAsia="de-DE"/>
    </w:rPr>
  </w:style>
  <w:style w:type="paragraph" w:customStyle="1" w:styleId="ti-grseq-1">
    <w:name w:val="ti-grseq-1"/>
    <w:basedOn w:val="Standard"/>
    <w:rsid w:val="00722A47"/>
    <w:pPr>
      <w:spacing w:before="240" w:after="60"/>
    </w:pPr>
    <w:rPr>
      <w:rFonts w:ascii="Times New Roman" w:eastAsia="Times New Roman" w:hAnsi="Times New Roman" w:cs="Times New Roman"/>
      <w:b/>
      <w:bCs/>
      <w:sz w:val="24"/>
      <w:szCs w:val="24"/>
      <w:lang w:eastAsia="de-DE"/>
    </w:rPr>
  </w:style>
  <w:style w:type="paragraph" w:customStyle="1" w:styleId="Standard6">
    <w:name w:val="Standard6"/>
    <w:basedOn w:val="Standard"/>
    <w:rsid w:val="00722A47"/>
    <w:pPr>
      <w:spacing w:before="60" w:after="0"/>
    </w:pPr>
    <w:rPr>
      <w:rFonts w:ascii="Times New Roman" w:eastAsia="Times New Roman" w:hAnsi="Times New Roman" w:cs="Times New Roman"/>
      <w:sz w:val="24"/>
      <w:szCs w:val="24"/>
      <w:lang w:eastAsia="de-DE"/>
    </w:rPr>
  </w:style>
  <w:style w:type="character" w:customStyle="1" w:styleId="bold">
    <w:name w:val="bold"/>
    <w:rsid w:val="00722A47"/>
    <w:rPr>
      <w:b/>
      <w:bCs/>
    </w:rPr>
  </w:style>
  <w:style w:type="paragraph" w:customStyle="1" w:styleId="Standard7">
    <w:name w:val="Standard7"/>
    <w:basedOn w:val="Standard"/>
    <w:rsid w:val="00722A47"/>
    <w:pPr>
      <w:spacing w:before="60" w:after="0"/>
    </w:pPr>
    <w:rPr>
      <w:rFonts w:ascii="Times New Roman" w:eastAsia="Times New Roman" w:hAnsi="Times New Roman" w:cs="Times New Roman"/>
      <w:sz w:val="24"/>
      <w:szCs w:val="24"/>
      <w:lang w:eastAsia="de-DE"/>
    </w:rPr>
  </w:style>
  <w:style w:type="character" w:customStyle="1" w:styleId="st1">
    <w:name w:val="st1"/>
    <w:basedOn w:val="Absatz-Standardschriftart"/>
    <w:rsid w:val="00722A47"/>
  </w:style>
  <w:style w:type="numbering" w:customStyle="1" w:styleId="ListeBMJalphanumerisch">
    <w:name w:val="Liste_BMJ_alphanumerisch"/>
    <w:uiPriority w:val="99"/>
    <w:rsid w:val="00722A47"/>
    <w:pPr>
      <w:numPr>
        <w:numId w:val="5"/>
      </w:numPr>
    </w:pPr>
  </w:style>
  <w:style w:type="paragraph" w:customStyle="1" w:styleId="BMJ7alphanumerisch">
    <w:name w:val="BMJ_Ü7_alphanumerisch"/>
    <w:basedOn w:val="BMJberschrift15Zeilig"/>
    <w:next w:val="BMJStandard15Zeile"/>
    <w:uiPriority w:val="2"/>
    <w:qFormat/>
    <w:rsid w:val="00722A47"/>
    <w:pPr>
      <w:numPr>
        <w:ilvl w:val="6"/>
        <w:numId w:val="7"/>
      </w:numPr>
      <w:ind w:left="0" w:firstLine="0"/>
    </w:pPr>
  </w:style>
  <w:style w:type="paragraph" w:customStyle="1" w:styleId="BMJStandard15Zeile">
    <w:name w:val="BMJ_Standard_1.5Zeile"/>
    <w:basedOn w:val="Standard"/>
    <w:qFormat/>
    <w:rsid w:val="00722A47"/>
    <w:pPr>
      <w:spacing w:before="60" w:after="60" w:line="360" w:lineRule="auto"/>
      <w:jc w:val="left"/>
    </w:pPr>
    <w:rPr>
      <w:rFonts w:ascii="Times New Roman" w:eastAsia="Calibri" w:hAnsi="Times New Roman" w:cs="Times New Roman"/>
      <w:bCs/>
      <w:sz w:val="21"/>
    </w:rPr>
  </w:style>
  <w:style w:type="paragraph" w:customStyle="1" w:styleId="BMJ2alphanumerisch">
    <w:name w:val="BMJ_Ü2_alphanumerisch"/>
    <w:basedOn w:val="BMJberschrift15Zeilig"/>
    <w:next w:val="BMJStandard15Zeile"/>
    <w:uiPriority w:val="2"/>
    <w:qFormat/>
    <w:rsid w:val="00722A47"/>
    <w:pPr>
      <w:numPr>
        <w:ilvl w:val="1"/>
        <w:numId w:val="7"/>
      </w:numPr>
      <w:ind w:left="0" w:firstLine="0"/>
    </w:pPr>
  </w:style>
  <w:style w:type="paragraph" w:customStyle="1" w:styleId="BMJStandard1Zeilig">
    <w:name w:val="BMJ_Standard_1Zeilig"/>
    <w:basedOn w:val="Standard"/>
    <w:qFormat/>
    <w:rsid w:val="00722A47"/>
    <w:pPr>
      <w:spacing w:before="60" w:after="60"/>
      <w:jc w:val="left"/>
    </w:pPr>
    <w:rPr>
      <w:rFonts w:ascii="Times New Roman" w:eastAsia="Calibri" w:hAnsi="Times New Roman" w:cs="Times New Roman"/>
      <w:bCs/>
      <w:sz w:val="21"/>
    </w:rPr>
  </w:style>
  <w:style w:type="paragraph" w:customStyle="1" w:styleId="BMJ1alphanumerisch">
    <w:name w:val="BMJ_Ü1_alphanumerisch"/>
    <w:basedOn w:val="BMJberschrift15Zeilig"/>
    <w:next w:val="BMJStandard15Zeile"/>
    <w:uiPriority w:val="2"/>
    <w:qFormat/>
    <w:rsid w:val="00722A47"/>
    <w:pPr>
      <w:numPr>
        <w:numId w:val="7"/>
      </w:numPr>
      <w:ind w:left="0" w:firstLine="0"/>
    </w:pPr>
  </w:style>
  <w:style w:type="paragraph" w:customStyle="1" w:styleId="BMJ3alphanumerisch">
    <w:name w:val="BMJ_Ü3_alphanumerisch"/>
    <w:basedOn w:val="BMJberschrift15Zeilig"/>
    <w:next w:val="BMJStandard15Zeile"/>
    <w:uiPriority w:val="2"/>
    <w:qFormat/>
    <w:rsid w:val="00722A47"/>
    <w:pPr>
      <w:numPr>
        <w:ilvl w:val="2"/>
        <w:numId w:val="7"/>
      </w:numPr>
      <w:ind w:left="0" w:firstLine="0"/>
    </w:pPr>
  </w:style>
  <w:style w:type="paragraph" w:customStyle="1" w:styleId="BMJ4alphanumerisch">
    <w:name w:val="BMJ_Ü4_alphanumerisch"/>
    <w:basedOn w:val="BMJberschrift15Zeilig"/>
    <w:next w:val="BMJStandard15Zeile"/>
    <w:uiPriority w:val="2"/>
    <w:qFormat/>
    <w:rsid w:val="00722A47"/>
    <w:pPr>
      <w:numPr>
        <w:ilvl w:val="3"/>
        <w:numId w:val="7"/>
      </w:numPr>
      <w:ind w:left="0" w:firstLine="0"/>
    </w:pPr>
  </w:style>
  <w:style w:type="paragraph" w:customStyle="1" w:styleId="BMJ5alphanumerisch">
    <w:name w:val="BMJ_Ü5_alphanumerisch"/>
    <w:basedOn w:val="BMJberschrift15Zeilig"/>
    <w:next w:val="BMJStandard15Zeile"/>
    <w:uiPriority w:val="2"/>
    <w:qFormat/>
    <w:rsid w:val="00722A47"/>
    <w:pPr>
      <w:numPr>
        <w:ilvl w:val="4"/>
        <w:numId w:val="7"/>
      </w:numPr>
      <w:ind w:left="0" w:firstLine="0"/>
    </w:pPr>
  </w:style>
  <w:style w:type="paragraph" w:customStyle="1" w:styleId="BMJ6alphanumerisch">
    <w:name w:val="BMJ_Ü6_alphanumerisch"/>
    <w:basedOn w:val="BMJberschrift15Zeilig"/>
    <w:next w:val="BMJStandard15Zeile"/>
    <w:uiPriority w:val="2"/>
    <w:qFormat/>
    <w:rsid w:val="00722A47"/>
    <w:pPr>
      <w:numPr>
        <w:ilvl w:val="5"/>
        <w:numId w:val="7"/>
      </w:numPr>
      <w:ind w:left="0" w:firstLine="0"/>
    </w:pPr>
  </w:style>
  <w:style w:type="table" w:customStyle="1" w:styleId="Tabellenraster11">
    <w:name w:val="Tabellenraster11"/>
    <w:basedOn w:val="NormaleTabelle"/>
    <w:next w:val="Tabellenraster"/>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722A47"/>
    <w:pPr>
      <w:numPr>
        <w:numId w:val="8"/>
      </w:numPr>
    </w:pPr>
    <w:rPr>
      <w:b/>
    </w:rPr>
  </w:style>
  <w:style w:type="paragraph" w:customStyle="1" w:styleId="BMJ2numerisch">
    <w:name w:val="BMJ_Ü2_numerisch"/>
    <w:basedOn w:val="BMJberschrift15Zeilig"/>
    <w:next w:val="BMJStandard15Zeile"/>
    <w:uiPriority w:val="4"/>
    <w:qFormat/>
    <w:rsid w:val="00722A47"/>
    <w:pPr>
      <w:numPr>
        <w:ilvl w:val="1"/>
        <w:numId w:val="8"/>
      </w:numPr>
    </w:pPr>
    <w:rPr>
      <w:b/>
    </w:rPr>
  </w:style>
  <w:style w:type="paragraph" w:customStyle="1" w:styleId="BMJ3numerisch">
    <w:name w:val="BMJ_Ü3_numerisch"/>
    <w:basedOn w:val="BMJberschrift15Zeilig"/>
    <w:next w:val="BMJStandard15Zeile"/>
    <w:uiPriority w:val="4"/>
    <w:qFormat/>
    <w:rsid w:val="00722A47"/>
    <w:pPr>
      <w:numPr>
        <w:ilvl w:val="2"/>
        <w:numId w:val="8"/>
      </w:numPr>
    </w:pPr>
  </w:style>
  <w:style w:type="paragraph" w:customStyle="1" w:styleId="BMJ4numerisch">
    <w:name w:val="BMJ_Ü4_numerisch"/>
    <w:basedOn w:val="BMJberschrift15Zeilig"/>
    <w:next w:val="BMJStandard15Zeile"/>
    <w:uiPriority w:val="4"/>
    <w:qFormat/>
    <w:rsid w:val="00722A47"/>
    <w:pPr>
      <w:numPr>
        <w:ilvl w:val="3"/>
        <w:numId w:val="8"/>
      </w:numPr>
    </w:pPr>
  </w:style>
  <w:style w:type="paragraph" w:customStyle="1" w:styleId="BMJ5numerisch">
    <w:name w:val="BMJ_Ü5_numerisch"/>
    <w:basedOn w:val="BMJberschrift15Zeilig"/>
    <w:next w:val="BMJStandard15Zeile"/>
    <w:uiPriority w:val="4"/>
    <w:qFormat/>
    <w:rsid w:val="00722A47"/>
    <w:pPr>
      <w:numPr>
        <w:ilvl w:val="4"/>
        <w:numId w:val="8"/>
      </w:numPr>
    </w:pPr>
  </w:style>
  <w:style w:type="paragraph" w:customStyle="1" w:styleId="BMJ6numerisch">
    <w:name w:val="BMJ_Ü6_numerisch"/>
    <w:basedOn w:val="BMJberschrift15Zeilig"/>
    <w:next w:val="BMJStandard15Zeile"/>
    <w:uiPriority w:val="4"/>
    <w:qFormat/>
    <w:rsid w:val="00722A47"/>
    <w:pPr>
      <w:numPr>
        <w:ilvl w:val="5"/>
        <w:numId w:val="8"/>
      </w:numPr>
    </w:pPr>
  </w:style>
  <w:style w:type="paragraph" w:customStyle="1" w:styleId="BMJ7numerisch">
    <w:name w:val="BMJ_Ü7_numerisch"/>
    <w:basedOn w:val="BMJberschrift15Zeilig"/>
    <w:next w:val="BMJStandard15Zeile"/>
    <w:uiPriority w:val="4"/>
    <w:qFormat/>
    <w:rsid w:val="00722A47"/>
    <w:pPr>
      <w:numPr>
        <w:ilvl w:val="6"/>
        <w:numId w:val="8"/>
      </w:numPr>
    </w:pPr>
  </w:style>
  <w:style w:type="paragraph" w:customStyle="1" w:styleId="BMJ8numerisch">
    <w:name w:val="BMJ_Ü8_numerisch"/>
    <w:basedOn w:val="BMJberschrift15Zeilig"/>
    <w:next w:val="BMJStandard15Zeile"/>
    <w:uiPriority w:val="4"/>
    <w:qFormat/>
    <w:rsid w:val="00722A47"/>
    <w:pPr>
      <w:numPr>
        <w:ilvl w:val="7"/>
        <w:numId w:val="8"/>
      </w:numPr>
    </w:pPr>
  </w:style>
  <w:style w:type="paragraph" w:customStyle="1" w:styleId="BMJ9numerisch">
    <w:name w:val="BMJ_Ü9_numerisch"/>
    <w:basedOn w:val="BMJberschrift15Zeilig"/>
    <w:next w:val="BMJStandard15Zeile"/>
    <w:uiPriority w:val="4"/>
    <w:qFormat/>
    <w:rsid w:val="00722A47"/>
    <w:pPr>
      <w:numPr>
        <w:ilvl w:val="8"/>
        <w:numId w:val="8"/>
      </w:numPr>
    </w:pPr>
  </w:style>
  <w:style w:type="numbering" w:customStyle="1" w:styleId="ListeBMJnumerisch">
    <w:name w:val="Liste_BMJ_numerisch"/>
    <w:uiPriority w:val="99"/>
    <w:rsid w:val="00722A47"/>
    <w:pPr>
      <w:numPr>
        <w:numId w:val="6"/>
      </w:numPr>
    </w:pPr>
  </w:style>
  <w:style w:type="paragraph" w:customStyle="1" w:styleId="BMJberschrift15Zeilig">
    <w:name w:val="BMJ_Überschrift_1.5Zeilig"/>
    <w:basedOn w:val="BMJStandard15Zeile"/>
    <w:next w:val="BMJStandard15Zeile"/>
    <w:uiPriority w:val="9"/>
    <w:qFormat/>
    <w:rsid w:val="00722A47"/>
    <w:pPr>
      <w:keepNext/>
      <w:keepLines/>
      <w:spacing w:before="360"/>
      <w:contextualSpacing/>
    </w:pPr>
  </w:style>
  <w:style w:type="paragraph" w:styleId="KeinLeerraum">
    <w:name w:val="No Spacing"/>
    <w:uiPriority w:val="1"/>
    <w:qFormat/>
    <w:rsid w:val="00722A47"/>
    <w:pPr>
      <w:spacing w:after="0" w:line="240" w:lineRule="auto"/>
    </w:pPr>
    <w:rPr>
      <w:rFonts w:ascii="Arial" w:eastAsia="Calibri" w:hAnsi="Arial" w:cs="Times New Roman"/>
      <w:bCs/>
    </w:rPr>
  </w:style>
  <w:style w:type="character" w:customStyle="1" w:styleId="berschrift4Zchn1">
    <w:name w:val="Überschrift 4 Zchn1"/>
    <w:uiPriority w:val="9"/>
    <w:rsid w:val="00722A47"/>
    <w:rPr>
      <w:rFonts w:eastAsia="Times New Roman"/>
      <w:b/>
      <w:bCs/>
      <w:i/>
      <w:iCs/>
      <w:color w:val="4F81BD"/>
    </w:rPr>
  </w:style>
  <w:style w:type="paragraph" w:customStyle="1" w:styleId="BMJAufzhlung1">
    <w:name w:val="BMJ_Aufzählung_1"/>
    <w:basedOn w:val="BMJStandard15Zeile"/>
    <w:uiPriority w:val="1"/>
    <w:qFormat/>
    <w:rsid w:val="00722A47"/>
    <w:pPr>
      <w:numPr>
        <w:numId w:val="9"/>
      </w:numPr>
    </w:pPr>
  </w:style>
  <w:style w:type="paragraph" w:customStyle="1" w:styleId="BMJAufzhlung2">
    <w:name w:val="BMJ_Aufzählung_2"/>
    <w:basedOn w:val="BMJStandard15Zeile"/>
    <w:uiPriority w:val="1"/>
    <w:qFormat/>
    <w:rsid w:val="00722A47"/>
    <w:pPr>
      <w:numPr>
        <w:numId w:val="10"/>
      </w:numPr>
    </w:pPr>
    <w:rPr>
      <w:noProof/>
    </w:rPr>
  </w:style>
  <w:style w:type="paragraph" w:customStyle="1" w:styleId="BMJNummerierung1">
    <w:name w:val="BMJ_Nummerierung_1"/>
    <w:basedOn w:val="BMJStandard15Zeile"/>
    <w:uiPriority w:val="1"/>
    <w:qFormat/>
    <w:rsid w:val="00722A47"/>
    <w:pPr>
      <w:numPr>
        <w:numId w:val="11"/>
      </w:numPr>
    </w:pPr>
  </w:style>
  <w:style w:type="paragraph" w:customStyle="1" w:styleId="BMJNummerierung2">
    <w:name w:val="BMJ_Nummerierung_2"/>
    <w:basedOn w:val="BMJStandard15Zeile"/>
    <w:uiPriority w:val="1"/>
    <w:qFormat/>
    <w:rsid w:val="00722A47"/>
    <w:pPr>
      <w:numPr>
        <w:numId w:val="12"/>
      </w:numPr>
    </w:pPr>
  </w:style>
  <w:style w:type="character" w:customStyle="1" w:styleId="berschrift5Zchn1">
    <w:name w:val="Überschrift 5 Zchn1"/>
    <w:uiPriority w:val="9"/>
    <w:semiHidden/>
    <w:rsid w:val="00722A47"/>
    <w:rPr>
      <w:rFonts w:ascii="Cambria" w:eastAsia="Times New Roman" w:hAnsi="Cambria" w:cs="Times New Roman"/>
      <w:color w:val="243F60"/>
    </w:rPr>
  </w:style>
  <w:style w:type="character" w:customStyle="1" w:styleId="berschrift6Zchn1">
    <w:name w:val="Überschrift 6 Zchn1"/>
    <w:uiPriority w:val="9"/>
    <w:semiHidden/>
    <w:rsid w:val="00722A47"/>
    <w:rPr>
      <w:rFonts w:ascii="Cambria" w:eastAsia="Times New Roman" w:hAnsi="Cambria" w:cs="Times New Roman"/>
      <w:i/>
      <w:iCs/>
      <w:color w:val="243F60"/>
    </w:rPr>
  </w:style>
  <w:style w:type="character" w:customStyle="1" w:styleId="berschrift7Zchn1">
    <w:name w:val="Überschrift 7 Zchn1"/>
    <w:uiPriority w:val="9"/>
    <w:semiHidden/>
    <w:rsid w:val="00722A47"/>
    <w:rPr>
      <w:rFonts w:ascii="Cambria" w:eastAsia="Times New Roman" w:hAnsi="Cambria" w:cs="Times New Roman"/>
      <w:i/>
      <w:iCs/>
      <w:color w:val="404040"/>
    </w:rPr>
  </w:style>
  <w:style w:type="character" w:customStyle="1" w:styleId="berschrift8Zchn1">
    <w:name w:val="Überschrift 8 Zchn1"/>
    <w:uiPriority w:val="9"/>
    <w:semiHidden/>
    <w:rsid w:val="00722A47"/>
    <w:rPr>
      <w:rFonts w:ascii="Cambria" w:eastAsia="Times New Roman" w:hAnsi="Cambria" w:cs="Times New Roman"/>
      <w:color w:val="404040"/>
      <w:sz w:val="20"/>
      <w:szCs w:val="20"/>
    </w:rPr>
  </w:style>
  <w:style w:type="character" w:customStyle="1" w:styleId="berschrift9Zchn1">
    <w:name w:val="Überschrift 9 Zchn1"/>
    <w:uiPriority w:val="9"/>
    <w:semiHidden/>
    <w:rsid w:val="00722A47"/>
    <w:rPr>
      <w:rFonts w:ascii="Cambria" w:eastAsia="Times New Roman" w:hAnsi="Cambria" w:cs="Times New Roman"/>
      <w:i/>
      <w:iCs/>
      <w:color w:val="404040"/>
      <w:sz w:val="20"/>
      <w:szCs w:val="20"/>
    </w:rPr>
  </w:style>
  <w:style w:type="paragraph" w:styleId="Titel">
    <w:name w:val="Title"/>
    <w:basedOn w:val="Standard"/>
    <w:next w:val="Standard"/>
    <w:link w:val="TitelZchn"/>
    <w:qFormat/>
    <w:rsid w:val="00722A47"/>
    <w:pPr>
      <w:pBdr>
        <w:bottom w:val="single" w:sz="8" w:space="4" w:color="4F81BD"/>
      </w:pBdr>
      <w:spacing w:before="0" w:after="300"/>
      <w:contextualSpacing/>
      <w:jc w:val="left"/>
    </w:pPr>
    <w:rPr>
      <w:rFonts w:ascii="Times New Roman" w:eastAsia="Times New Roman" w:hAnsi="Times New Roman" w:cs="Times New Roman"/>
      <w:bCs/>
      <w:color w:val="17365D"/>
      <w:spacing w:val="5"/>
      <w:kern w:val="28"/>
      <w:sz w:val="52"/>
      <w:szCs w:val="52"/>
    </w:rPr>
  </w:style>
  <w:style w:type="character" w:customStyle="1" w:styleId="TitelZchn">
    <w:name w:val="Titel Zchn"/>
    <w:basedOn w:val="Absatz-Standardschriftart"/>
    <w:link w:val="Titel"/>
    <w:rsid w:val="00722A47"/>
    <w:rPr>
      <w:rFonts w:ascii="Times New Roman" w:eastAsia="Times New Roman" w:hAnsi="Times New Roman" w:cs="Times New Roman"/>
      <w:bCs/>
      <w:color w:val="17365D"/>
      <w:spacing w:val="5"/>
      <w:kern w:val="28"/>
      <w:sz w:val="52"/>
      <w:szCs w:val="52"/>
    </w:rPr>
  </w:style>
  <w:style w:type="paragraph" w:styleId="Zitat">
    <w:name w:val="Quote"/>
    <w:basedOn w:val="Standard"/>
    <w:next w:val="Standard"/>
    <w:link w:val="ZitatZchn"/>
    <w:uiPriority w:val="29"/>
    <w:qFormat/>
    <w:rsid w:val="00722A47"/>
    <w:pPr>
      <w:spacing w:before="0" w:after="0" w:line="360" w:lineRule="auto"/>
      <w:jc w:val="left"/>
    </w:pPr>
    <w:rPr>
      <w:rFonts w:ascii="Times New Roman" w:eastAsia="Calibri" w:hAnsi="Times New Roman" w:cs="Times New Roman"/>
      <w:bCs/>
      <w:i/>
      <w:iCs/>
      <w:color w:val="000000"/>
      <w:sz w:val="21"/>
    </w:rPr>
  </w:style>
  <w:style w:type="character" w:customStyle="1" w:styleId="ZitatZchn">
    <w:name w:val="Zitat Zchn"/>
    <w:basedOn w:val="Absatz-Standardschriftart"/>
    <w:link w:val="Zitat"/>
    <w:uiPriority w:val="29"/>
    <w:rsid w:val="00722A47"/>
    <w:rPr>
      <w:rFonts w:ascii="Times New Roman" w:eastAsia="Calibri" w:hAnsi="Times New Roman" w:cs="Times New Roman"/>
      <w:bCs/>
      <w:i/>
      <w:iCs/>
      <w:color w:val="000000"/>
      <w:sz w:val="21"/>
    </w:rPr>
  </w:style>
  <w:style w:type="paragraph" w:styleId="IntensivesZitat">
    <w:name w:val="Intense Quote"/>
    <w:basedOn w:val="Standard"/>
    <w:next w:val="Standard"/>
    <w:link w:val="IntensivesZitatZchn"/>
    <w:uiPriority w:val="30"/>
    <w:qFormat/>
    <w:rsid w:val="00722A47"/>
    <w:pPr>
      <w:pBdr>
        <w:bottom w:val="single" w:sz="4" w:space="4" w:color="4F81BD"/>
      </w:pBdr>
      <w:spacing w:before="200" w:after="280" w:line="360" w:lineRule="auto"/>
      <w:ind w:left="936" w:right="936"/>
      <w:jc w:val="left"/>
    </w:pPr>
    <w:rPr>
      <w:rFonts w:ascii="Times New Roman" w:eastAsia="Calibri" w:hAnsi="Times New Roman" w:cs="Times New Roman"/>
      <w:b/>
      <w:i/>
      <w:iCs/>
      <w:color w:val="4F81BD"/>
      <w:sz w:val="21"/>
    </w:rPr>
  </w:style>
  <w:style w:type="character" w:customStyle="1" w:styleId="IntensivesZitatZchn">
    <w:name w:val="Intensives Zitat Zchn"/>
    <w:basedOn w:val="Absatz-Standardschriftart"/>
    <w:link w:val="IntensivesZitat"/>
    <w:uiPriority w:val="30"/>
    <w:rsid w:val="00722A47"/>
    <w:rPr>
      <w:rFonts w:ascii="Times New Roman" w:eastAsia="Calibri" w:hAnsi="Times New Roman" w:cs="Times New Roman"/>
      <w:b/>
      <w:i/>
      <w:iCs/>
      <w:color w:val="4F81BD"/>
      <w:sz w:val="21"/>
    </w:rPr>
  </w:style>
  <w:style w:type="character" w:styleId="SchwacheHervorhebung">
    <w:name w:val="Subtle Emphasis"/>
    <w:uiPriority w:val="19"/>
    <w:qFormat/>
    <w:rsid w:val="00722A47"/>
    <w:rPr>
      <w:i/>
      <w:iCs/>
      <w:color w:val="808080"/>
    </w:rPr>
  </w:style>
  <w:style w:type="character" w:styleId="IntensiveHervorhebung">
    <w:name w:val="Intense Emphasis"/>
    <w:uiPriority w:val="21"/>
    <w:qFormat/>
    <w:rsid w:val="00722A47"/>
    <w:rPr>
      <w:b/>
      <w:bCs/>
      <w:i/>
      <w:iCs/>
      <w:color w:val="4F81BD"/>
    </w:rPr>
  </w:style>
  <w:style w:type="character" w:styleId="SchwacherVerweis">
    <w:name w:val="Subtle Reference"/>
    <w:uiPriority w:val="31"/>
    <w:qFormat/>
    <w:rsid w:val="00722A47"/>
    <w:rPr>
      <w:smallCaps/>
      <w:color w:val="C0504D"/>
      <w:u w:val="single"/>
    </w:rPr>
  </w:style>
  <w:style w:type="character" w:styleId="IntensiverVerweis">
    <w:name w:val="Intense Reference"/>
    <w:uiPriority w:val="32"/>
    <w:qFormat/>
    <w:rsid w:val="00722A47"/>
    <w:rPr>
      <w:b/>
      <w:bCs/>
      <w:smallCaps/>
      <w:color w:val="C0504D"/>
      <w:spacing w:val="5"/>
      <w:u w:val="single"/>
    </w:rPr>
  </w:style>
  <w:style w:type="character" w:styleId="Buchtitel">
    <w:name w:val="Book Title"/>
    <w:uiPriority w:val="33"/>
    <w:qFormat/>
    <w:rsid w:val="00722A47"/>
    <w:rPr>
      <w:b/>
      <w:bCs/>
      <w:smallCaps/>
      <w:spacing w:val="5"/>
    </w:rPr>
  </w:style>
  <w:style w:type="character" w:customStyle="1" w:styleId="footnotesuper1">
    <w:name w:val="footnotesuper1"/>
    <w:rsid w:val="00722A47"/>
    <w:rPr>
      <w:strike w:val="0"/>
      <w:dstrike w:val="0"/>
      <w:sz w:val="15"/>
      <w:szCs w:val="15"/>
      <w:u w:val="none"/>
      <w:effect w:val="none"/>
      <w:vertAlign w:val="superscript"/>
    </w:rPr>
  </w:style>
  <w:style w:type="paragraph" w:customStyle="1" w:styleId="typti">
    <w:name w:val="_typ_ti"/>
    <w:basedOn w:val="Standard"/>
    <w:rsid w:val="00722A47"/>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Formatvorlage1Zchn">
    <w:name w:val="Formatvorlage1 Zchn"/>
    <w:link w:val="Formatvorlage1"/>
    <w:rsid w:val="00722A47"/>
    <w:rPr>
      <w:rFonts w:ascii="Times New Roman" w:eastAsia="Calibri" w:hAnsi="Times New Roman" w:cs="Times New Roman"/>
      <w:color w:val="0D0D0D"/>
      <w:sz w:val="21"/>
    </w:rPr>
  </w:style>
  <w:style w:type="numbering" w:customStyle="1" w:styleId="KeineListe1111">
    <w:name w:val="Keine Liste1111"/>
    <w:next w:val="KeineListe"/>
    <w:semiHidden/>
    <w:rsid w:val="00722A47"/>
  </w:style>
  <w:style w:type="paragraph" w:customStyle="1" w:styleId="Verborgen">
    <w:name w:val="Verborgen"/>
    <w:basedOn w:val="Standard"/>
    <w:rsid w:val="00722A47"/>
    <w:pPr>
      <w:tabs>
        <w:tab w:val="left" w:pos="641"/>
      </w:tabs>
      <w:spacing w:before="0" w:after="0"/>
      <w:jc w:val="left"/>
    </w:pPr>
    <w:rPr>
      <w:rFonts w:ascii="Tahoma" w:eastAsia="Times New Roman" w:hAnsi="Tahoma" w:cs="Times New Roman"/>
      <w:vanish/>
      <w:color w:val="0000FF"/>
      <w:sz w:val="24"/>
      <w:szCs w:val="20"/>
      <w:lang w:eastAsia="de-DE"/>
    </w:rPr>
  </w:style>
  <w:style w:type="paragraph" w:customStyle="1" w:styleId="Verborgen1">
    <w:name w:val="Verborgen1"/>
    <w:basedOn w:val="Verborgen"/>
    <w:rsid w:val="00722A47"/>
    <w:rPr>
      <w:sz w:val="20"/>
    </w:rPr>
  </w:style>
  <w:style w:type="character" w:styleId="Seitenzahl">
    <w:name w:val="page number"/>
    <w:rsid w:val="00722A47"/>
    <w:rPr>
      <w:rFonts w:ascii="Book Antiqua" w:hAnsi="Book Antiqua"/>
      <w:sz w:val="22"/>
    </w:rPr>
  </w:style>
  <w:style w:type="paragraph" w:customStyle="1" w:styleId="Hier">
    <w:name w:val="Hier"/>
    <w:basedOn w:val="Standard"/>
    <w:next w:val="Standard"/>
    <w:rsid w:val="00722A47"/>
    <w:pPr>
      <w:tabs>
        <w:tab w:val="left" w:pos="6521"/>
      </w:tabs>
      <w:spacing w:before="0" w:after="0"/>
      <w:ind w:left="454"/>
      <w:jc w:val="left"/>
    </w:pPr>
    <w:rPr>
      <w:rFonts w:ascii="Tahoma" w:eastAsia="Times New Roman" w:hAnsi="Tahoma" w:cs="Times New Roman"/>
      <w:sz w:val="24"/>
      <w:szCs w:val="20"/>
      <w:lang w:eastAsia="de-DE"/>
    </w:rPr>
  </w:style>
  <w:style w:type="paragraph" w:customStyle="1" w:styleId="MitZeichnung">
    <w:name w:val="MitZeichnung"/>
    <w:basedOn w:val="Verborgen"/>
    <w:next w:val="Standard"/>
    <w:rsid w:val="00722A47"/>
    <w:pPr>
      <w:tabs>
        <w:tab w:val="left" w:pos="6804"/>
      </w:tabs>
    </w:pPr>
    <w:rPr>
      <w:rFonts w:ascii="Book Antiqua" w:hAnsi="Book Antiqua"/>
      <w:sz w:val="22"/>
    </w:rPr>
  </w:style>
  <w:style w:type="paragraph" w:customStyle="1" w:styleId="FVPfad">
    <w:name w:val="FV_Pfad"/>
    <w:basedOn w:val="Verborgen"/>
    <w:next w:val="Standard"/>
    <w:rsid w:val="00722A47"/>
  </w:style>
  <w:style w:type="paragraph" w:customStyle="1" w:styleId="Verborgen2">
    <w:name w:val="Verborgen2"/>
    <w:basedOn w:val="Verborgen"/>
    <w:rsid w:val="00722A47"/>
    <w:pPr>
      <w:tabs>
        <w:tab w:val="left" w:pos="6804"/>
      </w:tabs>
      <w:jc w:val="center"/>
    </w:pPr>
    <w:rPr>
      <w:rFonts w:ascii="Book Antiqua" w:hAnsi="Book Antiqua"/>
      <w:sz w:val="20"/>
    </w:rPr>
  </w:style>
  <w:style w:type="paragraph" w:customStyle="1" w:styleId="p8">
    <w:name w:val="p8"/>
    <w:basedOn w:val="Standard"/>
    <w:rsid w:val="00722A47"/>
    <w:pPr>
      <w:spacing w:before="0" w:after="0" w:line="280" w:lineRule="atLeast"/>
      <w:jc w:val="left"/>
    </w:pPr>
    <w:rPr>
      <w:rFonts w:ascii="Times New Roman" w:eastAsia="Times New Roman" w:hAnsi="Times New Roman" w:cs="Times New Roman"/>
      <w:sz w:val="24"/>
      <w:szCs w:val="20"/>
      <w:lang w:eastAsia="de-DE"/>
    </w:rPr>
  </w:style>
  <w:style w:type="paragraph" w:styleId="Textkrper-Einzug2">
    <w:name w:val="Body Text Indent 2"/>
    <w:basedOn w:val="Standard"/>
    <w:link w:val="Textkrper-Einzug2Zchn"/>
    <w:rsid w:val="00722A47"/>
    <w:pPr>
      <w:tabs>
        <w:tab w:val="left" w:pos="540"/>
      </w:tabs>
      <w:spacing w:before="0" w:after="60" w:line="312" w:lineRule="auto"/>
      <w:ind w:left="540" w:hanging="540"/>
      <w:jc w:val="left"/>
    </w:pPr>
    <w:rPr>
      <w:rFonts w:ascii="Times New Roman" w:eastAsia="Times New Roman" w:hAnsi="Times New Roman" w:cs="Times New Roman"/>
      <w:sz w:val="24"/>
      <w:szCs w:val="24"/>
      <w:lang w:eastAsia="de-DE"/>
    </w:rPr>
  </w:style>
  <w:style w:type="character" w:customStyle="1" w:styleId="Textkrper-Einzug2Zchn">
    <w:name w:val="Textkörper-Einzug 2 Zchn"/>
    <w:basedOn w:val="Absatz-Standardschriftart"/>
    <w:link w:val="Textkrper-Einzug2"/>
    <w:rsid w:val="00722A47"/>
    <w:rPr>
      <w:rFonts w:ascii="Times New Roman" w:eastAsia="Times New Roman" w:hAnsi="Times New Roman" w:cs="Times New Roman"/>
      <w:sz w:val="24"/>
      <w:szCs w:val="24"/>
      <w:lang w:eastAsia="de-DE"/>
    </w:rPr>
  </w:style>
  <w:style w:type="paragraph" w:customStyle="1" w:styleId="Tabellenbeschriftung">
    <w:name w:val="Tabellenbeschriftung"/>
    <w:basedOn w:val="berschrift4"/>
    <w:rsid w:val="00722A47"/>
    <w:pPr>
      <w:numPr>
        <w:ilvl w:val="0"/>
        <w:numId w:val="0"/>
      </w:numPr>
      <w:tabs>
        <w:tab w:val="left" w:pos="1701"/>
      </w:tabs>
      <w:spacing w:before="80" w:after="40"/>
      <w:jc w:val="left"/>
    </w:pPr>
    <w:rPr>
      <w:rFonts w:ascii="Times New Roman" w:eastAsia="Times New Roman" w:hAnsi="Times New Roman" w:cs="Times New Roman"/>
      <w:b w:val="0"/>
      <w:i w:val="0"/>
      <w:iCs w:val="0"/>
      <w:sz w:val="24"/>
      <w:szCs w:val="24"/>
      <w:lang w:eastAsia="de-DE"/>
    </w:rPr>
  </w:style>
  <w:style w:type="paragraph" w:customStyle="1" w:styleId="NoteTabelle">
    <w:name w:val="Note Tabelle"/>
    <w:basedOn w:val="Standard"/>
    <w:rsid w:val="00722A47"/>
    <w:pPr>
      <w:tabs>
        <w:tab w:val="left" w:pos="851"/>
      </w:tabs>
      <w:spacing w:before="0" w:after="0"/>
      <w:jc w:val="left"/>
    </w:pPr>
    <w:rPr>
      <w:rFonts w:ascii="Times New Roman" w:eastAsia="Times New Roman" w:hAnsi="Times New Roman" w:cs="Times New Roman"/>
      <w:i/>
      <w:iCs/>
      <w:sz w:val="20"/>
      <w:szCs w:val="20"/>
      <w:lang w:eastAsia="de-DE"/>
    </w:rPr>
  </w:style>
  <w:style w:type="paragraph" w:styleId="Textkrper-Zeileneinzug">
    <w:name w:val="Body Text Indent"/>
    <w:basedOn w:val="Standard"/>
    <w:link w:val="Textkrper-ZeileneinzugZchn"/>
    <w:rsid w:val="00722A47"/>
    <w:pPr>
      <w:spacing w:before="0" w:after="60"/>
      <w:ind w:left="283"/>
      <w:jc w:val="left"/>
    </w:pPr>
    <w:rPr>
      <w:rFonts w:ascii="Tahoma" w:eastAsia="Times New Roman" w:hAnsi="Tahoma" w:cs="Times New Roman"/>
      <w:sz w:val="24"/>
      <w:szCs w:val="20"/>
      <w:lang w:eastAsia="de-DE"/>
    </w:rPr>
  </w:style>
  <w:style w:type="character" w:customStyle="1" w:styleId="Textkrper-ZeileneinzugZchn">
    <w:name w:val="Textkörper-Zeileneinzug Zchn"/>
    <w:basedOn w:val="Absatz-Standardschriftart"/>
    <w:link w:val="Textkrper-Zeileneinzug"/>
    <w:rsid w:val="00722A47"/>
    <w:rPr>
      <w:rFonts w:ascii="Tahoma" w:eastAsia="Times New Roman" w:hAnsi="Tahoma" w:cs="Times New Roman"/>
      <w:sz w:val="24"/>
      <w:szCs w:val="20"/>
      <w:lang w:eastAsia="de-DE"/>
    </w:rPr>
  </w:style>
  <w:style w:type="paragraph" w:styleId="Textkrper-Einzug3">
    <w:name w:val="Body Text Indent 3"/>
    <w:basedOn w:val="Standard"/>
    <w:link w:val="Textkrper-Einzug3Zchn"/>
    <w:rsid w:val="00722A47"/>
    <w:pPr>
      <w:spacing w:before="0" w:after="60"/>
      <w:ind w:left="283"/>
      <w:jc w:val="left"/>
    </w:pPr>
    <w:rPr>
      <w:rFonts w:ascii="Tahoma" w:eastAsia="Times New Roman" w:hAnsi="Tahoma" w:cs="Times New Roman"/>
      <w:sz w:val="16"/>
      <w:szCs w:val="16"/>
      <w:lang w:eastAsia="de-DE"/>
    </w:rPr>
  </w:style>
  <w:style w:type="character" w:customStyle="1" w:styleId="Textkrper-Einzug3Zchn">
    <w:name w:val="Textkörper-Einzug 3 Zchn"/>
    <w:basedOn w:val="Absatz-Standardschriftart"/>
    <w:link w:val="Textkrper-Einzug3"/>
    <w:rsid w:val="00722A47"/>
    <w:rPr>
      <w:rFonts w:ascii="Tahoma" w:eastAsia="Times New Roman" w:hAnsi="Tahoma" w:cs="Times New Roman"/>
      <w:sz w:val="16"/>
      <w:szCs w:val="16"/>
      <w:lang w:eastAsia="de-DE"/>
    </w:rPr>
  </w:style>
  <w:style w:type="paragraph" w:styleId="Dokumentstruktur">
    <w:name w:val="Document Map"/>
    <w:basedOn w:val="Standard"/>
    <w:link w:val="DokumentstrukturZchn"/>
    <w:semiHidden/>
    <w:rsid w:val="00722A47"/>
    <w:pPr>
      <w:shd w:val="clear" w:color="auto" w:fill="000080"/>
      <w:spacing w:before="0" w:after="0"/>
      <w:jc w:val="left"/>
    </w:pPr>
    <w:rPr>
      <w:rFonts w:ascii="Tahoma" w:eastAsia="Times New Roman" w:hAnsi="Tahoma" w:cs="Tahoma"/>
      <w:sz w:val="20"/>
      <w:szCs w:val="20"/>
      <w:lang w:eastAsia="de-DE"/>
    </w:rPr>
  </w:style>
  <w:style w:type="character" w:customStyle="1" w:styleId="DokumentstrukturZchn">
    <w:name w:val="Dokumentstruktur Zchn"/>
    <w:basedOn w:val="Absatz-Standardschriftart"/>
    <w:link w:val="Dokumentstruktur"/>
    <w:semiHidden/>
    <w:rsid w:val="00722A47"/>
    <w:rPr>
      <w:rFonts w:ascii="Tahoma" w:eastAsia="Times New Roman" w:hAnsi="Tahoma" w:cs="Tahoma"/>
      <w:sz w:val="20"/>
      <w:szCs w:val="20"/>
      <w:shd w:val="clear" w:color="auto" w:fill="000080"/>
      <w:lang w:eastAsia="de-DE"/>
    </w:rPr>
  </w:style>
  <w:style w:type="paragraph" w:customStyle="1" w:styleId="Formatvorlageberschrift212ptNichtKursiv">
    <w:name w:val="Formatvorlage Überschrift 2 + 12 pt Nicht Kursiv"/>
    <w:basedOn w:val="berschrift2"/>
    <w:rsid w:val="00722A47"/>
    <w:pPr>
      <w:numPr>
        <w:numId w:val="0"/>
      </w:numPr>
      <w:tabs>
        <w:tab w:val="num" w:pos="0"/>
        <w:tab w:val="num" w:pos="576"/>
      </w:tabs>
      <w:spacing w:before="120"/>
      <w:ind w:left="576" w:hanging="576"/>
      <w:jc w:val="left"/>
    </w:pPr>
    <w:rPr>
      <w:rFonts w:ascii="Times New Roman" w:eastAsia="Times New Roman" w:hAnsi="Times New Roman" w:cs="Times New Roman"/>
      <w:b w:val="0"/>
      <w:bCs w:val="0"/>
      <w:i w:val="0"/>
      <w:kern w:val="32"/>
      <w:sz w:val="24"/>
      <w:szCs w:val="24"/>
      <w:lang w:eastAsia="de-DE"/>
    </w:rPr>
  </w:style>
  <w:style w:type="paragraph" w:customStyle="1" w:styleId="Tabelleninhalt8ptLinks">
    <w:name w:val="Tabelleninhalt 8pt Links"/>
    <w:basedOn w:val="Standard"/>
    <w:rsid w:val="00722A47"/>
    <w:pPr>
      <w:spacing w:before="60" w:after="60" w:line="264" w:lineRule="auto"/>
      <w:jc w:val="left"/>
    </w:pPr>
    <w:rPr>
      <w:rFonts w:ascii="Times New Roman" w:eastAsia="Times New Roman" w:hAnsi="Times New Roman" w:cs="Times New Roman"/>
      <w:spacing w:val="4"/>
      <w:sz w:val="17"/>
      <w:szCs w:val="20"/>
      <w:lang w:val="en-US"/>
    </w:rPr>
  </w:style>
  <w:style w:type="character" w:customStyle="1" w:styleId="Tabellenkopf10ptFett">
    <w:name w:val="Tabellenkopf 10 pt Fett"/>
    <w:rsid w:val="00722A47"/>
    <w:rPr>
      <w:rFonts w:cs="Times New Roman"/>
      <w:b/>
      <w:bCs/>
      <w:sz w:val="20"/>
    </w:rPr>
  </w:style>
  <w:style w:type="paragraph" w:customStyle="1" w:styleId="FormatvorlageAbbildungsunterschriftFett1">
    <w:name w:val="Formatvorlage Abbildungsunterschrift + Fett1"/>
    <w:basedOn w:val="Standard"/>
    <w:link w:val="FormatvorlageAbbildungsunterschriftFett1Char"/>
    <w:autoRedefine/>
    <w:rsid w:val="00722A47"/>
    <w:pPr>
      <w:spacing w:before="60" w:after="60"/>
      <w:ind w:left="964" w:hanging="964"/>
    </w:pPr>
    <w:rPr>
      <w:rFonts w:ascii="Times New Roman" w:eastAsia="Times New Roman" w:hAnsi="Times New Roman" w:cs="Times New Roman"/>
      <w:b/>
      <w:bCs/>
      <w:sz w:val="21"/>
      <w:lang w:eastAsia="de-DE"/>
    </w:rPr>
  </w:style>
  <w:style w:type="character" w:customStyle="1" w:styleId="FormatvorlageAbbildungsunterschriftFett1Char">
    <w:name w:val="Formatvorlage Abbildungsunterschrift + Fett1 Char"/>
    <w:link w:val="FormatvorlageAbbildungsunterschriftFett1"/>
    <w:locked/>
    <w:rsid w:val="00722A47"/>
    <w:rPr>
      <w:rFonts w:ascii="Times New Roman" w:eastAsia="Times New Roman" w:hAnsi="Times New Roman" w:cs="Times New Roman"/>
      <w:b/>
      <w:bCs/>
      <w:sz w:val="21"/>
      <w:lang w:eastAsia="de-DE"/>
    </w:rPr>
  </w:style>
  <w:style w:type="paragraph" w:customStyle="1" w:styleId="Abbildungsunterschrift">
    <w:name w:val="Abbildungsunterschrift"/>
    <w:basedOn w:val="Standard"/>
    <w:link w:val="AbbildungsunterschriftChar"/>
    <w:rsid w:val="00722A47"/>
    <w:pPr>
      <w:spacing w:before="60" w:after="60"/>
      <w:ind w:left="964" w:hanging="964"/>
    </w:pPr>
    <w:rPr>
      <w:rFonts w:ascii="Times New Roman" w:eastAsia="Times New Roman" w:hAnsi="Times New Roman" w:cs="Times New Roman"/>
      <w:sz w:val="21"/>
      <w:lang w:eastAsia="de-DE"/>
    </w:rPr>
  </w:style>
  <w:style w:type="character" w:customStyle="1" w:styleId="AbbildungsunterschriftChar">
    <w:name w:val="Abbildungsunterschrift Char"/>
    <w:link w:val="Abbildungsunterschrift"/>
    <w:locked/>
    <w:rsid w:val="00722A47"/>
    <w:rPr>
      <w:rFonts w:ascii="Times New Roman" w:eastAsia="Times New Roman" w:hAnsi="Times New Roman" w:cs="Times New Roman"/>
      <w:sz w:val="21"/>
      <w:lang w:eastAsia="de-DE"/>
    </w:rPr>
  </w:style>
  <w:style w:type="paragraph" w:customStyle="1" w:styleId="equation">
    <w:name w:val="equation"/>
    <w:basedOn w:val="Standard"/>
    <w:next w:val="Standard"/>
    <w:rsid w:val="00722A47"/>
    <w:pPr>
      <w:spacing w:before="60" w:after="60"/>
      <w:jc w:val="center"/>
    </w:pPr>
    <w:rPr>
      <w:rFonts w:ascii="Times New Roman" w:eastAsia="Times New Roman" w:hAnsi="Times New Roman" w:cs="Times New Roman"/>
      <w:sz w:val="20"/>
      <w:szCs w:val="20"/>
      <w:lang w:eastAsia="de-DE"/>
    </w:rPr>
  </w:style>
  <w:style w:type="character" w:customStyle="1" w:styleId="Standardtextunterstrichen">
    <w:name w:val="Standardtext unterstrichen"/>
    <w:rsid w:val="00722A47"/>
    <w:rPr>
      <w:rFonts w:cs="Times New Roman"/>
      <w:u w:val="single"/>
    </w:rPr>
  </w:style>
  <w:style w:type="paragraph" w:customStyle="1" w:styleId="FormatvorlageAbbildungsunterschriftFett">
    <w:name w:val="Formatvorlage Abbildungsunterschrift + Fett"/>
    <w:basedOn w:val="Abbildungsunterschrift"/>
    <w:rsid w:val="00722A47"/>
    <w:rPr>
      <w:b/>
      <w:bCs/>
      <w:sz w:val="20"/>
    </w:rPr>
  </w:style>
  <w:style w:type="paragraph" w:customStyle="1" w:styleId="Literatur">
    <w:name w:val="Literatur"/>
    <w:basedOn w:val="Standard"/>
    <w:rsid w:val="00722A47"/>
    <w:pPr>
      <w:spacing w:before="60" w:after="60"/>
      <w:ind w:left="709" w:hanging="709"/>
    </w:pPr>
    <w:rPr>
      <w:rFonts w:ascii="Times New Roman" w:eastAsia="Times New Roman" w:hAnsi="Times New Roman" w:cs="Times New Roman"/>
      <w:sz w:val="20"/>
      <w:szCs w:val="20"/>
      <w:lang w:eastAsia="de-DE"/>
    </w:rPr>
  </w:style>
  <w:style w:type="paragraph" w:customStyle="1" w:styleId="berschrift1SiWaP">
    <w:name w:val="Überschrift 1 SiWaP"/>
    <w:basedOn w:val="berschrift1"/>
    <w:autoRedefine/>
    <w:rsid w:val="00722A47"/>
    <w:pPr>
      <w:numPr>
        <w:numId w:val="15"/>
      </w:numPr>
      <w:tabs>
        <w:tab w:val="left" w:pos="851"/>
      </w:tabs>
      <w:spacing w:before="0" w:after="240" w:line="312" w:lineRule="exact"/>
      <w:jc w:val="center"/>
    </w:pPr>
    <w:rPr>
      <w:rFonts w:ascii="Times New Roman" w:eastAsia="Times New Roman" w:hAnsi="Times New Roman" w:cs="Times New Roman"/>
      <w:bCs w:val="0"/>
      <w:kern w:val="28"/>
      <w:sz w:val="21"/>
      <w:szCs w:val="20"/>
      <w:lang w:eastAsia="de-DE"/>
    </w:rPr>
  </w:style>
  <w:style w:type="paragraph" w:customStyle="1" w:styleId="LiteraturSiWaP">
    <w:name w:val="Literatur SiWaP"/>
    <w:basedOn w:val="Literaturquelle"/>
    <w:autoRedefine/>
    <w:rsid w:val="00722A47"/>
    <w:pPr>
      <w:widowControl w:val="0"/>
      <w:numPr>
        <w:numId w:val="13"/>
      </w:numPr>
      <w:spacing w:after="120"/>
    </w:pPr>
    <w:rPr>
      <w:rFonts w:cs="Arial"/>
      <w:iCs/>
      <w:sz w:val="20"/>
      <w:lang w:val="en-US"/>
    </w:rPr>
  </w:style>
  <w:style w:type="paragraph" w:customStyle="1" w:styleId="Literaturquelle">
    <w:name w:val="Literaturquelle"/>
    <w:basedOn w:val="Standard"/>
    <w:next w:val="Standard"/>
    <w:rsid w:val="00722A47"/>
    <w:pPr>
      <w:spacing w:before="0" w:after="0" w:line="312" w:lineRule="exact"/>
      <w:ind w:left="851" w:hanging="851"/>
    </w:pPr>
    <w:rPr>
      <w:rFonts w:ascii="Times New Roman" w:eastAsia="Times New Roman" w:hAnsi="Times New Roman" w:cs="Times New Roman"/>
      <w:sz w:val="24"/>
      <w:szCs w:val="20"/>
      <w:lang w:eastAsia="de-DE"/>
    </w:rPr>
  </w:style>
  <w:style w:type="paragraph" w:customStyle="1" w:styleId="toa">
    <w:name w:val="toa"/>
    <w:basedOn w:val="Standard"/>
    <w:rsid w:val="00722A47"/>
    <w:pPr>
      <w:tabs>
        <w:tab w:val="left" w:pos="9000"/>
        <w:tab w:val="right" w:pos="9360"/>
      </w:tabs>
      <w:suppressAutoHyphens/>
      <w:spacing w:before="0" w:after="0"/>
      <w:jc w:val="left"/>
    </w:pPr>
    <w:rPr>
      <w:rFonts w:ascii="CG Times" w:eastAsia="Times New Roman" w:hAnsi="CG Times" w:cs="Times New Roman"/>
      <w:sz w:val="20"/>
      <w:szCs w:val="20"/>
      <w:lang w:val="en-US" w:eastAsia="de-DE"/>
    </w:rPr>
  </w:style>
  <w:style w:type="paragraph" w:customStyle="1" w:styleId="Verfasser">
    <w:name w:val="Verfasser"/>
    <w:basedOn w:val="Standard"/>
    <w:next w:val="Standard"/>
    <w:rsid w:val="00722A47"/>
    <w:pPr>
      <w:tabs>
        <w:tab w:val="num" w:pos="705"/>
        <w:tab w:val="left" w:pos="851"/>
      </w:tabs>
      <w:spacing w:before="0" w:after="0" w:line="312" w:lineRule="exact"/>
      <w:ind w:left="851" w:hanging="851"/>
    </w:pPr>
    <w:rPr>
      <w:rFonts w:ascii="Times New Roman" w:eastAsia="Times New Roman" w:hAnsi="Times New Roman" w:cs="Times New Roman"/>
      <w:sz w:val="24"/>
      <w:szCs w:val="20"/>
      <w:lang w:eastAsia="de-DE"/>
    </w:rPr>
  </w:style>
  <w:style w:type="paragraph" w:customStyle="1" w:styleId="berschrift2SiWaP">
    <w:name w:val="Überschrift 2 SiWaP"/>
    <w:basedOn w:val="berschrift2"/>
    <w:autoRedefine/>
    <w:rsid w:val="00722A47"/>
    <w:pPr>
      <w:keepNext w:val="0"/>
      <w:numPr>
        <w:ilvl w:val="0"/>
        <w:numId w:val="0"/>
      </w:numPr>
      <w:spacing w:before="0" w:after="0"/>
      <w:jc w:val="left"/>
      <w:outlineLvl w:val="9"/>
    </w:pPr>
    <w:rPr>
      <w:rFonts w:ascii="Times New Roman" w:eastAsia="Times New Roman" w:hAnsi="Times New Roman" w:cs="Times New Roman"/>
      <w:bCs w:val="0"/>
      <w:i w:val="0"/>
      <w:sz w:val="21"/>
      <w:szCs w:val="20"/>
      <w:lang w:eastAsia="de-DE"/>
    </w:rPr>
  </w:style>
  <w:style w:type="paragraph" w:customStyle="1" w:styleId="Tabellenberschrift">
    <w:name w:val="Tabellenüberschrift"/>
    <w:basedOn w:val="Standard"/>
    <w:next w:val="Standard"/>
    <w:autoRedefine/>
    <w:rsid w:val="00722A47"/>
    <w:pPr>
      <w:numPr>
        <w:numId w:val="16"/>
      </w:numPr>
      <w:tabs>
        <w:tab w:val="clear" w:pos="705"/>
      </w:tabs>
      <w:spacing w:before="240" w:after="60"/>
      <w:ind w:left="1134" w:hanging="1134"/>
    </w:pPr>
    <w:rPr>
      <w:rFonts w:ascii="Times New Roman" w:eastAsia="Times New Roman" w:hAnsi="Times New Roman" w:cs="Times New Roman"/>
      <w:b/>
      <w:sz w:val="20"/>
      <w:szCs w:val="20"/>
      <w:lang w:eastAsia="de-DE"/>
    </w:rPr>
  </w:style>
  <w:style w:type="paragraph" w:customStyle="1" w:styleId="Bildunterschrift">
    <w:name w:val="Bildunterschrift"/>
    <w:basedOn w:val="Standard"/>
    <w:next w:val="Standard"/>
    <w:autoRedefine/>
    <w:rsid w:val="00722A47"/>
    <w:pPr>
      <w:spacing w:before="60" w:after="240"/>
      <w:ind w:left="851" w:hanging="851"/>
    </w:pPr>
    <w:rPr>
      <w:rFonts w:ascii="Times New Roman" w:eastAsia="Times New Roman" w:hAnsi="Times New Roman" w:cs="Times New Roman"/>
      <w:bCs/>
      <w:sz w:val="20"/>
      <w:szCs w:val="20"/>
      <w:lang w:eastAsia="de-DE"/>
    </w:rPr>
  </w:style>
  <w:style w:type="paragraph" w:customStyle="1" w:styleId="berschrift3SiWaP">
    <w:name w:val="Überschrift 3 SiWaP"/>
    <w:basedOn w:val="berschrift3"/>
    <w:autoRedefine/>
    <w:rsid w:val="00722A47"/>
    <w:pPr>
      <w:keepNext w:val="0"/>
      <w:numPr>
        <w:ilvl w:val="0"/>
        <w:numId w:val="0"/>
      </w:numPr>
      <w:spacing w:before="0" w:after="120" w:line="300" w:lineRule="atLeast"/>
    </w:pPr>
    <w:rPr>
      <w:rFonts w:ascii="Times New Roman" w:eastAsia="Times New Roman" w:hAnsi="Times New Roman" w:cs="Times New Roman"/>
      <w:sz w:val="21"/>
      <w:szCs w:val="20"/>
      <w:lang w:eastAsia="de-DE"/>
    </w:rPr>
  </w:style>
  <w:style w:type="paragraph" w:styleId="Textkrper2">
    <w:name w:val="Body Text 2"/>
    <w:basedOn w:val="Standard"/>
    <w:link w:val="Textkrper2Zchn"/>
    <w:rsid w:val="00722A47"/>
    <w:pPr>
      <w:spacing w:before="0" w:after="0"/>
    </w:pPr>
    <w:rPr>
      <w:rFonts w:ascii="Times New Roman" w:eastAsia="Times New Roman" w:hAnsi="Times New Roman" w:cs="Times New Roman"/>
      <w:sz w:val="21"/>
      <w:szCs w:val="24"/>
      <w:lang w:eastAsia="de-DE"/>
    </w:rPr>
  </w:style>
  <w:style w:type="character" w:customStyle="1" w:styleId="Textkrper2Zchn">
    <w:name w:val="Textkörper 2 Zchn"/>
    <w:basedOn w:val="Absatz-Standardschriftart"/>
    <w:link w:val="Textkrper2"/>
    <w:rsid w:val="00722A47"/>
    <w:rPr>
      <w:rFonts w:ascii="Times New Roman" w:eastAsia="Times New Roman" w:hAnsi="Times New Roman" w:cs="Times New Roman"/>
      <w:sz w:val="21"/>
      <w:szCs w:val="24"/>
      <w:lang w:eastAsia="de-DE"/>
    </w:rPr>
  </w:style>
  <w:style w:type="paragraph" w:styleId="Textkrper3">
    <w:name w:val="Body Text 3"/>
    <w:basedOn w:val="Standard"/>
    <w:link w:val="Textkrper3Zchn"/>
    <w:rsid w:val="00722A47"/>
    <w:pPr>
      <w:spacing w:before="0" w:after="0"/>
    </w:pPr>
    <w:rPr>
      <w:rFonts w:ascii="Times New Roman" w:eastAsia="Times New Roman" w:hAnsi="Times New Roman" w:cs="Times New Roman"/>
      <w:sz w:val="20"/>
      <w:szCs w:val="24"/>
      <w:lang w:eastAsia="de-DE"/>
    </w:rPr>
  </w:style>
  <w:style w:type="character" w:customStyle="1" w:styleId="Textkrper3Zchn">
    <w:name w:val="Textkörper 3 Zchn"/>
    <w:basedOn w:val="Absatz-Standardschriftart"/>
    <w:link w:val="Textkrper3"/>
    <w:rsid w:val="00722A47"/>
    <w:rPr>
      <w:rFonts w:ascii="Times New Roman" w:eastAsia="Times New Roman" w:hAnsi="Times New Roman" w:cs="Times New Roman"/>
      <w:sz w:val="20"/>
      <w:szCs w:val="24"/>
      <w:lang w:eastAsia="de-DE"/>
    </w:rPr>
  </w:style>
  <w:style w:type="paragraph" w:customStyle="1" w:styleId="TextGSF">
    <w:name w:val="TextGSF"/>
    <w:basedOn w:val="Standard"/>
    <w:rsid w:val="00722A47"/>
    <w:pPr>
      <w:spacing w:before="0" w:after="0" w:line="288" w:lineRule="auto"/>
    </w:pPr>
    <w:rPr>
      <w:rFonts w:ascii="Times New Roman" w:eastAsia="Times New Roman" w:hAnsi="Times New Roman" w:cs="Times New Roman"/>
      <w:sz w:val="21"/>
      <w:szCs w:val="24"/>
      <w:lang w:eastAsia="de-DE"/>
    </w:rPr>
  </w:style>
  <w:style w:type="paragraph" w:customStyle="1" w:styleId="Bildunterschriften">
    <w:name w:val="Bildunterschriften"/>
    <w:next w:val="Text"/>
    <w:rsid w:val="00722A47"/>
    <w:pPr>
      <w:tabs>
        <w:tab w:val="left" w:pos="1435"/>
      </w:tabs>
      <w:spacing w:before="120" w:after="240" w:line="240" w:lineRule="atLeast"/>
      <w:ind w:left="1435" w:hanging="1435"/>
      <w:jc w:val="both"/>
    </w:pPr>
    <w:rPr>
      <w:rFonts w:ascii="Arial" w:eastAsia="Times New Roman" w:hAnsi="Arial" w:cs="Times New Roman"/>
      <w:b/>
      <w:sz w:val="24"/>
      <w:szCs w:val="20"/>
      <w:lang w:eastAsia="de-DE"/>
    </w:rPr>
  </w:style>
  <w:style w:type="paragraph" w:customStyle="1" w:styleId="Bild">
    <w:name w:val="Bild"/>
    <w:basedOn w:val="Standard"/>
    <w:rsid w:val="00722A47"/>
    <w:pPr>
      <w:keepNext/>
      <w:keepLines/>
      <w:pBdr>
        <w:top w:val="single" w:sz="4" w:space="1" w:color="auto"/>
        <w:left w:val="single" w:sz="4" w:space="1" w:color="auto"/>
        <w:bottom w:val="single" w:sz="4" w:space="1" w:color="auto"/>
        <w:right w:val="single" w:sz="4" w:space="1" w:color="auto"/>
      </w:pBdr>
      <w:spacing w:before="0" w:after="240" w:line="300" w:lineRule="atLeast"/>
      <w:jc w:val="center"/>
    </w:pPr>
    <w:rPr>
      <w:rFonts w:ascii="Times New Roman" w:eastAsia="Times New Roman" w:hAnsi="Times New Roman" w:cs="Times New Roman"/>
      <w:sz w:val="24"/>
      <w:szCs w:val="20"/>
      <w:lang w:eastAsia="de-DE"/>
    </w:rPr>
  </w:style>
  <w:style w:type="paragraph" w:customStyle="1" w:styleId="LiteraturTitel">
    <w:name w:val="Literatur.Titel"/>
    <w:rsid w:val="00722A47"/>
    <w:pPr>
      <w:tabs>
        <w:tab w:val="left" w:pos="431"/>
      </w:tabs>
      <w:spacing w:after="0" w:line="240" w:lineRule="auto"/>
      <w:jc w:val="both"/>
    </w:pPr>
    <w:rPr>
      <w:rFonts w:ascii="Arial" w:eastAsia="Times New Roman" w:hAnsi="Arial" w:cs="Times New Roman"/>
      <w:sz w:val="24"/>
      <w:szCs w:val="20"/>
      <w:lang w:eastAsia="de-DE"/>
    </w:rPr>
  </w:style>
  <w:style w:type="paragraph" w:customStyle="1" w:styleId="TabelleSchluss">
    <w:name w:val="TabelleSchluss"/>
    <w:basedOn w:val="Standard"/>
    <w:next w:val="Standard"/>
    <w:rsid w:val="00722A47"/>
    <w:pPr>
      <w:keepNext/>
      <w:keepLines/>
      <w:spacing w:before="0" w:after="0"/>
      <w:jc w:val="left"/>
    </w:pPr>
    <w:rPr>
      <w:rFonts w:ascii="Times New Roman" w:eastAsia="Times New Roman" w:hAnsi="Times New Roman" w:cs="Times New Roman"/>
      <w:sz w:val="16"/>
      <w:szCs w:val="20"/>
      <w:lang w:eastAsia="de-DE"/>
    </w:rPr>
  </w:style>
  <w:style w:type="paragraph" w:customStyle="1" w:styleId="BodyTextIndent21">
    <w:name w:val="Body Text Indent 21"/>
    <w:basedOn w:val="Standard"/>
    <w:rsid w:val="00722A47"/>
    <w:pPr>
      <w:widowControl w:val="0"/>
      <w:tabs>
        <w:tab w:val="left" w:pos="426"/>
      </w:tabs>
      <w:spacing w:before="0" w:after="60" w:line="300" w:lineRule="auto"/>
      <w:ind w:left="426"/>
      <w:jc w:val="left"/>
    </w:pPr>
    <w:rPr>
      <w:rFonts w:ascii="Times New Roman" w:eastAsia="Times New Roman" w:hAnsi="Times New Roman" w:cs="Times New Roman"/>
      <w:sz w:val="24"/>
      <w:szCs w:val="20"/>
      <w:lang w:eastAsia="de-DE"/>
    </w:rPr>
  </w:style>
  <w:style w:type="character" w:customStyle="1" w:styleId="FormatvorlageBeschriftungLinks0cmHngend18cmZeilenabstandChar">
    <w:name w:val="Formatvorlage Beschriftung + Links:  0 cm Hängend:  18 cm Zeilenabstand:... Char"/>
    <w:rsid w:val="00722A47"/>
    <w:rPr>
      <w:rFonts w:ascii="Arial" w:hAnsi="Arial" w:cs="Times New Roman"/>
      <w:b/>
      <w:bCs/>
      <w:lang w:val="de-DE" w:eastAsia="de-DE" w:bidi="ar-SA"/>
    </w:rPr>
  </w:style>
  <w:style w:type="paragraph" w:customStyle="1" w:styleId="FormatvorlageBeschriftungLinks0cmHngend18cmZeilenabstand">
    <w:name w:val="Formatvorlage Beschriftung + Links:  0 cm Hängend:  18 cm Zeilenabstand:..."/>
    <w:basedOn w:val="Beschriftung"/>
    <w:link w:val="FormatvorlageBeschriftungLinks0cmHngend18cmZeilenabstandChar1"/>
    <w:rsid w:val="00722A47"/>
    <w:pPr>
      <w:spacing w:before="120" w:after="120"/>
      <w:ind w:left="1021" w:hanging="1021"/>
      <w:jc w:val="both"/>
    </w:pPr>
    <w:rPr>
      <w:rFonts w:eastAsia="Times New Roman" w:cs="Arial"/>
      <w:bCs/>
      <w:color w:val="auto"/>
      <w:kern w:val="32"/>
      <w:sz w:val="24"/>
      <w:szCs w:val="24"/>
      <w:lang w:eastAsia="de-DE"/>
    </w:rPr>
  </w:style>
  <w:style w:type="character" w:customStyle="1" w:styleId="FormatvorlageBeschriftungLinks0cmHngend18cmZeilenabstandChar1">
    <w:name w:val="Formatvorlage Beschriftung + Links:  0 cm Hängend:  18 cm Zeilenabstand:... Char1"/>
    <w:link w:val="FormatvorlageBeschriftungLinks0cmHngend18cmZeilenabstand"/>
    <w:locked/>
    <w:rsid w:val="00722A47"/>
    <w:rPr>
      <w:rFonts w:ascii="Times New Roman" w:eastAsia="Times New Roman" w:hAnsi="Times New Roman" w:cs="Arial"/>
      <w:b/>
      <w:bCs/>
      <w:kern w:val="32"/>
      <w:sz w:val="24"/>
      <w:szCs w:val="24"/>
      <w:lang w:eastAsia="de-DE"/>
    </w:rPr>
  </w:style>
  <w:style w:type="character" w:customStyle="1" w:styleId="BeschriftungChar">
    <w:name w:val="Beschriftung Char"/>
    <w:rsid w:val="00722A47"/>
    <w:rPr>
      <w:rFonts w:ascii="Arial" w:hAnsi="Arial" w:cs="Times New Roman"/>
      <w:b/>
      <w:bCs/>
      <w:lang w:val="de-DE" w:eastAsia="de-DE" w:bidi="ar-SA"/>
    </w:rPr>
  </w:style>
  <w:style w:type="paragraph" w:customStyle="1" w:styleId="BildunterschriftSchluss">
    <w:name w:val="BildunterschriftSchluss"/>
    <w:basedOn w:val="Standard"/>
    <w:next w:val="Standard"/>
    <w:link w:val="BildunterschriftSchlussZchn"/>
    <w:rsid w:val="00722A47"/>
    <w:pPr>
      <w:tabs>
        <w:tab w:val="left" w:pos="1701"/>
      </w:tabs>
      <w:spacing w:before="0" w:after="240"/>
      <w:ind w:left="1134" w:hanging="1134"/>
    </w:pPr>
    <w:rPr>
      <w:rFonts w:ascii="Times New Roman" w:eastAsia="Times New Roman" w:hAnsi="Times New Roman" w:cs="Times New Roman"/>
      <w:sz w:val="24"/>
      <w:szCs w:val="24"/>
      <w:lang w:eastAsia="de-DE"/>
    </w:rPr>
  </w:style>
  <w:style w:type="character" w:customStyle="1" w:styleId="BildunterschriftSchlussZchn">
    <w:name w:val="BildunterschriftSchluss Zchn"/>
    <w:link w:val="BildunterschriftSchluss"/>
    <w:locked/>
    <w:rsid w:val="00722A47"/>
    <w:rPr>
      <w:rFonts w:ascii="Times New Roman" w:eastAsia="Times New Roman" w:hAnsi="Times New Roman" w:cs="Times New Roman"/>
      <w:sz w:val="24"/>
      <w:szCs w:val="24"/>
      <w:lang w:eastAsia="de-DE"/>
    </w:rPr>
  </w:style>
  <w:style w:type="paragraph" w:customStyle="1" w:styleId="ListeTD">
    <w:name w:val="Liste_TD"/>
    <w:basedOn w:val="Standard"/>
    <w:link w:val="ListeTDZchn"/>
    <w:rsid w:val="00722A47"/>
    <w:pPr>
      <w:numPr>
        <w:numId w:val="14"/>
      </w:numPr>
      <w:spacing w:before="0" w:after="0"/>
      <w:jc w:val="left"/>
    </w:pPr>
    <w:rPr>
      <w:rFonts w:ascii="Times New Roman" w:eastAsia="Times New Roman" w:hAnsi="Times New Roman" w:cs="Times New Roman"/>
      <w:sz w:val="24"/>
      <w:szCs w:val="24"/>
      <w:lang w:eastAsia="de-DE"/>
    </w:rPr>
  </w:style>
  <w:style w:type="character" w:customStyle="1" w:styleId="ListeTDZchn">
    <w:name w:val="Liste_TD Zchn"/>
    <w:link w:val="ListeTD"/>
    <w:locked/>
    <w:rsid w:val="00722A47"/>
    <w:rPr>
      <w:rFonts w:ascii="Times New Roman" w:eastAsia="Times New Roman" w:hAnsi="Times New Roman" w:cs="Times New Roman"/>
      <w:sz w:val="24"/>
      <w:szCs w:val="24"/>
      <w:lang w:eastAsia="de-DE"/>
    </w:rPr>
  </w:style>
  <w:style w:type="paragraph" w:customStyle="1" w:styleId="Formatvorlageberschrift9TimesNewRoman9ptNichtFettAutomatisch">
    <w:name w:val="Formatvorlage Überschrift 9 + Times New Roman 9 pt Nicht Fett Automatisch"/>
    <w:basedOn w:val="Standard"/>
    <w:rsid w:val="00722A47"/>
    <w:pPr>
      <w:spacing w:before="0" w:after="0"/>
      <w:jc w:val="left"/>
    </w:pPr>
    <w:rPr>
      <w:rFonts w:ascii="Times New Roman" w:eastAsia="Times New Roman" w:hAnsi="Times New Roman" w:cs="Times New Roman"/>
      <w:b/>
      <w:sz w:val="18"/>
      <w:szCs w:val="24"/>
      <w:lang w:eastAsia="de-DE"/>
    </w:rPr>
  </w:style>
  <w:style w:type="paragraph" w:customStyle="1" w:styleId="Formatvorlageberschrift3Links05cmErsteZeile0cm">
    <w:name w:val="Formatvorlage Überschrift 3 + Links:  05 cm Erste Zeile:  0 cm"/>
    <w:basedOn w:val="Standard"/>
    <w:rsid w:val="00722A47"/>
    <w:pPr>
      <w:spacing w:before="0" w:after="0"/>
      <w:jc w:val="left"/>
    </w:pPr>
    <w:rPr>
      <w:rFonts w:ascii="Times New Roman" w:eastAsia="Times New Roman" w:hAnsi="Times New Roman" w:cs="Times New Roman"/>
      <w:sz w:val="24"/>
      <w:szCs w:val="24"/>
      <w:lang w:eastAsia="de-DE"/>
    </w:rPr>
  </w:style>
  <w:style w:type="paragraph" w:customStyle="1" w:styleId="author">
    <w:name w:val="author"/>
    <w:basedOn w:val="Standard"/>
    <w:next w:val="Standard"/>
    <w:rsid w:val="00722A47"/>
    <w:pPr>
      <w:spacing w:before="60" w:after="0"/>
      <w:jc w:val="left"/>
    </w:pPr>
    <w:rPr>
      <w:rFonts w:ascii="Times New Roman" w:eastAsia="Times New Roman" w:hAnsi="Times New Roman" w:cs="Times New Roman"/>
      <w:sz w:val="20"/>
      <w:szCs w:val="20"/>
      <w:lang w:eastAsia="de-DE"/>
    </w:rPr>
  </w:style>
  <w:style w:type="paragraph" w:customStyle="1" w:styleId="Gliederung2">
    <w:name w:val="Gliederung2"/>
    <w:basedOn w:val="Standard"/>
    <w:rsid w:val="00722A47"/>
    <w:pPr>
      <w:keepNext/>
      <w:tabs>
        <w:tab w:val="left" w:pos="567"/>
      </w:tabs>
      <w:spacing w:before="0" w:after="60"/>
      <w:ind w:left="567" w:hanging="567"/>
    </w:pPr>
    <w:rPr>
      <w:rFonts w:ascii="Times New Roman" w:eastAsia="Times New Roman" w:hAnsi="Times New Roman" w:cs="Times New Roman"/>
      <w:b/>
      <w:sz w:val="20"/>
      <w:szCs w:val="20"/>
      <w:lang w:eastAsia="de-DE"/>
    </w:rPr>
  </w:style>
  <w:style w:type="paragraph" w:customStyle="1" w:styleId="Gliederung3">
    <w:name w:val="Gliederung3"/>
    <w:basedOn w:val="Standard"/>
    <w:rsid w:val="00722A47"/>
    <w:pPr>
      <w:keepNext/>
      <w:tabs>
        <w:tab w:val="left" w:pos="709"/>
      </w:tabs>
      <w:spacing w:before="0" w:after="60"/>
      <w:ind w:left="709" w:hanging="709"/>
    </w:pPr>
    <w:rPr>
      <w:rFonts w:ascii="Times New Roman" w:eastAsia="Times New Roman" w:hAnsi="Times New Roman" w:cs="Times New Roman"/>
      <w:b/>
      <w:sz w:val="20"/>
      <w:szCs w:val="20"/>
      <w:lang w:eastAsia="de-DE"/>
    </w:rPr>
  </w:style>
  <w:style w:type="paragraph" w:styleId="StandardWeb">
    <w:name w:val="Normal (Web)"/>
    <w:basedOn w:val="Standard"/>
    <w:rsid w:val="00722A47"/>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Standardeinzug">
    <w:name w:val="Normal Indent"/>
    <w:basedOn w:val="Standard"/>
    <w:qFormat/>
    <w:rsid w:val="00722A47"/>
    <w:pPr>
      <w:overflowPunct w:val="0"/>
      <w:autoSpaceDE w:val="0"/>
      <w:autoSpaceDN w:val="0"/>
      <w:adjustRightInd w:val="0"/>
      <w:spacing w:before="60" w:after="0" w:line="240" w:lineRule="atLeast"/>
      <w:ind w:left="708"/>
      <w:jc w:val="left"/>
      <w:textAlignment w:val="baseline"/>
    </w:pPr>
    <w:rPr>
      <w:rFonts w:ascii="Times New Roman" w:eastAsia="Times New Roman" w:hAnsi="Times New Roman" w:cs="Times New Roman"/>
      <w:sz w:val="26"/>
      <w:szCs w:val="20"/>
      <w:lang w:eastAsia="de-DE"/>
    </w:rPr>
  </w:style>
  <w:style w:type="paragraph" w:customStyle="1" w:styleId="Textkrper21">
    <w:name w:val="Textkörper 21"/>
    <w:basedOn w:val="Standard"/>
    <w:rsid w:val="00722A47"/>
    <w:pPr>
      <w:overflowPunct w:val="0"/>
      <w:autoSpaceDE w:val="0"/>
      <w:autoSpaceDN w:val="0"/>
      <w:adjustRightInd w:val="0"/>
      <w:spacing w:before="0" w:after="0"/>
      <w:ind w:left="142" w:hanging="142"/>
      <w:jc w:val="left"/>
      <w:textAlignment w:val="baseline"/>
    </w:pPr>
    <w:rPr>
      <w:rFonts w:ascii="Times New Roman" w:eastAsia="Times New Roman" w:hAnsi="Times New Roman" w:cs="Times New Roman"/>
      <w:sz w:val="24"/>
      <w:szCs w:val="20"/>
      <w:lang w:eastAsia="de-DE"/>
    </w:rPr>
  </w:style>
  <w:style w:type="paragraph" w:customStyle="1" w:styleId="Abs15">
    <w:name w:val="Abs15"/>
    <w:basedOn w:val="Standard"/>
    <w:rsid w:val="00722A47"/>
    <w:pPr>
      <w:spacing w:before="0" w:after="0" w:line="360" w:lineRule="auto"/>
      <w:jc w:val="left"/>
    </w:pPr>
    <w:rPr>
      <w:rFonts w:ascii="Times New Roman" w:eastAsia="Times New Roman" w:hAnsi="Times New Roman" w:cs="Times New Roman"/>
      <w:sz w:val="21"/>
      <w:szCs w:val="20"/>
      <w:lang w:eastAsia="de-DE"/>
    </w:rPr>
  </w:style>
  <w:style w:type="paragraph" w:customStyle="1" w:styleId="Serie">
    <w:name w:val="Serie"/>
    <w:basedOn w:val="Standard"/>
    <w:rsid w:val="00722A47"/>
    <w:pPr>
      <w:spacing w:before="0" w:after="0"/>
      <w:jc w:val="left"/>
    </w:pPr>
    <w:rPr>
      <w:rFonts w:ascii="Times New Roman" w:eastAsia="Times New Roman" w:hAnsi="Times New Roman" w:cs="Times New Roman"/>
      <w:sz w:val="21"/>
      <w:szCs w:val="24"/>
      <w:lang w:eastAsia="de-DE"/>
    </w:rPr>
  </w:style>
  <w:style w:type="paragraph" w:styleId="Index1">
    <w:name w:val="index 1"/>
    <w:basedOn w:val="Standard"/>
    <w:next w:val="Standard"/>
    <w:autoRedefine/>
    <w:semiHidden/>
    <w:unhideWhenUsed/>
    <w:rsid w:val="00722A47"/>
    <w:pPr>
      <w:spacing w:before="0" w:after="0"/>
      <w:ind w:left="220" w:hanging="220"/>
      <w:jc w:val="left"/>
    </w:pPr>
    <w:rPr>
      <w:rFonts w:ascii="Calibri" w:eastAsia="Calibri" w:hAnsi="Calibri" w:cs="Times New Roman"/>
      <w:sz w:val="21"/>
    </w:rPr>
  </w:style>
  <w:style w:type="paragraph" w:styleId="Indexberschrift">
    <w:name w:val="index heading"/>
    <w:basedOn w:val="Standard"/>
    <w:next w:val="Index1"/>
    <w:semiHidden/>
    <w:rsid w:val="00722A47"/>
    <w:pPr>
      <w:spacing w:before="0" w:after="0"/>
    </w:pPr>
    <w:rPr>
      <w:rFonts w:ascii="Times New Roman" w:eastAsia="Times New Roman" w:hAnsi="Times New Roman" w:cs="Times New Roman"/>
      <w:b/>
      <w:bCs/>
      <w:sz w:val="21"/>
      <w:szCs w:val="24"/>
      <w:lang w:eastAsia="de-DE"/>
    </w:rPr>
  </w:style>
  <w:style w:type="paragraph" w:styleId="Aufzhlungszeichen3">
    <w:name w:val="List Bullet 3"/>
    <w:basedOn w:val="Standard"/>
    <w:autoRedefine/>
    <w:semiHidden/>
    <w:rsid w:val="00722A47"/>
    <w:pPr>
      <w:tabs>
        <w:tab w:val="num" w:pos="926"/>
      </w:tabs>
      <w:spacing w:before="0" w:after="0"/>
      <w:ind w:left="926" w:hanging="360"/>
    </w:pPr>
    <w:rPr>
      <w:rFonts w:ascii="Times New Roman" w:eastAsia="Times New Roman" w:hAnsi="Times New Roman" w:cs="Times New Roman"/>
      <w:sz w:val="21"/>
      <w:szCs w:val="24"/>
      <w:lang w:eastAsia="de-DE"/>
    </w:rPr>
  </w:style>
  <w:style w:type="paragraph" w:customStyle="1" w:styleId="Marginale">
    <w:name w:val="Marginale"/>
    <w:basedOn w:val="Standard"/>
    <w:rsid w:val="00722A47"/>
    <w:pPr>
      <w:overflowPunct w:val="0"/>
      <w:autoSpaceDE w:val="0"/>
      <w:autoSpaceDN w:val="0"/>
      <w:adjustRightInd w:val="0"/>
      <w:spacing w:before="0" w:after="0" w:line="255" w:lineRule="exact"/>
      <w:jc w:val="left"/>
      <w:textAlignment w:val="baseline"/>
    </w:pPr>
    <w:rPr>
      <w:rFonts w:ascii="Frutiger 45 Light" w:eastAsia="Times New Roman" w:hAnsi="Frutiger 45 Light" w:cs="Times New Roman"/>
      <w:b/>
      <w:sz w:val="21"/>
      <w:szCs w:val="20"/>
      <w:lang w:eastAsia="de-DE"/>
    </w:rPr>
  </w:style>
  <w:style w:type="paragraph" w:customStyle="1" w:styleId="standard1">
    <w:name w:val="standard1"/>
    <w:basedOn w:val="Standard"/>
    <w:rsid w:val="00722A47"/>
    <w:pPr>
      <w:numPr>
        <w:numId w:val="17"/>
      </w:numPr>
      <w:spacing w:before="0" w:after="0"/>
      <w:ind w:left="0" w:firstLine="0"/>
      <w:jc w:val="left"/>
    </w:pPr>
    <w:rPr>
      <w:rFonts w:ascii="Times New Roman" w:eastAsia="Times New Roman" w:hAnsi="Times New Roman" w:cs="Times New Roman"/>
      <w:sz w:val="24"/>
      <w:szCs w:val="20"/>
      <w:lang w:eastAsia="de-DE"/>
    </w:rPr>
  </w:style>
  <w:style w:type="paragraph" w:customStyle="1" w:styleId="Aufzhlung1">
    <w:name w:val="Aufzählung1"/>
    <w:basedOn w:val="Standard"/>
    <w:rsid w:val="00722A47"/>
    <w:pPr>
      <w:tabs>
        <w:tab w:val="left" w:pos="567"/>
      </w:tabs>
      <w:spacing w:before="0" w:after="60"/>
      <w:ind w:left="567" w:hanging="567"/>
    </w:pPr>
    <w:rPr>
      <w:rFonts w:ascii="Times New Roman" w:eastAsia="Times New Roman" w:hAnsi="Times New Roman" w:cs="Times New Roman"/>
      <w:sz w:val="20"/>
      <w:szCs w:val="20"/>
      <w:lang w:eastAsia="de-DE"/>
    </w:rPr>
  </w:style>
  <w:style w:type="character" w:customStyle="1" w:styleId="plainlinks-print">
    <w:name w:val="plainlinks-print"/>
    <w:basedOn w:val="Absatz-Standardschriftart"/>
    <w:rsid w:val="00722A47"/>
  </w:style>
  <w:style w:type="paragraph" w:customStyle="1" w:styleId="Textkrper-Einzug21">
    <w:name w:val="Textkörper-Einzug 21"/>
    <w:basedOn w:val="Standard"/>
    <w:rsid w:val="00722A47"/>
    <w:pPr>
      <w:tabs>
        <w:tab w:val="left" w:pos="-1440"/>
        <w:tab w:val="left" w:pos="-720"/>
        <w:tab w:val="left" w:pos="432"/>
        <w:tab w:val="left" w:pos="864"/>
        <w:tab w:val="left" w:pos="1296"/>
        <w:tab w:val="left" w:pos="1418"/>
        <w:tab w:val="left" w:pos="3312"/>
      </w:tabs>
      <w:overflowPunct w:val="0"/>
      <w:autoSpaceDE w:val="0"/>
      <w:autoSpaceDN w:val="0"/>
      <w:adjustRightInd w:val="0"/>
      <w:spacing w:before="0" w:after="0"/>
      <w:ind w:left="1701" w:hanging="1701"/>
      <w:jc w:val="left"/>
      <w:textAlignment w:val="baseline"/>
    </w:pPr>
    <w:rPr>
      <w:rFonts w:ascii="Times New Roman" w:eastAsia="Times New Roman" w:hAnsi="Times New Roman" w:cs="Times New Roman"/>
      <w:b/>
      <w:sz w:val="24"/>
      <w:szCs w:val="20"/>
      <w:lang w:eastAsia="de-DE"/>
    </w:rPr>
  </w:style>
  <w:style w:type="paragraph" w:customStyle="1" w:styleId="Textkrper-Einzug31">
    <w:name w:val="Textkörper-Einzug 31"/>
    <w:basedOn w:val="Standard"/>
    <w:rsid w:val="00722A47"/>
    <w:pPr>
      <w:tabs>
        <w:tab w:val="left" w:pos="-1440"/>
        <w:tab w:val="left" w:pos="-720"/>
        <w:tab w:val="left" w:pos="0"/>
        <w:tab w:val="left" w:pos="432"/>
        <w:tab w:val="left" w:pos="864"/>
        <w:tab w:val="left" w:pos="1296"/>
        <w:tab w:val="left" w:pos="1418"/>
        <w:tab w:val="left" w:pos="3312"/>
      </w:tabs>
      <w:overflowPunct w:val="0"/>
      <w:autoSpaceDE w:val="0"/>
      <w:autoSpaceDN w:val="0"/>
      <w:adjustRightInd w:val="0"/>
      <w:spacing w:before="0" w:after="0"/>
      <w:ind w:left="851" w:hanging="851"/>
      <w:jc w:val="left"/>
      <w:textAlignment w:val="baseline"/>
    </w:pPr>
    <w:rPr>
      <w:rFonts w:ascii="Times New Roman" w:eastAsia="Times New Roman" w:hAnsi="Times New Roman" w:cs="Times New Roman"/>
      <w:sz w:val="24"/>
      <w:szCs w:val="20"/>
      <w:lang w:eastAsia="de-DE"/>
    </w:rPr>
  </w:style>
  <w:style w:type="paragraph" w:styleId="Blocktext">
    <w:name w:val="Block Text"/>
    <w:basedOn w:val="Standard"/>
    <w:rsid w:val="00722A47"/>
    <w:pPr>
      <w:numPr>
        <w:ilvl w:val="12"/>
      </w:numPr>
      <w:overflowPunct w:val="0"/>
      <w:autoSpaceDE w:val="0"/>
      <w:autoSpaceDN w:val="0"/>
      <w:adjustRightInd w:val="0"/>
      <w:spacing w:before="60" w:after="60"/>
      <w:ind w:left="238" w:right="-57" w:hanging="238"/>
      <w:jc w:val="left"/>
      <w:textAlignment w:val="baseline"/>
    </w:pPr>
    <w:rPr>
      <w:rFonts w:ascii="Times New Roman" w:eastAsia="Times New Roman" w:hAnsi="Times New Roman" w:cs="Times New Roman"/>
      <w:sz w:val="20"/>
      <w:szCs w:val="20"/>
      <w:lang w:eastAsia="de-DE"/>
    </w:rPr>
  </w:style>
  <w:style w:type="paragraph" w:customStyle="1" w:styleId="TextallgemeinText">
    <w:name w:val="Text allgemein Text"/>
    <w:basedOn w:val="Standard"/>
    <w:rsid w:val="00722A47"/>
    <w:pPr>
      <w:spacing w:before="0" w:after="0" w:line="360" w:lineRule="auto"/>
      <w:jc w:val="left"/>
    </w:pPr>
    <w:rPr>
      <w:rFonts w:ascii="Times New Roman" w:eastAsia="Times New Roman" w:hAnsi="Times New Roman" w:cs="Times New Roman"/>
      <w:sz w:val="24"/>
      <w:szCs w:val="20"/>
      <w:lang w:eastAsia="de-DE"/>
    </w:rPr>
  </w:style>
  <w:style w:type="paragraph" w:customStyle="1" w:styleId="Char1ZchnZchnCharZchnZchnChar">
    <w:name w:val="Char1 Zchn Zchn Char Zchn Zchn Char"/>
    <w:basedOn w:val="Standard"/>
    <w:rsid w:val="00722A47"/>
    <w:pPr>
      <w:spacing w:before="0" w:after="160" w:line="240" w:lineRule="exact"/>
      <w:jc w:val="left"/>
    </w:pPr>
    <w:rPr>
      <w:rFonts w:ascii="Tahoma" w:eastAsia="Times New Roman" w:hAnsi="Tahoma" w:cs="Times New Roman"/>
      <w:sz w:val="20"/>
      <w:szCs w:val="20"/>
      <w:lang w:val="en-US"/>
    </w:rPr>
  </w:style>
  <w:style w:type="character" w:customStyle="1" w:styleId="ZchnZchn19">
    <w:name w:val="Zchn Zchn19"/>
    <w:locked/>
    <w:rsid w:val="00722A47"/>
    <w:rPr>
      <w:rFonts w:ascii="Arial" w:hAnsi="Arial" w:cs="Times New Roman"/>
      <w:b/>
      <w:lang w:val="de-DE" w:eastAsia="de-DE" w:bidi="ar-SA"/>
    </w:rPr>
  </w:style>
  <w:style w:type="character" w:customStyle="1" w:styleId="EntwurfZeichen">
    <w:name w:val="Entwurf_Zeichen"/>
    <w:rsid w:val="00722A47"/>
    <w:rPr>
      <w:rFonts w:ascii="Arial" w:hAnsi="Arial" w:cs="Arial"/>
      <w:vanish/>
      <w:sz w:val="22"/>
    </w:rPr>
  </w:style>
  <w:style w:type="character" w:customStyle="1" w:styleId="ZchnZchn1">
    <w:name w:val="Zchn Zchn1"/>
    <w:locked/>
    <w:rsid w:val="00722A47"/>
    <w:rPr>
      <w:rFonts w:ascii="Arial" w:hAnsi="Arial" w:cs="Times New Roman"/>
      <w:b/>
      <w:lang w:val="de-DE" w:eastAsia="de-DE" w:bidi="ar-SA"/>
    </w:rPr>
  </w:style>
  <w:style w:type="paragraph" w:customStyle="1" w:styleId="Listenabsatz1">
    <w:name w:val="Listenabsatz1"/>
    <w:basedOn w:val="Standard"/>
    <w:rsid w:val="00722A47"/>
    <w:pPr>
      <w:spacing w:before="0" w:after="200" w:line="276" w:lineRule="auto"/>
      <w:ind w:left="720"/>
      <w:contextualSpacing/>
      <w:jc w:val="left"/>
    </w:pPr>
    <w:rPr>
      <w:rFonts w:ascii="Calibri" w:eastAsia="Times New Roman" w:hAnsi="Calibri" w:cs="Times New Roman"/>
      <w:sz w:val="21"/>
    </w:rPr>
  </w:style>
  <w:style w:type="character" w:customStyle="1" w:styleId="lang">
    <w:name w:val="lang"/>
    <w:rsid w:val="00722A47"/>
    <w:rPr>
      <w:rFonts w:cs="Times New Roman"/>
    </w:rPr>
  </w:style>
  <w:style w:type="character" w:customStyle="1" w:styleId="BalloonTextChar">
    <w:name w:val="Balloon Text Char"/>
    <w:semiHidden/>
    <w:locked/>
    <w:rsid w:val="00722A47"/>
    <w:rPr>
      <w:rFonts w:ascii="Tahoma" w:hAnsi="Tahoma" w:cs="Tahoma"/>
      <w:sz w:val="16"/>
      <w:szCs w:val="16"/>
      <w:lang w:val="de-DE" w:eastAsia="de-DE" w:bidi="ar-SA"/>
    </w:rPr>
  </w:style>
  <w:style w:type="character" w:customStyle="1" w:styleId="CommentTextChar">
    <w:name w:val="Comment Text Char"/>
    <w:semiHidden/>
    <w:locked/>
    <w:rsid w:val="00722A47"/>
    <w:rPr>
      <w:lang w:val="de-DE" w:eastAsia="de-DE" w:bidi="ar-SA"/>
    </w:rPr>
  </w:style>
  <w:style w:type="paragraph" w:customStyle="1" w:styleId="Gesetzesabsatz">
    <w:name w:val="Gesetzesabsatz"/>
    <w:basedOn w:val="Standard"/>
    <w:rsid w:val="00722A47"/>
    <w:pPr>
      <w:autoSpaceDE w:val="0"/>
      <w:autoSpaceDN w:val="0"/>
      <w:adjustRightInd w:val="0"/>
      <w:spacing w:before="60" w:after="0"/>
      <w:ind w:left="567" w:hanging="567"/>
      <w:jc w:val="left"/>
    </w:pPr>
    <w:rPr>
      <w:rFonts w:ascii="Times New Roman" w:eastAsia="Times New Roman" w:hAnsi="Times New Roman" w:cs="Times New Roman"/>
      <w:color w:val="000000"/>
      <w:sz w:val="21"/>
      <w:lang w:eastAsia="de-DE"/>
    </w:rPr>
  </w:style>
  <w:style w:type="paragraph" w:customStyle="1" w:styleId="bodytext">
    <w:name w:val="bodytext"/>
    <w:basedOn w:val="Standard"/>
    <w:rsid w:val="00722A47"/>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jnenbez">
    <w:name w:val="jnenbez"/>
    <w:rsid w:val="00722A47"/>
  </w:style>
  <w:style w:type="character" w:customStyle="1" w:styleId="jnentitel">
    <w:name w:val="jnentitel"/>
    <w:rsid w:val="00722A47"/>
  </w:style>
  <w:style w:type="character" w:customStyle="1" w:styleId="value">
    <w:name w:val="value"/>
    <w:rsid w:val="00722A47"/>
  </w:style>
  <w:style w:type="paragraph" w:customStyle="1" w:styleId="Textkrper-Einzug">
    <w:name w:val="Textkörper-Einzug"/>
    <w:basedOn w:val="Default"/>
    <w:next w:val="Default"/>
    <w:uiPriority w:val="99"/>
    <w:rsid w:val="00722A47"/>
    <w:rPr>
      <w:rFonts w:ascii="Arial" w:hAnsi="Arial" w:cs="Arial"/>
      <w:color w:val="auto"/>
    </w:rPr>
  </w:style>
  <w:style w:type="character" w:customStyle="1" w:styleId="tgc">
    <w:name w:val="_tgc"/>
    <w:rsid w:val="00722A47"/>
  </w:style>
  <w:style w:type="numbering" w:customStyle="1" w:styleId="KeineListe2">
    <w:name w:val="Keine Liste2"/>
    <w:next w:val="KeineListe"/>
    <w:semiHidden/>
    <w:rsid w:val="00722A47"/>
  </w:style>
  <w:style w:type="paragraph" w:customStyle="1" w:styleId="Textkrper22">
    <w:name w:val="Textkörper 22"/>
    <w:basedOn w:val="Standard"/>
    <w:rsid w:val="00722A47"/>
    <w:pPr>
      <w:overflowPunct w:val="0"/>
      <w:autoSpaceDE w:val="0"/>
      <w:autoSpaceDN w:val="0"/>
      <w:adjustRightInd w:val="0"/>
      <w:spacing w:before="0" w:after="0"/>
      <w:ind w:left="142" w:hanging="142"/>
      <w:jc w:val="left"/>
      <w:textAlignment w:val="baseline"/>
    </w:pPr>
    <w:rPr>
      <w:rFonts w:ascii="Times New Roman" w:eastAsia="Times New Roman" w:hAnsi="Times New Roman" w:cs="Times New Roman"/>
      <w:sz w:val="24"/>
      <w:szCs w:val="20"/>
      <w:lang w:eastAsia="de-DE"/>
    </w:rPr>
  </w:style>
  <w:style w:type="paragraph" w:customStyle="1" w:styleId="Listenabsatz2">
    <w:name w:val="Listenabsatz2"/>
    <w:basedOn w:val="Standard"/>
    <w:rsid w:val="00722A47"/>
    <w:pPr>
      <w:spacing w:before="0" w:after="200" w:line="276" w:lineRule="auto"/>
      <w:ind w:left="720"/>
      <w:contextualSpacing/>
      <w:jc w:val="left"/>
    </w:pPr>
    <w:rPr>
      <w:rFonts w:ascii="Calibri" w:eastAsia="Times New Roman" w:hAnsi="Calibri" w:cs="Times New Roman"/>
      <w:sz w:val="21"/>
    </w:rPr>
  </w:style>
  <w:style w:type="table" w:customStyle="1" w:styleId="Tabellengitternetz1">
    <w:name w:val="Tabellengitternetz1"/>
    <w:basedOn w:val="NormaleTabelle"/>
    <w:next w:val="Tabellenraster"/>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SeiteAutoren">
    <w:name w:val="01_Seite_Autoren"/>
    <w:basedOn w:val="Standard"/>
    <w:qFormat/>
    <w:rsid w:val="00722A47"/>
    <w:pPr>
      <w:widowControl w:val="0"/>
      <w:spacing w:before="240" w:after="60" w:line="280" w:lineRule="exact"/>
      <w:ind w:left="1928"/>
      <w:jc w:val="left"/>
    </w:pPr>
    <w:rPr>
      <w:rFonts w:ascii="Meta Offc" w:eastAsia="Meta Offc" w:hAnsi="Meta Offc" w:cs="Meta Offc"/>
      <w:spacing w:val="-6"/>
      <w:sz w:val="21"/>
    </w:rPr>
  </w:style>
  <w:style w:type="numbering" w:customStyle="1" w:styleId="ListeBMJalphanumerisch1">
    <w:name w:val="Liste_BMJ_alphanumerisch1"/>
    <w:uiPriority w:val="99"/>
    <w:rsid w:val="00722A47"/>
  </w:style>
  <w:style w:type="numbering" w:customStyle="1" w:styleId="ListeBMJnumerisch1">
    <w:name w:val="Liste_BMJ_numerisch1"/>
    <w:uiPriority w:val="99"/>
    <w:rsid w:val="00722A47"/>
  </w:style>
  <w:style w:type="character" w:customStyle="1" w:styleId="fontstyle01">
    <w:name w:val="fontstyle01"/>
    <w:rsid w:val="00722A47"/>
    <w:rPr>
      <w:rFonts w:ascii="ArialMT" w:hAnsi="ArialMT" w:hint="default"/>
      <w:b w:val="0"/>
      <w:bCs w:val="0"/>
      <w:i w:val="0"/>
      <w:iCs w:val="0"/>
      <w:color w:val="000000"/>
      <w:sz w:val="18"/>
      <w:szCs w:val="18"/>
    </w:rPr>
  </w:style>
  <w:style w:type="character" w:customStyle="1" w:styleId="fontstyle21">
    <w:name w:val="fontstyle21"/>
    <w:rsid w:val="00722A47"/>
    <w:rPr>
      <w:rFonts w:ascii="Times New Roman" w:hAnsi="Times New Roman" w:cs="Times New Roman" w:hint="default"/>
      <w:b w:val="0"/>
      <w:bCs w:val="0"/>
      <w:i w:val="0"/>
      <w:iCs w:val="0"/>
      <w:color w:val="000000"/>
      <w:sz w:val="24"/>
      <w:szCs w:val="24"/>
    </w:rPr>
  </w:style>
  <w:style w:type="numbering" w:customStyle="1" w:styleId="KeineListe3">
    <w:name w:val="Keine Liste3"/>
    <w:next w:val="KeineListe"/>
    <w:uiPriority w:val="99"/>
    <w:semiHidden/>
    <w:rsid w:val="00722A47"/>
  </w:style>
  <w:style w:type="paragraph" w:customStyle="1" w:styleId="Textkrper23">
    <w:name w:val="Textkörper 23"/>
    <w:basedOn w:val="Standard"/>
    <w:rsid w:val="00722A47"/>
    <w:pPr>
      <w:overflowPunct w:val="0"/>
      <w:autoSpaceDE w:val="0"/>
      <w:autoSpaceDN w:val="0"/>
      <w:adjustRightInd w:val="0"/>
      <w:spacing w:before="0" w:after="0"/>
      <w:ind w:left="142" w:hanging="142"/>
      <w:jc w:val="left"/>
      <w:textAlignment w:val="baseline"/>
    </w:pPr>
    <w:rPr>
      <w:rFonts w:ascii="Times New Roman" w:eastAsia="Times New Roman" w:hAnsi="Times New Roman" w:cs="Times New Roman"/>
      <w:sz w:val="24"/>
      <w:szCs w:val="20"/>
      <w:lang w:eastAsia="de-DE"/>
    </w:rPr>
  </w:style>
  <w:style w:type="paragraph" w:customStyle="1" w:styleId="Listenabsatz3">
    <w:name w:val="Listenabsatz3"/>
    <w:basedOn w:val="Standard"/>
    <w:rsid w:val="00722A47"/>
    <w:pPr>
      <w:spacing w:before="0" w:after="200" w:line="276" w:lineRule="auto"/>
      <w:ind w:left="720"/>
      <w:contextualSpacing/>
      <w:jc w:val="left"/>
    </w:pPr>
    <w:rPr>
      <w:rFonts w:ascii="Calibri" w:eastAsia="Times New Roman" w:hAnsi="Calibri" w:cs="Times New Roman"/>
      <w:sz w:val="21"/>
    </w:rPr>
  </w:style>
  <w:style w:type="table" w:customStyle="1" w:styleId="Tabellenraster111">
    <w:name w:val="Tabellenraster111"/>
    <w:basedOn w:val="NormaleTabelle"/>
    <w:next w:val="Tabellenraster"/>
    <w:uiPriority w:val="3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11">
    <w:name w:val="Keine Liste11111"/>
    <w:next w:val="KeineListe"/>
    <w:semiHidden/>
    <w:rsid w:val="00722A47"/>
  </w:style>
  <w:style w:type="character" w:customStyle="1" w:styleId="text0">
    <w:name w:val="text"/>
    <w:rsid w:val="00722A47"/>
  </w:style>
  <w:style w:type="character" w:customStyle="1" w:styleId="label">
    <w:name w:val="label"/>
    <w:rsid w:val="00722A47"/>
  </w:style>
  <w:style w:type="paragraph" w:styleId="Endnotentext">
    <w:name w:val="endnote text"/>
    <w:basedOn w:val="Standard"/>
    <w:link w:val="EndnotentextZchn"/>
    <w:unhideWhenUsed/>
    <w:rsid w:val="00722A47"/>
    <w:pPr>
      <w:spacing w:before="0" w:after="0"/>
      <w:jc w:val="left"/>
    </w:pPr>
    <w:rPr>
      <w:rFonts w:ascii="Times New Roman" w:eastAsia="Times New Roman" w:hAnsi="Times New Roman" w:cs="Times New Roman"/>
      <w:sz w:val="20"/>
      <w:szCs w:val="20"/>
      <w:lang w:eastAsia="de-DE"/>
    </w:rPr>
  </w:style>
  <w:style w:type="character" w:customStyle="1" w:styleId="EndnotentextZchn">
    <w:name w:val="Endnotentext Zchn"/>
    <w:basedOn w:val="Absatz-Standardschriftart"/>
    <w:link w:val="Endnotentext"/>
    <w:rsid w:val="00722A47"/>
    <w:rPr>
      <w:rFonts w:ascii="Times New Roman" w:eastAsia="Times New Roman" w:hAnsi="Times New Roman" w:cs="Times New Roman"/>
      <w:sz w:val="20"/>
      <w:szCs w:val="20"/>
      <w:lang w:eastAsia="de-DE"/>
    </w:rPr>
  </w:style>
  <w:style w:type="character" w:styleId="Endnotenzeichen">
    <w:name w:val="endnote reference"/>
    <w:unhideWhenUsed/>
    <w:rsid w:val="00722A47"/>
    <w:rPr>
      <w:vertAlign w:val="superscript"/>
    </w:rPr>
  </w:style>
  <w:style w:type="paragraph" w:customStyle="1" w:styleId="Textkrper211">
    <w:name w:val="Textkörper 211"/>
    <w:basedOn w:val="Standard"/>
    <w:rsid w:val="00722A47"/>
    <w:pPr>
      <w:tabs>
        <w:tab w:val="left" w:pos="-1440"/>
        <w:tab w:val="left" w:pos="-720"/>
        <w:tab w:val="left" w:pos="432"/>
        <w:tab w:val="left" w:pos="864"/>
        <w:tab w:val="left" w:pos="3312"/>
      </w:tabs>
      <w:overflowPunct w:val="0"/>
      <w:autoSpaceDE w:val="0"/>
      <w:autoSpaceDN w:val="0"/>
      <w:adjustRightInd w:val="0"/>
      <w:spacing w:before="0" w:after="0"/>
      <w:ind w:left="1418" w:hanging="1418"/>
      <w:jc w:val="left"/>
      <w:textAlignment w:val="baseline"/>
    </w:pPr>
    <w:rPr>
      <w:rFonts w:ascii="Times New Roman" w:eastAsia="Times New Roman" w:hAnsi="Times New Roman" w:cs="Times New Roman"/>
      <w:b/>
      <w:sz w:val="24"/>
      <w:szCs w:val="20"/>
      <w:lang w:eastAsia="de-DE"/>
    </w:rPr>
  </w:style>
  <w:style w:type="paragraph" w:customStyle="1" w:styleId="Listenabsatz11">
    <w:name w:val="Listenabsatz11"/>
    <w:basedOn w:val="Standard"/>
    <w:rsid w:val="00722A47"/>
    <w:pPr>
      <w:spacing w:before="0" w:after="200" w:line="276" w:lineRule="auto"/>
      <w:ind w:left="720"/>
      <w:contextualSpacing/>
      <w:jc w:val="left"/>
    </w:pPr>
    <w:rPr>
      <w:rFonts w:ascii="Calibri" w:eastAsia="Times New Roman" w:hAnsi="Calibri" w:cs="Times New Roman"/>
      <w:sz w:val="21"/>
    </w:rPr>
  </w:style>
  <w:style w:type="numbering" w:customStyle="1" w:styleId="KeineListe21">
    <w:name w:val="Keine Liste21"/>
    <w:next w:val="KeineListe"/>
    <w:uiPriority w:val="99"/>
    <w:semiHidden/>
    <w:unhideWhenUsed/>
    <w:rsid w:val="00722A47"/>
  </w:style>
  <w:style w:type="table" w:customStyle="1" w:styleId="Tabellenraster1111">
    <w:name w:val="Tabellenraster1111"/>
    <w:basedOn w:val="NormaleTabelle"/>
    <w:next w:val="Tabellenraster"/>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sse">
    <w:name w:val="Presse"/>
    <w:basedOn w:val="Standard"/>
    <w:rsid w:val="00722A47"/>
    <w:pPr>
      <w:spacing w:before="0" w:after="0"/>
      <w:jc w:val="left"/>
    </w:pPr>
    <w:rPr>
      <w:rFonts w:ascii="Times New Roman" w:eastAsia="Times New Roman" w:hAnsi="Times New Roman" w:cs="Times New Roman"/>
      <w:sz w:val="24"/>
      <w:szCs w:val="20"/>
      <w:lang w:eastAsia="de-DE"/>
    </w:rPr>
  </w:style>
  <w:style w:type="paragraph" w:styleId="Datum">
    <w:name w:val="Date"/>
    <w:basedOn w:val="Standard"/>
    <w:next w:val="Standard"/>
    <w:link w:val="DatumZchn"/>
    <w:uiPriority w:val="99"/>
    <w:unhideWhenUsed/>
    <w:rsid w:val="00722A47"/>
    <w:pPr>
      <w:spacing w:before="0" w:after="0"/>
      <w:jc w:val="right"/>
    </w:pPr>
    <w:rPr>
      <w:rFonts w:eastAsia="Calibri"/>
      <w:sz w:val="17"/>
    </w:rPr>
  </w:style>
  <w:style w:type="character" w:customStyle="1" w:styleId="DatumZchn">
    <w:name w:val="Datum Zchn"/>
    <w:basedOn w:val="Absatz-Standardschriftart"/>
    <w:link w:val="Datum"/>
    <w:uiPriority w:val="99"/>
    <w:rsid w:val="00722A47"/>
    <w:rPr>
      <w:rFonts w:ascii="Arial" w:eastAsia="Calibri" w:hAnsi="Arial" w:cs="Arial"/>
      <w:sz w:val="17"/>
    </w:rPr>
  </w:style>
  <w:style w:type="paragraph" w:customStyle="1" w:styleId="DeutscherBundestag">
    <w:name w:val="Deutscher Bundestag"/>
    <w:basedOn w:val="Standard"/>
    <w:rsid w:val="00722A47"/>
    <w:pPr>
      <w:spacing w:before="0" w:after="0"/>
    </w:pPr>
    <w:rPr>
      <w:rFonts w:eastAsia="Calibri"/>
      <w:b/>
      <w:sz w:val="33"/>
    </w:rPr>
  </w:style>
  <w:style w:type="paragraph" w:customStyle="1" w:styleId="Drucksachennummer">
    <w:name w:val="Drucksachennummer"/>
    <w:basedOn w:val="Standard"/>
    <w:rsid w:val="00722A47"/>
    <w:pPr>
      <w:spacing w:before="0" w:after="0"/>
      <w:jc w:val="right"/>
    </w:pPr>
    <w:rPr>
      <w:rFonts w:eastAsia="Calibri"/>
      <w:b/>
      <w:sz w:val="24"/>
    </w:rPr>
  </w:style>
  <w:style w:type="paragraph" w:customStyle="1" w:styleId="Wahlperiode">
    <w:name w:val="Wahlperiode"/>
    <w:basedOn w:val="Standard"/>
    <w:rsid w:val="00722A47"/>
    <w:pPr>
      <w:spacing w:before="0" w:after="0"/>
    </w:pPr>
    <w:rPr>
      <w:rFonts w:eastAsia="Calibri"/>
      <w:b/>
      <w:sz w:val="24"/>
    </w:rPr>
  </w:style>
  <w:style w:type="paragraph" w:customStyle="1" w:styleId="AnlagegeradeSeite">
    <w:name w:val="Anlage gerade Seite"/>
    <w:basedOn w:val="Standard"/>
    <w:autoRedefine/>
    <w:qFormat/>
    <w:rsid w:val="00722A47"/>
    <w:pPr>
      <w:widowControl w:val="0"/>
      <w:spacing w:after="600"/>
    </w:pPr>
    <w:rPr>
      <w:rFonts w:ascii="Times New Roman" w:eastAsia="Calibri" w:hAnsi="Times New Roman"/>
      <w:b/>
    </w:rPr>
  </w:style>
  <w:style w:type="paragraph" w:customStyle="1" w:styleId="AnlageungeradeSeite">
    <w:name w:val="Anlage ungerade Seite"/>
    <w:basedOn w:val="Standard"/>
    <w:autoRedefine/>
    <w:qFormat/>
    <w:rsid w:val="00722A47"/>
    <w:pPr>
      <w:widowControl w:val="0"/>
      <w:spacing w:after="600"/>
      <w:ind w:right="57"/>
      <w:jc w:val="right"/>
    </w:pPr>
    <w:rPr>
      <w:rFonts w:ascii="Times New Roman" w:eastAsia="Calibri" w:hAnsi="Times New Roman"/>
      <w:b/>
    </w:rPr>
  </w:style>
  <w:style w:type="paragraph" w:customStyle="1" w:styleId="NKRText">
    <w:name w:val="NKR Text"/>
    <w:basedOn w:val="Standard"/>
    <w:autoRedefine/>
    <w:qFormat/>
    <w:rsid w:val="00722A47"/>
    <w:pPr>
      <w:keepLines/>
      <w:widowControl w:val="0"/>
      <w:spacing w:before="60" w:after="60" w:line="260" w:lineRule="atLeast"/>
      <w:ind w:right="1701"/>
    </w:pPr>
    <w:rPr>
      <w:rFonts w:eastAsia="Calibri"/>
      <w:bCs/>
      <w:sz w:val="19"/>
    </w:rPr>
  </w:style>
  <w:style w:type="paragraph" w:customStyle="1" w:styleId="NKRAufzhlungarabisch">
    <w:name w:val="NKR Aufzählung (arabisch)"/>
    <w:basedOn w:val="NKRText"/>
    <w:autoRedefine/>
    <w:qFormat/>
    <w:rsid w:val="00722A47"/>
    <w:pPr>
      <w:spacing w:before="120" w:after="0"/>
      <w:ind w:left="425" w:right="57" w:hanging="425"/>
    </w:pPr>
  </w:style>
  <w:style w:type="paragraph" w:customStyle="1" w:styleId="NKRAufzhlungrmisch">
    <w:name w:val="NKR Aufzählung (römisch)"/>
    <w:basedOn w:val="Standard"/>
    <w:autoRedefine/>
    <w:qFormat/>
    <w:rsid w:val="00722A47"/>
    <w:pPr>
      <w:widowControl w:val="0"/>
      <w:numPr>
        <w:numId w:val="18"/>
      </w:numPr>
      <w:spacing w:before="360"/>
      <w:ind w:right="57"/>
    </w:pPr>
    <w:rPr>
      <w:rFonts w:eastAsia="Calibri"/>
      <w:sz w:val="19"/>
      <w:u w:val="single"/>
    </w:rPr>
  </w:style>
  <w:style w:type="paragraph" w:customStyle="1" w:styleId="NKRTextmitUnterpunkten">
    <w:name w:val="NKR Text mit Unterpunkten"/>
    <w:basedOn w:val="NKRText"/>
    <w:autoRedefine/>
    <w:qFormat/>
    <w:rsid w:val="00722A47"/>
    <w:pPr>
      <w:numPr>
        <w:numId w:val="19"/>
      </w:numPr>
    </w:pPr>
  </w:style>
  <w:style w:type="paragraph" w:customStyle="1" w:styleId="NKRAufzhlungszeichen">
    <w:name w:val="NKR Aufzählungszeichen"/>
    <w:basedOn w:val="NKRTextmitUnterpunkten"/>
    <w:autoRedefine/>
    <w:qFormat/>
    <w:rsid w:val="00722A47"/>
    <w:pPr>
      <w:numPr>
        <w:numId w:val="20"/>
      </w:numPr>
      <w:ind w:left="357" w:hanging="357"/>
    </w:pPr>
  </w:style>
  <w:style w:type="paragraph" w:customStyle="1" w:styleId="NKREingangssatz">
    <w:name w:val="NKR Eingangssatz"/>
    <w:basedOn w:val="Standard"/>
    <w:autoRedefine/>
    <w:qFormat/>
    <w:rsid w:val="00722A47"/>
    <w:pPr>
      <w:widowControl w:val="0"/>
      <w:spacing w:before="360" w:after="240" w:line="260" w:lineRule="atLeast"/>
      <w:ind w:right="1701"/>
      <w:outlineLvl w:val="0"/>
    </w:pPr>
    <w:rPr>
      <w:rFonts w:eastAsia="Calibri"/>
      <w:bCs/>
      <w:sz w:val="19"/>
    </w:rPr>
  </w:style>
  <w:style w:type="paragraph" w:customStyle="1" w:styleId="NKRStellungnahme">
    <w:name w:val="NKR Stellungnahme"/>
    <w:basedOn w:val="Standard"/>
    <w:autoRedefine/>
    <w:qFormat/>
    <w:rsid w:val="00722A47"/>
    <w:pPr>
      <w:widowControl w:val="0"/>
      <w:spacing w:before="480" w:after="60" w:line="360" w:lineRule="auto"/>
      <w:ind w:right="1418"/>
      <w:outlineLvl w:val="0"/>
    </w:pPr>
    <w:rPr>
      <w:rFonts w:eastAsia="Calibri"/>
      <w:b/>
      <w:bCs/>
      <w:sz w:val="20"/>
    </w:rPr>
  </w:style>
  <w:style w:type="paragraph" w:customStyle="1" w:styleId="NKRStellungnahmeUntertitel">
    <w:name w:val="NKR Stellungnahme Untertitel"/>
    <w:basedOn w:val="NKRStellungnahme"/>
    <w:autoRedefine/>
    <w:qFormat/>
    <w:rsid w:val="00722A47"/>
    <w:pPr>
      <w:spacing w:before="0" w:after="240" w:line="300" w:lineRule="atLeast"/>
      <w:ind w:right="1077"/>
    </w:pPr>
  </w:style>
  <w:style w:type="paragraph" w:customStyle="1" w:styleId="NKRTexteingerckt">
    <w:name w:val="NKR Text eingerückt"/>
    <w:basedOn w:val="NKRText"/>
    <w:autoRedefine/>
    <w:qFormat/>
    <w:rsid w:val="00722A47"/>
    <w:pPr>
      <w:spacing w:line="240" w:lineRule="atLeast"/>
      <w:ind w:left="425" w:right="57"/>
    </w:pPr>
  </w:style>
  <w:style w:type="paragraph" w:customStyle="1" w:styleId="NKRUnterzeichnerNamen">
    <w:name w:val="NKR Unterzeichner Namen"/>
    <w:basedOn w:val="Standard"/>
    <w:autoRedefine/>
    <w:qFormat/>
    <w:rsid w:val="00722A47"/>
    <w:pPr>
      <w:widowControl w:val="0"/>
      <w:tabs>
        <w:tab w:val="left" w:pos="4820"/>
      </w:tabs>
      <w:spacing w:before="960" w:after="60" w:line="240" w:lineRule="atLeast"/>
      <w:ind w:right="57"/>
    </w:pPr>
    <w:rPr>
      <w:rFonts w:eastAsia="Calibri"/>
      <w:sz w:val="19"/>
    </w:rPr>
  </w:style>
  <w:style w:type="paragraph" w:customStyle="1" w:styleId="NRKUnterzeichnerNamen">
    <w:name w:val="NRK Unterzeichner Namen"/>
    <w:basedOn w:val="Standard"/>
    <w:autoRedefine/>
    <w:qFormat/>
    <w:rsid w:val="00722A47"/>
    <w:pPr>
      <w:widowControl w:val="0"/>
      <w:tabs>
        <w:tab w:val="left" w:pos="4820"/>
      </w:tabs>
      <w:spacing w:before="960" w:after="60" w:line="240" w:lineRule="atLeast"/>
      <w:ind w:right="57"/>
    </w:pPr>
    <w:rPr>
      <w:rFonts w:eastAsia="Calibri"/>
      <w:sz w:val="19"/>
    </w:rPr>
  </w:style>
  <w:style w:type="paragraph" w:customStyle="1" w:styleId="NKRUnterzeichnerTitel">
    <w:name w:val="NKR Unterzeichner Titel"/>
    <w:basedOn w:val="NRKUnterzeichnerNamen"/>
    <w:autoRedefine/>
    <w:qFormat/>
    <w:rsid w:val="00722A47"/>
    <w:pPr>
      <w:spacing w:before="60"/>
    </w:pPr>
  </w:style>
  <w:style w:type="paragraph" w:customStyle="1" w:styleId="NKRZusammenfassung">
    <w:name w:val="NKR Zusammenfassung"/>
    <w:basedOn w:val="Standard"/>
    <w:autoRedefine/>
    <w:qFormat/>
    <w:rsid w:val="00722A47"/>
    <w:pPr>
      <w:keepNext/>
      <w:spacing w:before="360" w:after="60"/>
      <w:ind w:left="539" w:hanging="539"/>
    </w:pPr>
    <w:rPr>
      <w:rFonts w:eastAsia="Calibri"/>
      <w:sz w:val="19"/>
    </w:rPr>
  </w:style>
  <w:style w:type="paragraph" w:customStyle="1" w:styleId="NKRZwischenberschrift">
    <w:name w:val="NKR Zwischenüberschrift"/>
    <w:basedOn w:val="Standard"/>
    <w:autoRedefine/>
    <w:qFormat/>
    <w:rsid w:val="00722A47"/>
    <w:pPr>
      <w:widowControl w:val="0"/>
      <w:spacing w:before="80" w:after="40"/>
      <w:ind w:right="57"/>
    </w:pPr>
    <w:rPr>
      <w:rFonts w:eastAsia="Calibri"/>
      <w:sz w:val="19"/>
      <w:u w:val="single"/>
    </w:rPr>
  </w:style>
  <w:style w:type="paragraph" w:customStyle="1" w:styleId="NKRZwischenberschriftmitNummierung">
    <w:name w:val="NKR Zwischenüberschrift mit Nummierung"/>
    <w:basedOn w:val="NKRZwischenberschrift"/>
    <w:autoRedefine/>
    <w:qFormat/>
    <w:rsid w:val="00722A47"/>
    <w:pPr>
      <w:numPr>
        <w:numId w:val="21"/>
      </w:numPr>
      <w:tabs>
        <w:tab w:val="left" w:pos="709"/>
      </w:tabs>
      <w:spacing w:before="120" w:after="60"/>
    </w:pPr>
    <w:rPr>
      <w:u w:val="none"/>
    </w:rPr>
  </w:style>
  <w:style w:type="paragraph" w:customStyle="1" w:styleId="NRKAufzhlungrmisch">
    <w:name w:val="NRK Aufzählung (römisch)"/>
    <w:basedOn w:val="Standard"/>
    <w:autoRedefine/>
    <w:qFormat/>
    <w:rsid w:val="00722A47"/>
    <w:pPr>
      <w:widowControl w:val="0"/>
      <w:spacing w:before="360"/>
      <w:ind w:right="57"/>
    </w:pPr>
    <w:rPr>
      <w:rFonts w:eastAsia="Calibri"/>
      <w:sz w:val="19"/>
      <w:u w:val="single"/>
    </w:rPr>
  </w:style>
  <w:style w:type="paragraph" w:customStyle="1" w:styleId="NRKEingangssatz">
    <w:name w:val="NRK Eingangssatz"/>
    <w:basedOn w:val="Standard"/>
    <w:autoRedefine/>
    <w:qFormat/>
    <w:rsid w:val="00722A47"/>
    <w:pPr>
      <w:widowControl w:val="0"/>
      <w:spacing w:before="360" w:after="240" w:line="260" w:lineRule="atLeast"/>
      <w:ind w:right="1701"/>
      <w:outlineLvl w:val="0"/>
    </w:pPr>
    <w:rPr>
      <w:rFonts w:eastAsia="Calibri"/>
      <w:bCs/>
      <w:sz w:val="19"/>
    </w:rPr>
  </w:style>
  <w:style w:type="paragraph" w:customStyle="1" w:styleId="NRKPersonentitel">
    <w:name w:val="NRK Personentitel"/>
    <w:basedOn w:val="Standard"/>
    <w:autoRedefine/>
    <w:qFormat/>
    <w:rsid w:val="00722A47"/>
    <w:pPr>
      <w:widowControl w:val="0"/>
      <w:tabs>
        <w:tab w:val="left" w:pos="4820"/>
      </w:tabs>
      <w:spacing w:before="60" w:after="60" w:line="240" w:lineRule="atLeast"/>
      <w:ind w:right="57"/>
    </w:pPr>
    <w:rPr>
      <w:rFonts w:eastAsia="Calibri"/>
      <w:sz w:val="19"/>
    </w:rPr>
  </w:style>
  <w:style w:type="paragraph" w:customStyle="1" w:styleId="NRKUnterzeichner">
    <w:name w:val="NRK Unterzeichner"/>
    <w:basedOn w:val="Standard"/>
    <w:autoRedefine/>
    <w:qFormat/>
    <w:rsid w:val="00722A47"/>
    <w:pPr>
      <w:widowControl w:val="0"/>
      <w:tabs>
        <w:tab w:val="left" w:pos="4820"/>
      </w:tabs>
      <w:spacing w:before="960" w:after="60" w:line="240" w:lineRule="atLeast"/>
      <w:ind w:right="57"/>
    </w:pPr>
    <w:rPr>
      <w:rFonts w:eastAsia="Calibri"/>
      <w:sz w:val="19"/>
    </w:rPr>
  </w:style>
  <w:style w:type="paragraph" w:customStyle="1" w:styleId="NRKZusammenfassung">
    <w:name w:val="NRK Zusammenfassung"/>
    <w:basedOn w:val="Standard"/>
    <w:autoRedefine/>
    <w:qFormat/>
    <w:rsid w:val="00722A47"/>
    <w:pPr>
      <w:widowControl w:val="0"/>
      <w:spacing w:before="360" w:after="60" w:line="360" w:lineRule="auto"/>
      <w:ind w:left="539" w:hanging="539"/>
    </w:pPr>
    <w:rPr>
      <w:rFonts w:eastAsia="Calibri"/>
      <w:sz w:val="20"/>
    </w:rPr>
  </w:style>
  <w:style w:type="character" w:customStyle="1" w:styleId="BesuchterLink1">
    <w:name w:val="BesuchterLink1"/>
    <w:basedOn w:val="Absatz-Standardschriftart"/>
    <w:uiPriority w:val="99"/>
    <w:semiHidden/>
    <w:unhideWhenUsed/>
    <w:rsid w:val="00722A47"/>
    <w:rPr>
      <w:color w:val="954F72"/>
      <w:u w:val="single"/>
    </w:rPr>
  </w:style>
  <w:style w:type="numbering" w:customStyle="1" w:styleId="KeineListe4">
    <w:name w:val="Keine Liste4"/>
    <w:next w:val="KeineListe"/>
    <w:uiPriority w:val="99"/>
    <w:semiHidden/>
    <w:unhideWhenUsed/>
    <w:rsid w:val="00722A47"/>
  </w:style>
  <w:style w:type="numbering" w:customStyle="1" w:styleId="ListeBMJalphanumerisch2">
    <w:name w:val="Liste_BMJ_alphanumerisch2"/>
    <w:uiPriority w:val="99"/>
    <w:rsid w:val="00722A47"/>
    <w:pPr>
      <w:numPr>
        <w:numId w:val="4"/>
      </w:numPr>
    </w:pPr>
  </w:style>
  <w:style w:type="table" w:customStyle="1" w:styleId="Tabellenraster2">
    <w:name w:val="Tabellenraster2"/>
    <w:basedOn w:val="NormaleTabelle"/>
    <w:next w:val="Tabellenraster"/>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2">
    <w:name w:val="Liste_BMJ_numerisch2"/>
    <w:uiPriority w:val="99"/>
    <w:rsid w:val="00722A47"/>
    <w:pPr>
      <w:numPr>
        <w:numId w:val="22"/>
      </w:numPr>
    </w:pPr>
  </w:style>
  <w:style w:type="numbering" w:customStyle="1" w:styleId="KeineListe12">
    <w:name w:val="Keine Liste12"/>
    <w:next w:val="KeineListe"/>
    <w:semiHidden/>
    <w:rsid w:val="00722A47"/>
  </w:style>
  <w:style w:type="numbering" w:customStyle="1" w:styleId="KeineListe22">
    <w:name w:val="Keine Liste22"/>
    <w:next w:val="KeineListe"/>
    <w:semiHidden/>
    <w:rsid w:val="00722A47"/>
  </w:style>
  <w:style w:type="table" w:customStyle="1" w:styleId="Tabellengitternetz11">
    <w:name w:val="Tabellengitternetz11"/>
    <w:basedOn w:val="NormaleTabelle"/>
    <w:next w:val="Tabellenraster"/>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alphanumerisch11">
    <w:name w:val="Liste_BMJ_alphanumerisch11"/>
    <w:uiPriority w:val="99"/>
    <w:rsid w:val="00722A47"/>
  </w:style>
  <w:style w:type="numbering" w:customStyle="1" w:styleId="ListeBMJnumerisch11">
    <w:name w:val="Liste_BMJ_numerisch11"/>
    <w:uiPriority w:val="99"/>
    <w:rsid w:val="00722A47"/>
  </w:style>
  <w:style w:type="numbering" w:customStyle="1" w:styleId="KeineListe31">
    <w:name w:val="Keine Liste31"/>
    <w:next w:val="KeineListe"/>
    <w:uiPriority w:val="99"/>
    <w:semiHidden/>
    <w:rsid w:val="00722A47"/>
  </w:style>
  <w:style w:type="table" w:customStyle="1" w:styleId="Tabellenraster12">
    <w:name w:val="Tabellenraster12"/>
    <w:basedOn w:val="NormaleTabelle"/>
    <w:next w:val="Tabellenraster"/>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2">
    <w:name w:val="Keine Liste112"/>
    <w:next w:val="KeineListe"/>
    <w:semiHidden/>
    <w:rsid w:val="00722A47"/>
  </w:style>
  <w:style w:type="numbering" w:customStyle="1" w:styleId="KeineListe211">
    <w:name w:val="Keine Liste211"/>
    <w:next w:val="KeineListe"/>
    <w:uiPriority w:val="99"/>
    <w:semiHidden/>
    <w:unhideWhenUsed/>
    <w:rsid w:val="00722A47"/>
  </w:style>
  <w:style w:type="table" w:customStyle="1" w:styleId="Tabellenraster112">
    <w:name w:val="Tabellenraster112"/>
    <w:basedOn w:val="NormaleTabelle"/>
    <w:next w:val="Tabellenraster"/>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11"/>
    <w:qFormat/>
    <w:rsid w:val="00722A47"/>
    <w:pPr>
      <w:numPr>
        <w:ilvl w:val="1"/>
      </w:numPr>
      <w:spacing w:after="160"/>
    </w:pPr>
    <w:rPr>
      <w:rFonts w:asciiTheme="minorHAnsi" w:hAnsiTheme="minorHAnsi" w:cstheme="minorBidi"/>
      <w:color w:val="5A5A5A"/>
      <w:spacing w:val="15"/>
    </w:rPr>
  </w:style>
  <w:style w:type="character" w:customStyle="1" w:styleId="UntertitelZchn1">
    <w:name w:val="Untertitel Zchn1"/>
    <w:basedOn w:val="Absatz-Standardschriftart"/>
    <w:uiPriority w:val="11"/>
    <w:rsid w:val="00722A47"/>
    <w:rPr>
      <w:rFonts w:eastAsiaTheme="minorEastAsia"/>
      <w:color w:val="5A5A5A" w:themeColor="text1" w:themeTint="A5"/>
      <w:spacing w:val="15"/>
    </w:rPr>
  </w:style>
  <w:style w:type="character" w:styleId="BesuchterLink">
    <w:name w:val="FollowedHyperlink"/>
    <w:basedOn w:val="Absatz-Standardschriftart"/>
    <w:uiPriority w:val="99"/>
    <w:semiHidden/>
    <w:unhideWhenUsed/>
    <w:rsid w:val="00722A47"/>
    <w:rPr>
      <w:color w:val="800080" w:themeColor="followedHyperlink"/>
      <w:u w:val="single"/>
    </w:rPr>
  </w:style>
  <w:style w:type="numbering" w:customStyle="1" w:styleId="KeineListe5">
    <w:name w:val="Keine Liste5"/>
    <w:next w:val="KeineListe"/>
    <w:uiPriority w:val="99"/>
    <w:semiHidden/>
    <w:unhideWhenUsed/>
    <w:rsid w:val="00722A47"/>
  </w:style>
  <w:style w:type="table" w:customStyle="1" w:styleId="Tabellenraster3">
    <w:name w:val="Tabellenraster3"/>
    <w:basedOn w:val="NormaleTabelle"/>
    <w:next w:val="Tabellenraster"/>
    <w:uiPriority w:val="3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3">
    <w:name w:val="Keine Liste13"/>
    <w:next w:val="KeineListe"/>
    <w:uiPriority w:val="99"/>
    <w:semiHidden/>
    <w:unhideWhenUsed/>
    <w:rsid w:val="00722A47"/>
  </w:style>
  <w:style w:type="numbering" w:customStyle="1" w:styleId="ListeBMJalphanumerisch3">
    <w:name w:val="Liste_BMJ_alphanumerisch3"/>
    <w:uiPriority w:val="99"/>
    <w:rsid w:val="00722A47"/>
  </w:style>
  <w:style w:type="table" w:customStyle="1" w:styleId="Tabellenraster13">
    <w:name w:val="Tabellenraster13"/>
    <w:basedOn w:val="NormaleTabelle"/>
    <w:next w:val="Tabellenraster"/>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3">
    <w:name w:val="Liste_BMJ_numerisch3"/>
    <w:uiPriority w:val="99"/>
    <w:rsid w:val="00722A47"/>
  </w:style>
  <w:style w:type="numbering" w:customStyle="1" w:styleId="KeineListe113">
    <w:name w:val="Keine Liste113"/>
    <w:next w:val="KeineListe"/>
    <w:semiHidden/>
    <w:rsid w:val="00722A47"/>
  </w:style>
  <w:style w:type="numbering" w:customStyle="1" w:styleId="KeineListe23">
    <w:name w:val="Keine Liste23"/>
    <w:next w:val="KeineListe"/>
    <w:semiHidden/>
    <w:rsid w:val="00722A47"/>
  </w:style>
  <w:style w:type="table" w:customStyle="1" w:styleId="Tabellengitternetz12">
    <w:name w:val="Tabellengitternetz12"/>
    <w:basedOn w:val="NormaleTabelle"/>
    <w:next w:val="Tabellenraster"/>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alphanumerisch12">
    <w:name w:val="Liste_BMJ_alphanumerisch12"/>
    <w:uiPriority w:val="99"/>
    <w:rsid w:val="00722A47"/>
  </w:style>
  <w:style w:type="numbering" w:customStyle="1" w:styleId="ListeBMJnumerisch12">
    <w:name w:val="Liste_BMJ_numerisch12"/>
    <w:uiPriority w:val="99"/>
    <w:rsid w:val="00722A47"/>
  </w:style>
  <w:style w:type="numbering" w:customStyle="1" w:styleId="KeineListe32">
    <w:name w:val="Keine Liste32"/>
    <w:next w:val="KeineListe"/>
    <w:uiPriority w:val="99"/>
    <w:semiHidden/>
    <w:rsid w:val="00722A47"/>
  </w:style>
  <w:style w:type="table" w:customStyle="1" w:styleId="Tabellenraster113">
    <w:name w:val="Tabellenraster113"/>
    <w:basedOn w:val="NormaleTabelle"/>
    <w:next w:val="Tabellenraster"/>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2">
    <w:name w:val="Keine Liste1112"/>
    <w:next w:val="KeineListe"/>
    <w:semiHidden/>
    <w:rsid w:val="00722A47"/>
  </w:style>
  <w:style w:type="numbering" w:customStyle="1" w:styleId="KeineListe212">
    <w:name w:val="Keine Liste212"/>
    <w:next w:val="KeineListe"/>
    <w:uiPriority w:val="99"/>
    <w:semiHidden/>
    <w:unhideWhenUsed/>
    <w:rsid w:val="00722A47"/>
  </w:style>
  <w:style w:type="numbering" w:customStyle="1" w:styleId="KeineListe41">
    <w:name w:val="Keine Liste41"/>
    <w:next w:val="KeineListe"/>
    <w:uiPriority w:val="99"/>
    <w:semiHidden/>
    <w:unhideWhenUsed/>
    <w:rsid w:val="00722A47"/>
  </w:style>
  <w:style w:type="numbering" w:customStyle="1" w:styleId="ListeBMJalphanumerisch21">
    <w:name w:val="Liste_BMJ_alphanumerisch21"/>
    <w:uiPriority w:val="99"/>
    <w:rsid w:val="00722A47"/>
  </w:style>
  <w:style w:type="table" w:customStyle="1" w:styleId="Tabellenraster21">
    <w:name w:val="Tabellenraster21"/>
    <w:basedOn w:val="NormaleTabelle"/>
    <w:next w:val="Tabellenraster"/>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21">
    <w:name w:val="Liste_BMJ_numerisch21"/>
    <w:uiPriority w:val="99"/>
    <w:rsid w:val="00722A47"/>
  </w:style>
  <w:style w:type="numbering" w:customStyle="1" w:styleId="KeineListe121">
    <w:name w:val="Keine Liste121"/>
    <w:next w:val="KeineListe"/>
    <w:semiHidden/>
    <w:rsid w:val="00722A47"/>
  </w:style>
  <w:style w:type="numbering" w:customStyle="1" w:styleId="KeineListe221">
    <w:name w:val="Keine Liste221"/>
    <w:next w:val="KeineListe"/>
    <w:semiHidden/>
    <w:rsid w:val="00722A47"/>
  </w:style>
  <w:style w:type="table" w:customStyle="1" w:styleId="Tabellengitternetz111">
    <w:name w:val="Tabellengitternetz111"/>
    <w:basedOn w:val="NormaleTabelle"/>
    <w:next w:val="Tabellenraster"/>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alphanumerisch111">
    <w:name w:val="Liste_BMJ_alphanumerisch111"/>
    <w:uiPriority w:val="99"/>
    <w:rsid w:val="00722A47"/>
  </w:style>
  <w:style w:type="numbering" w:customStyle="1" w:styleId="ListeBMJnumerisch111">
    <w:name w:val="Liste_BMJ_numerisch111"/>
    <w:uiPriority w:val="99"/>
    <w:rsid w:val="00722A47"/>
  </w:style>
  <w:style w:type="numbering" w:customStyle="1" w:styleId="KeineListe311">
    <w:name w:val="Keine Liste311"/>
    <w:next w:val="KeineListe"/>
    <w:uiPriority w:val="99"/>
    <w:semiHidden/>
    <w:rsid w:val="00722A47"/>
  </w:style>
  <w:style w:type="table" w:customStyle="1" w:styleId="Tabellenraster121">
    <w:name w:val="Tabellenraster121"/>
    <w:basedOn w:val="NormaleTabelle"/>
    <w:next w:val="Tabellenraster"/>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21">
    <w:name w:val="Keine Liste1121"/>
    <w:next w:val="KeineListe"/>
    <w:semiHidden/>
    <w:rsid w:val="00722A47"/>
  </w:style>
  <w:style w:type="numbering" w:customStyle="1" w:styleId="KeineListe2111">
    <w:name w:val="Keine Liste2111"/>
    <w:next w:val="KeineListe"/>
    <w:uiPriority w:val="99"/>
    <w:semiHidden/>
    <w:unhideWhenUsed/>
    <w:rsid w:val="00722A47"/>
  </w:style>
  <w:style w:type="table" w:customStyle="1" w:styleId="Tabellenraster1121">
    <w:name w:val="Tabellenraster1121"/>
    <w:basedOn w:val="NormaleTabelle"/>
    <w:next w:val="Tabellenraster"/>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6">
    <w:name w:val="Keine Liste6"/>
    <w:next w:val="KeineListe"/>
    <w:uiPriority w:val="99"/>
    <w:semiHidden/>
    <w:unhideWhenUsed/>
    <w:rsid w:val="00722A47"/>
  </w:style>
  <w:style w:type="table" w:customStyle="1" w:styleId="Tabellenraster4">
    <w:name w:val="Tabellenraster4"/>
    <w:basedOn w:val="NormaleTabelle"/>
    <w:next w:val="Tabellenraster"/>
    <w:uiPriority w:val="3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4">
    <w:name w:val="Keine Liste14"/>
    <w:next w:val="KeineListe"/>
    <w:uiPriority w:val="99"/>
    <w:semiHidden/>
    <w:unhideWhenUsed/>
    <w:rsid w:val="00722A47"/>
  </w:style>
  <w:style w:type="numbering" w:customStyle="1" w:styleId="ListeBMJalphanumerisch4">
    <w:name w:val="Liste_BMJ_alphanumerisch4"/>
    <w:uiPriority w:val="99"/>
    <w:rsid w:val="00722A47"/>
  </w:style>
  <w:style w:type="table" w:customStyle="1" w:styleId="Tabellenraster14">
    <w:name w:val="Tabellenraster14"/>
    <w:basedOn w:val="NormaleTabelle"/>
    <w:next w:val="Tabellenraster"/>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4">
    <w:name w:val="Liste_BMJ_numerisch4"/>
    <w:uiPriority w:val="99"/>
    <w:rsid w:val="00722A47"/>
  </w:style>
  <w:style w:type="numbering" w:customStyle="1" w:styleId="KeineListe114">
    <w:name w:val="Keine Liste114"/>
    <w:next w:val="KeineListe"/>
    <w:semiHidden/>
    <w:rsid w:val="00722A47"/>
  </w:style>
  <w:style w:type="numbering" w:customStyle="1" w:styleId="KeineListe24">
    <w:name w:val="Keine Liste24"/>
    <w:next w:val="KeineListe"/>
    <w:semiHidden/>
    <w:rsid w:val="00722A47"/>
  </w:style>
  <w:style w:type="table" w:customStyle="1" w:styleId="Tabellengitternetz13">
    <w:name w:val="Tabellengitternetz13"/>
    <w:basedOn w:val="NormaleTabelle"/>
    <w:next w:val="Tabellenraster"/>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alphanumerisch13">
    <w:name w:val="Liste_BMJ_alphanumerisch13"/>
    <w:uiPriority w:val="99"/>
    <w:rsid w:val="00722A47"/>
  </w:style>
  <w:style w:type="numbering" w:customStyle="1" w:styleId="ListeBMJnumerisch13">
    <w:name w:val="Liste_BMJ_numerisch13"/>
    <w:uiPriority w:val="99"/>
    <w:rsid w:val="00722A47"/>
  </w:style>
  <w:style w:type="numbering" w:customStyle="1" w:styleId="KeineListe33">
    <w:name w:val="Keine Liste33"/>
    <w:next w:val="KeineListe"/>
    <w:uiPriority w:val="99"/>
    <w:semiHidden/>
    <w:rsid w:val="00722A47"/>
  </w:style>
  <w:style w:type="table" w:customStyle="1" w:styleId="Tabellenraster114">
    <w:name w:val="Tabellenraster114"/>
    <w:basedOn w:val="NormaleTabelle"/>
    <w:next w:val="Tabellenraster"/>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3">
    <w:name w:val="Keine Liste1113"/>
    <w:next w:val="KeineListe"/>
    <w:semiHidden/>
    <w:rsid w:val="00722A47"/>
  </w:style>
  <w:style w:type="numbering" w:customStyle="1" w:styleId="KeineListe213">
    <w:name w:val="Keine Liste213"/>
    <w:next w:val="KeineListe"/>
    <w:uiPriority w:val="99"/>
    <w:semiHidden/>
    <w:unhideWhenUsed/>
    <w:rsid w:val="00722A47"/>
  </w:style>
  <w:style w:type="table" w:customStyle="1" w:styleId="Tabellenraster1112">
    <w:name w:val="Tabellenraster1112"/>
    <w:basedOn w:val="NormaleTabelle"/>
    <w:next w:val="Tabellenraster"/>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42">
    <w:name w:val="Keine Liste42"/>
    <w:next w:val="KeineListe"/>
    <w:uiPriority w:val="99"/>
    <w:semiHidden/>
    <w:unhideWhenUsed/>
    <w:rsid w:val="00722A47"/>
  </w:style>
  <w:style w:type="numbering" w:customStyle="1" w:styleId="ListeBMJalphanumerisch22">
    <w:name w:val="Liste_BMJ_alphanumerisch22"/>
    <w:uiPriority w:val="99"/>
    <w:rsid w:val="00722A47"/>
  </w:style>
  <w:style w:type="table" w:customStyle="1" w:styleId="Tabellenraster22">
    <w:name w:val="Tabellenraster22"/>
    <w:basedOn w:val="NormaleTabelle"/>
    <w:next w:val="Tabellenraster"/>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22">
    <w:name w:val="Liste_BMJ_numerisch22"/>
    <w:uiPriority w:val="99"/>
    <w:rsid w:val="00722A47"/>
  </w:style>
  <w:style w:type="numbering" w:customStyle="1" w:styleId="KeineListe122">
    <w:name w:val="Keine Liste122"/>
    <w:next w:val="KeineListe"/>
    <w:semiHidden/>
    <w:rsid w:val="00722A47"/>
  </w:style>
  <w:style w:type="numbering" w:customStyle="1" w:styleId="KeineListe222">
    <w:name w:val="Keine Liste222"/>
    <w:next w:val="KeineListe"/>
    <w:semiHidden/>
    <w:rsid w:val="00722A47"/>
  </w:style>
  <w:style w:type="table" w:customStyle="1" w:styleId="Tabellengitternetz112">
    <w:name w:val="Tabellengitternetz112"/>
    <w:basedOn w:val="NormaleTabelle"/>
    <w:next w:val="Tabellenraster"/>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alphanumerisch112">
    <w:name w:val="Liste_BMJ_alphanumerisch112"/>
    <w:uiPriority w:val="99"/>
    <w:rsid w:val="00722A47"/>
  </w:style>
  <w:style w:type="numbering" w:customStyle="1" w:styleId="ListeBMJnumerisch112">
    <w:name w:val="Liste_BMJ_numerisch112"/>
    <w:uiPriority w:val="99"/>
    <w:rsid w:val="00722A47"/>
  </w:style>
  <w:style w:type="numbering" w:customStyle="1" w:styleId="KeineListe312">
    <w:name w:val="Keine Liste312"/>
    <w:next w:val="KeineListe"/>
    <w:uiPriority w:val="99"/>
    <w:semiHidden/>
    <w:rsid w:val="00722A47"/>
  </w:style>
  <w:style w:type="table" w:customStyle="1" w:styleId="Tabellenraster122">
    <w:name w:val="Tabellenraster122"/>
    <w:basedOn w:val="NormaleTabelle"/>
    <w:next w:val="Tabellenraster"/>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22">
    <w:name w:val="Keine Liste1122"/>
    <w:next w:val="KeineListe"/>
    <w:semiHidden/>
    <w:rsid w:val="00722A47"/>
  </w:style>
  <w:style w:type="numbering" w:customStyle="1" w:styleId="KeineListe2112">
    <w:name w:val="Keine Liste2112"/>
    <w:next w:val="KeineListe"/>
    <w:uiPriority w:val="99"/>
    <w:semiHidden/>
    <w:unhideWhenUsed/>
    <w:rsid w:val="00722A47"/>
  </w:style>
  <w:style w:type="table" w:customStyle="1" w:styleId="Tabellenraster1122">
    <w:name w:val="Tabellenraster1122"/>
    <w:basedOn w:val="NormaleTabelle"/>
    <w:next w:val="Tabellenraster"/>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7">
    <w:name w:val="Keine Liste7"/>
    <w:next w:val="KeineListe"/>
    <w:uiPriority w:val="99"/>
    <w:semiHidden/>
    <w:unhideWhenUsed/>
    <w:rsid w:val="00722A47"/>
  </w:style>
  <w:style w:type="table" w:customStyle="1" w:styleId="Tabellenraster5">
    <w:name w:val="Tabellenraster5"/>
    <w:basedOn w:val="NormaleTabelle"/>
    <w:next w:val="Tabellenraster"/>
    <w:uiPriority w:val="3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5">
    <w:name w:val="Keine Liste15"/>
    <w:next w:val="KeineListe"/>
    <w:uiPriority w:val="99"/>
    <w:semiHidden/>
    <w:unhideWhenUsed/>
    <w:rsid w:val="00722A47"/>
  </w:style>
  <w:style w:type="numbering" w:customStyle="1" w:styleId="ListeBMJalphanumerisch5">
    <w:name w:val="Liste_BMJ_alphanumerisch5"/>
    <w:uiPriority w:val="99"/>
    <w:rsid w:val="00722A47"/>
  </w:style>
  <w:style w:type="table" w:customStyle="1" w:styleId="Tabellenraster15">
    <w:name w:val="Tabellenraster15"/>
    <w:basedOn w:val="NormaleTabelle"/>
    <w:next w:val="Tabellenraster"/>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5">
    <w:name w:val="Liste_BMJ_numerisch5"/>
    <w:uiPriority w:val="99"/>
    <w:rsid w:val="00722A47"/>
  </w:style>
  <w:style w:type="numbering" w:customStyle="1" w:styleId="KeineListe115">
    <w:name w:val="Keine Liste115"/>
    <w:next w:val="KeineListe"/>
    <w:semiHidden/>
    <w:rsid w:val="00722A47"/>
  </w:style>
  <w:style w:type="numbering" w:customStyle="1" w:styleId="KeineListe25">
    <w:name w:val="Keine Liste25"/>
    <w:next w:val="KeineListe"/>
    <w:semiHidden/>
    <w:rsid w:val="00722A47"/>
  </w:style>
  <w:style w:type="table" w:customStyle="1" w:styleId="Tabellengitternetz14">
    <w:name w:val="Tabellengitternetz14"/>
    <w:basedOn w:val="NormaleTabelle"/>
    <w:next w:val="Tabellenraster"/>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alphanumerisch14">
    <w:name w:val="Liste_BMJ_alphanumerisch14"/>
    <w:uiPriority w:val="99"/>
    <w:rsid w:val="00722A47"/>
  </w:style>
  <w:style w:type="numbering" w:customStyle="1" w:styleId="ListeBMJnumerisch14">
    <w:name w:val="Liste_BMJ_numerisch14"/>
    <w:uiPriority w:val="99"/>
    <w:rsid w:val="00722A47"/>
  </w:style>
  <w:style w:type="numbering" w:customStyle="1" w:styleId="KeineListe34">
    <w:name w:val="Keine Liste34"/>
    <w:next w:val="KeineListe"/>
    <w:uiPriority w:val="99"/>
    <w:semiHidden/>
    <w:rsid w:val="00722A47"/>
  </w:style>
  <w:style w:type="table" w:customStyle="1" w:styleId="Tabellenraster115">
    <w:name w:val="Tabellenraster115"/>
    <w:basedOn w:val="NormaleTabelle"/>
    <w:next w:val="Tabellenraster"/>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4">
    <w:name w:val="Keine Liste1114"/>
    <w:next w:val="KeineListe"/>
    <w:semiHidden/>
    <w:rsid w:val="00722A47"/>
  </w:style>
  <w:style w:type="numbering" w:customStyle="1" w:styleId="KeineListe214">
    <w:name w:val="Keine Liste214"/>
    <w:next w:val="KeineListe"/>
    <w:uiPriority w:val="99"/>
    <w:semiHidden/>
    <w:unhideWhenUsed/>
    <w:rsid w:val="00722A47"/>
  </w:style>
  <w:style w:type="table" w:customStyle="1" w:styleId="Tabellenraster1113">
    <w:name w:val="Tabellenraster1113"/>
    <w:basedOn w:val="NormaleTabelle"/>
    <w:next w:val="Tabellenraster"/>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43">
    <w:name w:val="Keine Liste43"/>
    <w:next w:val="KeineListe"/>
    <w:uiPriority w:val="99"/>
    <w:semiHidden/>
    <w:unhideWhenUsed/>
    <w:rsid w:val="00722A47"/>
  </w:style>
  <w:style w:type="numbering" w:customStyle="1" w:styleId="ListeBMJalphanumerisch23">
    <w:name w:val="Liste_BMJ_alphanumerisch23"/>
    <w:uiPriority w:val="99"/>
    <w:rsid w:val="00722A47"/>
  </w:style>
  <w:style w:type="table" w:customStyle="1" w:styleId="Tabellenraster23">
    <w:name w:val="Tabellenraster23"/>
    <w:basedOn w:val="NormaleTabelle"/>
    <w:next w:val="Tabellenraster"/>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23">
    <w:name w:val="Liste_BMJ_numerisch23"/>
    <w:uiPriority w:val="99"/>
    <w:rsid w:val="00722A47"/>
    <w:pPr>
      <w:numPr>
        <w:numId w:val="19"/>
      </w:numPr>
    </w:pPr>
  </w:style>
  <w:style w:type="numbering" w:customStyle="1" w:styleId="KeineListe123">
    <w:name w:val="Keine Liste123"/>
    <w:next w:val="KeineListe"/>
    <w:semiHidden/>
    <w:rsid w:val="00722A47"/>
  </w:style>
  <w:style w:type="numbering" w:customStyle="1" w:styleId="KeineListe223">
    <w:name w:val="Keine Liste223"/>
    <w:next w:val="KeineListe"/>
    <w:semiHidden/>
    <w:rsid w:val="00722A47"/>
  </w:style>
  <w:style w:type="table" w:customStyle="1" w:styleId="Tabellengitternetz113">
    <w:name w:val="Tabellengitternetz113"/>
    <w:basedOn w:val="NormaleTabelle"/>
    <w:next w:val="Tabellenraster"/>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alphanumerisch113">
    <w:name w:val="Liste_BMJ_alphanumerisch113"/>
    <w:uiPriority w:val="99"/>
    <w:rsid w:val="00722A47"/>
  </w:style>
  <w:style w:type="numbering" w:customStyle="1" w:styleId="ListeBMJnumerisch113">
    <w:name w:val="Liste_BMJ_numerisch113"/>
    <w:uiPriority w:val="99"/>
    <w:rsid w:val="00722A47"/>
  </w:style>
  <w:style w:type="numbering" w:customStyle="1" w:styleId="KeineListe313">
    <w:name w:val="Keine Liste313"/>
    <w:next w:val="KeineListe"/>
    <w:uiPriority w:val="99"/>
    <w:semiHidden/>
    <w:rsid w:val="00722A47"/>
  </w:style>
  <w:style w:type="table" w:customStyle="1" w:styleId="Tabellenraster123">
    <w:name w:val="Tabellenraster123"/>
    <w:basedOn w:val="NormaleTabelle"/>
    <w:next w:val="Tabellenraster"/>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23">
    <w:name w:val="Keine Liste1123"/>
    <w:next w:val="KeineListe"/>
    <w:semiHidden/>
    <w:rsid w:val="00722A47"/>
  </w:style>
  <w:style w:type="numbering" w:customStyle="1" w:styleId="KeineListe2113">
    <w:name w:val="Keine Liste2113"/>
    <w:next w:val="KeineListe"/>
    <w:uiPriority w:val="99"/>
    <w:semiHidden/>
    <w:unhideWhenUsed/>
    <w:rsid w:val="00722A47"/>
  </w:style>
  <w:style w:type="table" w:customStyle="1" w:styleId="Tabellenraster1123">
    <w:name w:val="Tabellenraster1123"/>
    <w:basedOn w:val="NormaleTabelle"/>
    <w:next w:val="Tabellenraster"/>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MitNummer">
    <w:name w:val="StandardMitNummer"/>
    <w:basedOn w:val="Standard"/>
    <w:next w:val="Standardeinzug"/>
    <w:qFormat/>
    <w:rsid w:val="00722A47"/>
    <w:pPr>
      <w:keepLines/>
      <w:widowControl w:val="0"/>
      <w:spacing w:before="360" w:after="0" w:line="360" w:lineRule="atLeast"/>
      <w:ind w:left="425" w:hanging="425"/>
    </w:pPr>
    <w:rPr>
      <w:rFonts w:ascii="Times" w:eastAsia="Times New Roman" w:hAnsi="Times" w:cs="Times New Roman"/>
      <w:snapToGrid w:val="0"/>
      <w:sz w:val="26"/>
      <w:szCs w:val="20"/>
      <w:lang w:eastAsia="de-DE"/>
    </w:rPr>
  </w:style>
  <w:style w:type="paragraph" w:customStyle="1" w:styleId="JuristischerAbsatz">
    <w:name w:val="JuristischerAbsatz"/>
    <w:basedOn w:val="Standard"/>
    <w:next w:val="Standard"/>
    <w:qFormat/>
    <w:rsid w:val="00722A47"/>
    <w:pPr>
      <w:widowControl w:val="0"/>
      <w:tabs>
        <w:tab w:val="left" w:pos="851"/>
        <w:tab w:val="left" w:pos="1276"/>
      </w:tabs>
      <w:spacing w:after="0" w:line="360" w:lineRule="atLeast"/>
      <w:ind w:left="425" w:firstLine="425"/>
    </w:pPr>
    <w:rPr>
      <w:rFonts w:ascii="Times" w:eastAsia="Times New Roman" w:hAnsi="Times" w:cs="Times New Roman"/>
      <w:snapToGrid w:val="0"/>
      <w:sz w:val="26"/>
      <w:szCs w:val="20"/>
      <w:lang w:eastAsia="de-DE"/>
    </w:rPr>
  </w:style>
  <w:style w:type="character" w:customStyle="1" w:styleId="BesuchterHyperlink1">
    <w:name w:val="BesuchterHyperlink1"/>
    <w:uiPriority w:val="99"/>
    <w:rsid w:val="00722A47"/>
    <w:rPr>
      <w:rFonts w:cs="Times New Roman"/>
      <w:color w:val="800080"/>
      <w:u w:val="single"/>
    </w:rPr>
  </w:style>
  <w:style w:type="numbering" w:customStyle="1" w:styleId="KeineListe8">
    <w:name w:val="Keine Liste8"/>
    <w:next w:val="KeineListe"/>
    <w:uiPriority w:val="99"/>
    <w:semiHidden/>
    <w:unhideWhenUsed/>
    <w:rsid w:val="00722A47"/>
  </w:style>
  <w:style w:type="table" w:customStyle="1" w:styleId="Tabellenraster8">
    <w:name w:val="Tabellenraster8"/>
    <w:basedOn w:val="NormaleTabelle"/>
    <w:next w:val="Tabellenraster"/>
    <w:uiPriority w:val="59"/>
    <w:rsid w:val="00722A47"/>
    <w:pPr>
      <w:spacing w:after="0" w:line="240" w:lineRule="auto"/>
    </w:pPr>
    <w:rPr>
      <w:rFonts w:ascii="Century" w:eastAsia="Times New Roman" w:hAnsi="Century"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6">
    <w:name w:val="Keine Liste16"/>
    <w:next w:val="KeineListe"/>
    <w:uiPriority w:val="99"/>
    <w:semiHidden/>
    <w:unhideWhenUsed/>
    <w:rsid w:val="00722A47"/>
  </w:style>
  <w:style w:type="numbering" w:customStyle="1" w:styleId="KeineListe116">
    <w:name w:val="Keine Liste116"/>
    <w:next w:val="KeineListe"/>
    <w:semiHidden/>
    <w:unhideWhenUsed/>
    <w:rsid w:val="00722A47"/>
  </w:style>
  <w:style w:type="numbering" w:customStyle="1" w:styleId="ListeBMJalphanumerisch6">
    <w:name w:val="Liste_BMJ_alphanumerisch6"/>
    <w:uiPriority w:val="99"/>
    <w:rsid w:val="00722A47"/>
  </w:style>
  <w:style w:type="table" w:customStyle="1" w:styleId="Tabellenraster16">
    <w:name w:val="Tabellenraster16"/>
    <w:basedOn w:val="NormaleTabelle"/>
    <w:next w:val="Tabellenraster"/>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6">
    <w:name w:val="Liste_BMJ_numerisch6"/>
    <w:uiPriority w:val="99"/>
    <w:rsid w:val="00722A47"/>
  </w:style>
  <w:style w:type="numbering" w:customStyle="1" w:styleId="KeineListe1115">
    <w:name w:val="Keine Liste1115"/>
    <w:next w:val="KeineListe"/>
    <w:semiHidden/>
    <w:rsid w:val="00722A47"/>
  </w:style>
  <w:style w:type="numbering" w:customStyle="1" w:styleId="KeineListe26">
    <w:name w:val="Keine Liste26"/>
    <w:next w:val="KeineListe"/>
    <w:semiHidden/>
    <w:rsid w:val="00722A47"/>
  </w:style>
  <w:style w:type="table" w:customStyle="1" w:styleId="Tabellengitternetz15">
    <w:name w:val="Tabellengitternetz15"/>
    <w:basedOn w:val="NormaleTabelle"/>
    <w:next w:val="Tabellenraster"/>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alphanumerisch15">
    <w:name w:val="Liste_BMJ_alphanumerisch15"/>
    <w:uiPriority w:val="99"/>
    <w:rsid w:val="00722A47"/>
  </w:style>
  <w:style w:type="numbering" w:customStyle="1" w:styleId="ListeBMJnumerisch15">
    <w:name w:val="Liste_BMJ_numerisch15"/>
    <w:uiPriority w:val="99"/>
    <w:rsid w:val="00722A47"/>
  </w:style>
  <w:style w:type="numbering" w:customStyle="1" w:styleId="KeineListe35">
    <w:name w:val="Keine Liste35"/>
    <w:next w:val="KeineListe"/>
    <w:uiPriority w:val="99"/>
    <w:semiHidden/>
    <w:rsid w:val="00722A47"/>
  </w:style>
  <w:style w:type="table" w:customStyle="1" w:styleId="Tabellenraster116">
    <w:name w:val="Tabellenraster116"/>
    <w:basedOn w:val="NormaleTabelle"/>
    <w:next w:val="Tabellenraster"/>
    <w:uiPriority w:val="3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12">
    <w:name w:val="Keine Liste11112"/>
    <w:next w:val="KeineListe"/>
    <w:semiHidden/>
    <w:rsid w:val="00722A47"/>
  </w:style>
  <w:style w:type="numbering" w:customStyle="1" w:styleId="KeineListe215">
    <w:name w:val="Keine Liste215"/>
    <w:next w:val="KeineListe"/>
    <w:uiPriority w:val="99"/>
    <w:semiHidden/>
    <w:unhideWhenUsed/>
    <w:rsid w:val="00722A47"/>
  </w:style>
  <w:style w:type="table" w:customStyle="1" w:styleId="Tabellenraster1114">
    <w:name w:val="Tabellenraster1114"/>
    <w:basedOn w:val="NormaleTabelle"/>
    <w:next w:val="Tabellenraster"/>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44">
    <w:name w:val="Keine Liste44"/>
    <w:next w:val="KeineListe"/>
    <w:uiPriority w:val="99"/>
    <w:semiHidden/>
    <w:unhideWhenUsed/>
    <w:rsid w:val="00722A47"/>
  </w:style>
  <w:style w:type="numbering" w:customStyle="1" w:styleId="ListeBMJalphanumerisch24">
    <w:name w:val="Liste_BMJ_alphanumerisch24"/>
    <w:uiPriority w:val="99"/>
    <w:rsid w:val="00722A47"/>
  </w:style>
  <w:style w:type="table" w:customStyle="1" w:styleId="Tabellenraster24">
    <w:name w:val="Tabellenraster24"/>
    <w:basedOn w:val="NormaleTabelle"/>
    <w:next w:val="Tabellenraster"/>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24">
    <w:name w:val="Liste_BMJ_numerisch24"/>
    <w:uiPriority w:val="99"/>
    <w:rsid w:val="00722A47"/>
    <w:pPr>
      <w:numPr>
        <w:numId w:val="15"/>
      </w:numPr>
    </w:pPr>
  </w:style>
  <w:style w:type="numbering" w:customStyle="1" w:styleId="KeineListe124">
    <w:name w:val="Keine Liste124"/>
    <w:next w:val="KeineListe"/>
    <w:semiHidden/>
    <w:rsid w:val="00722A47"/>
  </w:style>
  <w:style w:type="numbering" w:customStyle="1" w:styleId="KeineListe224">
    <w:name w:val="Keine Liste224"/>
    <w:next w:val="KeineListe"/>
    <w:semiHidden/>
    <w:rsid w:val="00722A47"/>
  </w:style>
  <w:style w:type="table" w:customStyle="1" w:styleId="Tabellengitternetz114">
    <w:name w:val="Tabellengitternetz114"/>
    <w:basedOn w:val="NormaleTabelle"/>
    <w:next w:val="Tabellenraster"/>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alphanumerisch114">
    <w:name w:val="Liste_BMJ_alphanumerisch114"/>
    <w:uiPriority w:val="99"/>
    <w:rsid w:val="00722A47"/>
  </w:style>
  <w:style w:type="numbering" w:customStyle="1" w:styleId="ListeBMJnumerisch114">
    <w:name w:val="Liste_BMJ_numerisch114"/>
    <w:uiPriority w:val="99"/>
    <w:rsid w:val="00722A47"/>
  </w:style>
  <w:style w:type="numbering" w:customStyle="1" w:styleId="KeineListe314">
    <w:name w:val="Keine Liste314"/>
    <w:next w:val="KeineListe"/>
    <w:uiPriority w:val="99"/>
    <w:semiHidden/>
    <w:rsid w:val="00722A47"/>
  </w:style>
  <w:style w:type="table" w:customStyle="1" w:styleId="Tabellenraster124">
    <w:name w:val="Tabellenraster124"/>
    <w:basedOn w:val="NormaleTabelle"/>
    <w:next w:val="Tabellenraster"/>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24">
    <w:name w:val="Keine Liste1124"/>
    <w:next w:val="KeineListe"/>
    <w:semiHidden/>
    <w:rsid w:val="00722A47"/>
  </w:style>
  <w:style w:type="numbering" w:customStyle="1" w:styleId="KeineListe2114">
    <w:name w:val="Keine Liste2114"/>
    <w:next w:val="KeineListe"/>
    <w:uiPriority w:val="99"/>
    <w:semiHidden/>
    <w:unhideWhenUsed/>
    <w:rsid w:val="00722A47"/>
  </w:style>
  <w:style w:type="table" w:customStyle="1" w:styleId="Tabellenraster1124">
    <w:name w:val="Tabellenraster1124"/>
    <w:basedOn w:val="NormaleTabelle"/>
    <w:next w:val="Tabellenraster"/>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1">
    <w:name w:val="Keine Liste51"/>
    <w:next w:val="KeineListe"/>
    <w:uiPriority w:val="99"/>
    <w:semiHidden/>
    <w:unhideWhenUsed/>
    <w:rsid w:val="00722A47"/>
  </w:style>
  <w:style w:type="table" w:customStyle="1" w:styleId="Tabellenraster31">
    <w:name w:val="Tabellenraster31"/>
    <w:basedOn w:val="NormaleTabelle"/>
    <w:next w:val="Tabellenraster"/>
    <w:uiPriority w:val="3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31">
    <w:name w:val="Keine Liste131"/>
    <w:next w:val="KeineListe"/>
    <w:uiPriority w:val="99"/>
    <w:semiHidden/>
    <w:unhideWhenUsed/>
    <w:rsid w:val="00722A47"/>
  </w:style>
  <w:style w:type="numbering" w:customStyle="1" w:styleId="ListeBMJalphanumerisch31">
    <w:name w:val="Liste_BMJ_alphanumerisch31"/>
    <w:uiPriority w:val="99"/>
    <w:rsid w:val="00722A47"/>
  </w:style>
  <w:style w:type="table" w:customStyle="1" w:styleId="Tabellenraster131">
    <w:name w:val="Tabellenraster131"/>
    <w:basedOn w:val="NormaleTabelle"/>
    <w:next w:val="Tabellenraster"/>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31">
    <w:name w:val="Liste_BMJ_numerisch31"/>
    <w:uiPriority w:val="99"/>
    <w:rsid w:val="00722A47"/>
  </w:style>
  <w:style w:type="numbering" w:customStyle="1" w:styleId="KeineListe1131">
    <w:name w:val="Keine Liste1131"/>
    <w:next w:val="KeineListe"/>
    <w:semiHidden/>
    <w:rsid w:val="00722A47"/>
  </w:style>
  <w:style w:type="numbering" w:customStyle="1" w:styleId="KeineListe231">
    <w:name w:val="Keine Liste231"/>
    <w:next w:val="KeineListe"/>
    <w:semiHidden/>
    <w:rsid w:val="00722A47"/>
  </w:style>
  <w:style w:type="table" w:customStyle="1" w:styleId="Tabellengitternetz121">
    <w:name w:val="Tabellengitternetz121"/>
    <w:basedOn w:val="NormaleTabelle"/>
    <w:next w:val="Tabellenraster"/>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alphanumerisch121">
    <w:name w:val="Liste_BMJ_alphanumerisch121"/>
    <w:uiPriority w:val="99"/>
    <w:rsid w:val="00722A47"/>
  </w:style>
  <w:style w:type="numbering" w:customStyle="1" w:styleId="ListeBMJnumerisch121">
    <w:name w:val="Liste_BMJ_numerisch121"/>
    <w:uiPriority w:val="99"/>
    <w:rsid w:val="00722A47"/>
  </w:style>
  <w:style w:type="numbering" w:customStyle="1" w:styleId="KeineListe321">
    <w:name w:val="Keine Liste321"/>
    <w:next w:val="KeineListe"/>
    <w:uiPriority w:val="99"/>
    <w:semiHidden/>
    <w:rsid w:val="00722A47"/>
  </w:style>
  <w:style w:type="table" w:customStyle="1" w:styleId="Tabellenraster1131">
    <w:name w:val="Tabellenraster1131"/>
    <w:basedOn w:val="NormaleTabelle"/>
    <w:next w:val="Tabellenraster"/>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21">
    <w:name w:val="Keine Liste11121"/>
    <w:next w:val="KeineListe"/>
    <w:semiHidden/>
    <w:rsid w:val="00722A47"/>
  </w:style>
  <w:style w:type="numbering" w:customStyle="1" w:styleId="KeineListe2121">
    <w:name w:val="Keine Liste2121"/>
    <w:next w:val="KeineListe"/>
    <w:uiPriority w:val="99"/>
    <w:semiHidden/>
    <w:unhideWhenUsed/>
    <w:rsid w:val="00722A47"/>
  </w:style>
  <w:style w:type="table" w:customStyle="1" w:styleId="Tabellenraster11111">
    <w:name w:val="Tabellenraster11111"/>
    <w:basedOn w:val="NormaleTabelle"/>
    <w:next w:val="Tabellenraster"/>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411">
    <w:name w:val="Keine Liste411"/>
    <w:next w:val="KeineListe"/>
    <w:uiPriority w:val="99"/>
    <w:semiHidden/>
    <w:unhideWhenUsed/>
    <w:rsid w:val="00722A47"/>
  </w:style>
  <w:style w:type="numbering" w:customStyle="1" w:styleId="ListeBMJalphanumerisch211">
    <w:name w:val="Liste_BMJ_alphanumerisch211"/>
    <w:uiPriority w:val="99"/>
    <w:rsid w:val="00722A47"/>
  </w:style>
  <w:style w:type="table" w:customStyle="1" w:styleId="Tabellenraster211">
    <w:name w:val="Tabellenraster211"/>
    <w:basedOn w:val="NormaleTabelle"/>
    <w:next w:val="Tabellenraster"/>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211">
    <w:name w:val="Liste_BMJ_numerisch211"/>
    <w:uiPriority w:val="99"/>
    <w:rsid w:val="00722A47"/>
    <w:pPr>
      <w:numPr>
        <w:numId w:val="7"/>
      </w:numPr>
    </w:pPr>
  </w:style>
  <w:style w:type="numbering" w:customStyle="1" w:styleId="KeineListe1211">
    <w:name w:val="Keine Liste1211"/>
    <w:next w:val="KeineListe"/>
    <w:semiHidden/>
    <w:rsid w:val="00722A47"/>
  </w:style>
  <w:style w:type="numbering" w:customStyle="1" w:styleId="KeineListe2211">
    <w:name w:val="Keine Liste2211"/>
    <w:next w:val="KeineListe"/>
    <w:semiHidden/>
    <w:rsid w:val="00722A47"/>
  </w:style>
  <w:style w:type="table" w:customStyle="1" w:styleId="Tabellengitternetz1111">
    <w:name w:val="Tabellengitternetz1111"/>
    <w:basedOn w:val="NormaleTabelle"/>
    <w:next w:val="Tabellenraster"/>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alphanumerisch1111">
    <w:name w:val="Liste_BMJ_alphanumerisch1111"/>
    <w:uiPriority w:val="99"/>
    <w:rsid w:val="00722A47"/>
  </w:style>
  <w:style w:type="numbering" w:customStyle="1" w:styleId="ListeBMJnumerisch1111">
    <w:name w:val="Liste_BMJ_numerisch1111"/>
    <w:uiPriority w:val="99"/>
    <w:rsid w:val="00722A47"/>
  </w:style>
  <w:style w:type="numbering" w:customStyle="1" w:styleId="KeineListe3111">
    <w:name w:val="Keine Liste3111"/>
    <w:next w:val="KeineListe"/>
    <w:uiPriority w:val="99"/>
    <w:semiHidden/>
    <w:rsid w:val="00722A47"/>
  </w:style>
  <w:style w:type="table" w:customStyle="1" w:styleId="Tabellenraster1211">
    <w:name w:val="Tabellenraster1211"/>
    <w:basedOn w:val="NormaleTabelle"/>
    <w:next w:val="Tabellenraster"/>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211">
    <w:name w:val="Keine Liste11211"/>
    <w:next w:val="KeineListe"/>
    <w:semiHidden/>
    <w:rsid w:val="00722A47"/>
  </w:style>
  <w:style w:type="numbering" w:customStyle="1" w:styleId="KeineListe21111">
    <w:name w:val="Keine Liste21111"/>
    <w:next w:val="KeineListe"/>
    <w:uiPriority w:val="99"/>
    <w:semiHidden/>
    <w:unhideWhenUsed/>
    <w:rsid w:val="00722A47"/>
  </w:style>
  <w:style w:type="table" w:customStyle="1" w:styleId="Tabellenraster11211">
    <w:name w:val="Tabellenraster11211"/>
    <w:basedOn w:val="NormaleTabelle"/>
    <w:next w:val="Tabellenraster"/>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61">
    <w:name w:val="Keine Liste61"/>
    <w:next w:val="KeineListe"/>
    <w:uiPriority w:val="99"/>
    <w:semiHidden/>
    <w:unhideWhenUsed/>
    <w:rsid w:val="00722A47"/>
  </w:style>
  <w:style w:type="table" w:customStyle="1" w:styleId="Tabellenraster41">
    <w:name w:val="Tabellenraster41"/>
    <w:basedOn w:val="NormaleTabelle"/>
    <w:next w:val="Tabellenraster"/>
    <w:uiPriority w:val="3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41">
    <w:name w:val="Keine Liste141"/>
    <w:next w:val="KeineListe"/>
    <w:uiPriority w:val="99"/>
    <w:semiHidden/>
    <w:unhideWhenUsed/>
    <w:rsid w:val="00722A47"/>
  </w:style>
  <w:style w:type="numbering" w:customStyle="1" w:styleId="ListeBMJalphanumerisch41">
    <w:name w:val="Liste_BMJ_alphanumerisch41"/>
    <w:uiPriority w:val="99"/>
    <w:rsid w:val="00722A47"/>
  </w:style>
  <w:style w:type="table" w:customStyle="1" w:styleId="Tabellenraster141">
    <w:name w:val="Tabellenraster141"/>
    <w:basedOn w:val="NormaleTabelle"/>
    <w:next w:val="Tabellenraster"/>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41">
    <w:name w:val="Liste_BMJ_numerisch41"/>
    <w:uiPriority w:val="99"/>
    <w:rsid w:val="00722A47"/>
  </w:style>
  <w:style w:type="numbering" w:customStyle="1" w:styleId="KeineListe1141">
    <w:name w:val="Keine Liste1141"/>
    <w:next w:val="KeineListe"/>
    <w:semiHidden/>
    <w:rsid w:val="00722A47"/>
  </w:style>
  <w:style w:type="numbering" w:customStyle="1" w:styleId="KeineListe241">
    <w:name w:val="Keine Liste241"/>
    <w:next w:val="KeineListe"/>
    <w:semiHidden/>
    <w:rsid w:val="00722A47"/>
  </w:style>
  <w:style w:type="table" w:customStyle="1" w:styleId="Tabellengitternetz131">
    <w:name w:val="Tabellengitternetz131"/>
    <w:basedOn w:val="NormaleTabelle"/>
    <w:next w:val="Tabellenraster"/>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alphanumerisch131">
    <w:name w:val="Liste_BMJ_alphanumerisch131"/>
    <w:uiPriority w:val="99"/>
    <w:rsid w:val="00722A47"/>
  </w:style>
  <w:style w:type="numbering" w:customStyle="1" w:styleId="ListeBMJnumerisch131">
    <w:name w:val="Liste_BMJ_numerisch131"/>
    <w:uiPriority w:val="99"/>
    <w:rsid w:val="00722A47"/>
  </w:style>
  <w:style w:type="numbering" w:customStyle="1" w:styleId="KeineListe331">
    <w:name w:val="Keine Liste331"/>
    <w:next w:val="KeineListe"/>
    <w:uiPriority w:val="99"/>
    <w:semiHidden/>
    <w:rsid w:val="00722A47"/>
  </w:style>
  <w:style w:type="table" w:customStyle="1" w:styleId="Tabellenraster1141">
    <w:name w:val="Tabellenraster1141"/>
    <w:basedOn w:val="NormaleTabelle"/>
    <w:next w:val="Tabellenraster"/>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31">
    <w:name w:val="Keine Liste11131"/>
    <w:next w:val="KeineListe"/>
    <w:semiHidden/>
    <w:rsid w:val="00722A47"/>
  </w:style>
  <w:style w:type="numbering" w:customStyle="1" w:styleId="KeineListe2131">
    <w:name w:val="Keine Liste2131"/>
    <w:next w:val="KeineListe"/>
    <w:uiPriority w:val="99"/>
    <w:semiHidden/>
    <w:unhideWhenUsed/>
    <w:rsid w:val="00722A47"/>
  </w:style>
  <w:style w:type="table" w:customStyle="1" w:styleId="Tabellenraster11121">
    <w:name w:val="Tabellenraster11121"/>
    <w:basedOn w:val="NormaleTabelle"/>
    <w:next w:val="Tabellenraster"/>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421">
    <w:name w:val="Keine Liste421"/>
    <w:next w:val="KeineListe"/>
    <w:uiPriority w:val="99"/>
    <w:semiHidden/>
    <w:unhideWhenUsed/>
    <w:rsid w:val="00722A47"/>
  </w:style>
  <w:style w:type="numbering" w:customStyle="1" w:styleId="ListeBMJalphanumerisch221">
    <w:name w:val="Liste_BMJ_alphanumerisch221"/>
    <w:uiPriority w:val="99"/>
    <w:rsid w:val="00722A47"/>
  </w:style>
  <w:style w:type="table" w:customStyle="1" w:styleId="Tabellenraster221">
    <w:name w:val="Tabellenraster221"/>
    <w:basedOn w:val="NormaleTabelle"/>
    <w:next w:val="Tabellenraster"/>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221">
    <w:name w:val="Liste_BMJ_numerisch221"/>
    <w:uiPriority w:val="99"/>
    <w:rsid w:val="00722A47"/>
  </w:style>
  <w:style w:type="numbering" w:customStyle="1" w:styleId="KeineListe1221">
    <w:name w:val="Keine Liste1221"/>
    <w:next w:val="KeineListe"/>
    <w:semiHidden/>
    <w:rsid w:val="00722A47"/>
  </w:style>
  <w:style w:type="numbering" w:customStyle="1" w:styleId="KeineListe2221">
    <w:name w:val="Keine Liste2221"/>
    <w:next w:val="KeineListe"/>
    <w:semiHidden/>
    <w:rsid w:val="00722A47"/>
  </w:style>
  <w:style w:type="table" w:customStyle="1" w:styleId="Tabellengitternetz1121">
    <w:name w:val="Tabellengitternetz1121"/>
    <w:basedOn w:val="NormaleTabelle"/>
    <w:next w:val="Tabellenraster"/>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alphanumerisch1121">
    <w:name w:val="Liste_BMJ_alphanumerisch1121"/>
    <w:uiPriority w:val="99"/>
    <w:rsid w:val="00722A47"/>
  </w:style>
  <w:style w:type="numbering" w:customStyle="1" w:styleId="ListeBMJnumerisch1121">
    <w:name w:val="Liste_BMJ_numerisch1121"/>
    <w:uiPriority w:val="99"/>
    <w:rsid w:val="00722A47"/>
  </w:style>
  <w:style w:type="numbering" w:customStyle="1" w:styleId="KeineListe3121">
    <w:name w:val="Keine Liste3121"/>
    <w:next w:val="KeineListe"/>
    <w:uiPriority w:val="99"/>
    <w:semiHidden/>
    <w:rsid w:val="00722A47"/>
  </w:style>
  <w:style w:type="table" w:customStyle="1" w:styleId="Tabellenraster1221">
    <w:name w:val="Tabellenraster1221"/>
    <w:basedOn w:val="NormaleTabelle"/>
    <w:next w:val="Tabellenraster"/>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221">
    <w:name w:val="Keine Liste11221"/>
    <w:next w:val="KeineListe"/>
    <w:semiHidden/>
    <w:rsid w:val="00722A47"/>
  </w:style>
  <w:style w:type="numbering" w:customStyle="1" w:styleId="KeineListe21121">
    <w:name w:val="Keine Liste21121"/>
    <w:next w:val="KeineListe"/>
    <w:uiPriority w:val="99"/>
    <w:semiHidden/>
    <w:unhideWhenUsed/>
    <w:rsid w:val="00722A47"/>
  </w:style>
  <w:style w:type="table" w:customStyle="1" w:styleId="Tabellenraster11221">
    <w:name w:val="Tabellenraster11221"/>
    <w:basedOn w:val="NormaleTabelle"/>
    <w:next w:val="Tabellenraster"/>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71">
    <w:name w:val="Keine Liste71"/>
    <w:next w:val="KeineListe"/>
    <w:uiPriority w:val="99"/>
    <w:semiHidden/>
    <w:unhideWhenUsed/>
    <w:rsid w:val="00722A47"/>
  </w:style>
  <w:style w:type="table" w:customStyle="1" w:styleId="Tabellenraster51">
    <w:name w:val="Tabellenraster51"/>
    <w:basedOn w:val="NormaleTabelle"/>
    <w:next w:val="Tabellenraster"/>
    <w:uiPriority w:val="3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51">
    <w:name w:val="Keine Liste151"/>
    <w:next w:val="KeineListe"/>
    <w:uiPriority w:val="99"/>
    <w:semiHidden/>
    <w:unhideWhenUsed/>
    <w:rsid w:val="00722A47"/>
  </w:style>
  <w:style w:type="numbering" w:customStyle="1" w:styleId="ListeBMJalphanumerisch51">
    <w:name w:val="Liste_BMJ_alphanumerisch51"/>
    <w:uiPriority w:val="99"/>
    <w:rsid w:val="00722A47"/>
  </w:style>
  <w:style w:type="table" w:customStyle="1" w:styleId="Tabellenraster151">
    <w:name w:val="Tabellenraster151"/>
    <w:basedOn w:val="NormaleTabelle"/>
    <w:next w:val="Tabellenraster"/>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51">
    <w:name w:val="Liste_BMJ_numerisch51"/>
    <w:uiPriority w:val="99"/>
    <w:rsid w:val="00722A47"/>
  </w:style>
  <w:style w:type="numbering" w:customStyle="1" w:styleId="KeineListe1151">
    <w:name w:val="Keine Liste1151"/>
    <w:next w:val="KeineListe"/>
    <w:semiHidden/>
    <w:rsid w:val="00722A47"/>
  </w:style>
  <w:style w:type="numbering" w:customStyle="1" w:styleId="KeineListe251">
    <w:name w:val="Keine Liste251"/>
    <w:next w:val="KeineListe"/>
    <w:semiHidden/>
    <w:rsid w:val="00722A47"/>
  </w:style>
  <w:style w:type="table" w:customStyle="1" w:styleId="Tabellengitternetz141">
    <w:name w:val="Tabellengitternetz141"/>
    <w:basedOn w:val="NormaleTabelle"/>
    <w:next w:val="Tabellenraster"/>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alphanumerisch141">
    <w:name w:val="Liste_BMJ_alphanumerisch141"/>
    <w:uiPriority w:val="99"/>
    <w:rsid w:val="00722A47"/>
  </w:style>
  <w:style w:type="numbering" w:customStyle="1" w:styleId="ListeBMJnumerisch141">
    <w:name w:val="Liste_BMJ_numerisch141"/>
    <w:uiPriority w:val="99"/>
    <w:rsid w:val="00722A47"/>
  </w:style>
  <w:style w:type="numbering" w:customStyle="1" w:styleId="KeineListe341">
    <w:name w:val="Keine Liste341"/>
    <w:next w:val="KeineListe"/>
    <w:uiPriority w:val="99"/>
    <w:semiHidden/>
    <w:rsid w:val="00722A47"/>
  </w:style>
  <w:style w:type="table" w:customStyle="1" w:styleId="Tabellenraster1151">
    <w:name w:val="Tabellenraster1151"/>
    <w:basedOn w:val="NormaleTabelle"/>
    <w:next w:val="Tabellenraster"/>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41">
    <w:name w:val="Keine Liste11141"/>
    <w:next w:val="KeineListe"/>
    <w:semiHidden/>
    <w:rsid w:val="00722A47"/>
  </w:style>
  <w:style w:type="numbering" w:customStyle="1" w:styleId="KeineListe2141">
    <w:name w:val="Keine Liste2141"/>
    <w:next w:val="KeineListe"/>
    <w:uiPriority w:val="99"/>
    <w:semiHidden/>
    <w:unhideWhenUsed/>
    <w:rsid w:val="00722A47"/>
  </w:style>
  <w:style w:type="table" w:customStyle="1" w:styleId="Tabellenraster11131">
    <w:name w:val="Tabellenraster11131"/>
    <w:basedOn w:val="NormaleTabelle"/>
    <w:next w:val="Tabellenraster"/>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431">
    <w:name w:val="Keine Liste431"/>
    <w:next w:val="KeineListe"/>
    <w:uiPriority w:val="99"/>
    <w:semiHidden/>
    <w:unhideWhenUsed/>
    <w:rsid w:val="00722A47"/>
  </w:style>
  <w:style w:type="numbering" w:customStyle="1" w:styleId="ListeBMJalphanumerisch231">
    <w:name w:val="Liste_BMJ_alphanumerisch231"/>
    <w:uiPriority w:val="99"/>
    <w:rsid w:val="00722A47"/>
  </w:style>
  <w:style w:type="table" w:customStyle="1" w:styleId="Tabellenraster231">
    <w:name w:val="Tabellenraster231"/>
    <w:basedOn w:val="NormaleTabelle"/>
    <w:next w:val="Tabellenraster"/>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231">
    <w:name w:val="Liste_BMJ_numerisch231"/>
    <w:uiPriority w:val="99"/>
    <w:rsid w:val="00722A47"/>
    <w:pPr>
      <w:numPr>
        <w:numId w:val="12"/>
      </w:numPr>
    </w:pPr>
  </w:style>
  <w:style w:type="numbering" w:customStyle="1" w:styleId="KeineListe1231">
    <w:name w:val="Keine Liste1231"/>
    <w:next w:val="KeineListe"/>
    <w:semiHidden/>
    <w:rsid w:val="00722A47"/>
  </w:style>
  <w:style w:type="numbering" w:customStyle="1" w:styleId="KeineListe2231">
    <w:name w:val="Keine Liste2231"/>
    <w:next w:val="KeineListe"/>
    <w:semiHidden/>
    <w:rsid w:val="00722A47"/>
  </w:style>
  <w:style w:type="table" w:customStyle="1" w:styleId="Tabellengitternetz1131">
    <w:name w:val="Tabellengitternetz1131"/>
    <w:basedOn w:val="NormaleTabelle"/>
    <w:next w:val="Tabellenraster"/>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alphanumerisch1131">
    <w:name w:val="Liste_BMJ_alphanumerisch1131"/>
    <w:uiPriority w:val="99"/>
    <w:rsid w:val="00722A47"/>
  </w:style>
  <w:style w:type="numbering" w:customStyle="1" w:styleId="ListeBMJnumerisch1131">
    <w:name w:val="Liste_BMJ_numerisch1131"/>
    <w:uiPriority w:val="99"/>
    <w:rsid w:val="00722A47"/>
  </w:style>
  <w:style w:type="numbering" w:customStyle="1" w:styleId="KeineListe3131">
    <w:name w:val="Keine Liste3131"/>
    <w:next w:val="KeineListe"/>
    <w:uiPriority w:val="99"/>
    <w:semiHidden/>
    <w:rsid w:val="00722A47"/>
  </w:style>
  <w:style w:type="table" w:customStyle="1" w:styleId="Tabellenraster1231">
    <w:name w:val="Tabellenraster1231"/>
    <w:basedOn w:val="NormaleTabelle"/>
    <w:next w:val="Tabellenraster"/>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231">
    <w:name w:val="Keine Liste11231"/>
    <w:next w:val="KeineListe"/>
    <w:semiHidden/>
    <w:rsid w:val="00722A47"/>
  </w:style>
  <w:style w:type="numbering" w:customStyle="1" w:styleId="KeineListe21131">
    <w:name w:val="Keine Liste21131"/>
    <w:next w:val="KeineListe"/>
    <w:uiPriority w:val="99"/>
    <w:semiHidden/>
    <w:unhideWhenUsed/>
    <w:rsid w:val="00722A47"/>
  </w:style>
  <w:style w:type="table" w:customStyle="1" w:styleId="Tabellenraster11231">
    <w:name w:val="Tabellenraster11231"/>
    <w:basedOn w:val="NormaleTabelle"/>
    <w:next w:val="Tabellenraster"/>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1">
    <w:name w:val="Tabellenraster61"/>
    <w:basedOn w:val="NormaleTabelle"/>
    <w:next w:val="Tabellenraster"/>
    <w:uiPriority w:val="5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1">
    <w:name w:val="Tabellenraster71"/>
    <w:basedOn w:val="NormaleTabelle"/>
    <w:next w:val="Tabellenraster"/>
    <w:uiPriority w:val="5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2">
    <w:name w:val="Tabellenraster72"/>
    <w:basedOn w:val="NormaleTabelle"/>
    <w:next w:val="Tabellenraster"/>
    <w:uiPriority w:val="5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7">
    <w:name w:val="Liste_BMJ_numerisch7"/>
    <w:uiPriority w:val="99"/>
    <w:rsid w:val="00722A47"/>
  </w:style>
  <w:style w:type="table" w:customStyle="1" w:styleId="Tabellenraster62">
    <w:name w:val="Tabellenraster62"/>
    <w:basedOn w:val="NormaleTabelle"/>
    <w:next w:val="Tabellenraster"/>
    <w:uiPriority w:val="5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A147E3"/>
    <w:pPr>
      <w:spacing w:before="0" w:after="0"/>
      <w:ind w:left="720" w:hanging="720"/>
    </w:pPr>
    <w:rPr>
      <w:sz w:val="18"/>
      <w:szCs w:val="20"/>
    </w:rPr>
  </w:style>
  <w:style w:type="character" w:customStyle="1" w:styleId="FunotentextZchn">
    <w:name w:val="Fußnotentext Zchn"/>
    <w:basedOn w:val="Absatz-Standardschriftart"/>
    <w:link w:val="Funotentext"/>
    <w:uiPriority w:val="99"/>
    <w:semiHidden/>
    <w:rsid w:val="00A147E3"/>
    <w:rPr>
      <w:rFonts w:ascii="Arial" w:hAnsi="Arial" w:cs="Arial"/>
      <w:sz w:val="18"/>
      <w:szCs w:val="20"/>
      <w:shd w:val="clear" w:color="auto" w:fill="auto"/>
    </w:rPr>
  </w:style>
  <w:style w:type="paragraph" w:styleId="Fuzeile">
    <w:name w:val="footer"/>
    <w:basedOn w:val="Standard"/>
    <w:link w:val="FuzeileZchn"/>
    <w:uiPriority w:val="99"/>
    <w:unhideWhenUsed/>
    <w:rsid w:val="00A147E3"/>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A147E3"/>
    <w:rPr>
      <w:rFonts w:ascii="Arial" w:hAnsi="Arial" w:cs="Arial"/>
      <w:shd w:val="clear" w:color="auto" w:fill="auto"/>
    </w:rPr>
  </w:style>
  <w:style w:type="paragraph" w:styleId="Verzeichnis2">
    <w:name w:val="toc 2"/>
    <w:basedOn w:val="Standard"/>
    <w:next w:val="Standard"/>
    <w:uiPriority w:val="39"/>
    <w:semiHidden/>
    <w:unhideWhenUsed/>
    <w:rsid w:val="00A147E3"/>
    <w:pPr>
      <w:keepNext/>
      <w:spacing w:before="240" w:line="360" w:lineRule="auto"/>
      <w:jc w:val="center"/>
    </w:pPr>
  </w:style>
  <w:style w:type="paragraph" w:styleId="Verzeichnis3">
    <w:name w:val="toc 3"/>
    <w:basedOn w:val="Standard"/>
    <w:next w:val="Standard"/>
    <w:uiPriority w:val="39"/>
    <w:semiHidden/>
    <w:unhideWhenUsed/>
    <w:rsid w:val="00A147E3"/>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A147E3"/>
    <w:pPr>
      <w:keepNext/>
      <w:spacing w:before="240" w:line="360" w:lineRule="auto"/>
      <w:jc w:val="center"/>
    </w:pPr>
    <w:rPr>
      <w:b/>
      <w:sz w:val="18"/>
    </w:rPr>
  </w:style>
  <w:style w:type="paragraph" w:styleId="Verzeichnis5">
    <w:name w:val="toc 5"/>
    <w:basedOn w:val="Standard"/>
    <w:next w:val="Standard"/>
    <w:uiPriority w:val="39"/>
    <w:semiHidden/>
    <w:unhideWhenUsed/>
    <w:rsid w:val="00A147E3"/>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A147E3"/>
    <w:pPr>
      <w:keepNext/>
      <w:spacing w:before="240" w:line="360" w:lineRule="auto"/>
      <w:jc w:val="center"/>
    </w:pPr>
    <w:rPr>
      <w:sz w:val="18"/>
    </w:rPr>
  </w:style>
  <w:style w:type="paragraph" w:styleId="Verzeichnis7">
    <w:name w:val="toc 7"/>
    <w:basedOn w:val="Standard"/>
    <w:next w:val="Standard"/>
    <w:uiPriority w:val="39"/>
    <w:semiHidden/>
    <w:unhideWhenUsed/>
    <w:rsid w:val="00A147E3"/>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A147E3"/>
    <w:pPr>
      <w:keepNext/>
      <w:spacing w:before="240" w:line="360" w:lineRule="auto"/>
      <w:jc w:val="center"/>
    </w:pPr>
    <w:rPr>
      <w:b/>
      <w:sz w:val="16"/>
    </w:rPr>
  </w:style>
  <w:style w:type="paragraph" w:customStyle="1" w:styleId="Formel">
    <w:name w:val="Formel"/>
    <w:basedOn w:val="Standard"/>
    <w:rsid w:val="00A147E3"/>
    <w:pPr>
      <w:spacing w:before="240" w:after="240"/>
      <w:jc w:val="center"/>
    </w:pPr>
  </w:style>
  <w:style w:type="paragraph" w:customStyle="1" w:styleId="Grafik">
    <w:name w:val="Grafik"/>
    <w:basedOn w:val="Standard"/>
    <w:rsid w:val="00A147E3"/>
    <w:pPr>
      <w:spacing w:before="240" w:after="240"/>
      <w:jc w:val="center"/>
    </w:pPr>
  </w:style>
  <w:style w:type="paragraph" w:customStyle="1" w:styleId="Text">
    <w:name w:val="Text"/>
    <w:basedOn w:val="Standard"/>
    <w:rsid w:val="00A147E3"/>
  </w:style>
  <w:style w:type="paragraph" w:customStyle="1" w:styleId="TabelleTitel">
    <w:name w:val="Tabelle Titel"/>
    <w:basedOn w:val="Standard"/>
    <w:rsid w:val="00A147E3"/>
    <w:pPr>
      <w:spacing w:before="240"/>
      <w:jc w:val="center"/>
    </w:pPr>
  </w:style>
  <w:style w:type="paragraph" w:customStyle="1" w:styleId="Tabelleberschrift">
    <w:name w:val="Tabelle Überschrift"/>
    <w:basedOn w:val="Standard"/>
    <w:next w:val="TabelleText"/>
    <w:rsid w:val="00A147E3"/>
    <w:pPr>
      <w:spacing w:before="60" w:after="60"/>
    </w:pPr>
    <w:rPr>
      <w:b/>
      <w:sz w:val="18"/>
    </w:rPr>
  </w:style>
  <w:style w:type="paragraph" w:customStyle="1" w:styleId="TabelleText">
    <w:name w:val="Tabelle Text"/>
    <w:basedOn w:val="Standard"/>
    <w:rsid w:val="00A147E3"/>
    <w:pPr>
      <w:spacing w:before="60" w:after="60"/>
    </w:pPr>
    <w:rPr>
      <w:sz w:val="18"/>
    </w:rPr>
  </w:style>
  <w:style w:type="paragraph" w:customStyle="1" w:styleId="TabelleAufzhlung">
    <w:name w:val="Tabelle Aufzählung"/>
    <w:basedOn w:val="Standard"/>
    <w:rsid w:val="00A147E3"/>
    <w:pPr>
      <w:numPr>
        <w:numId w:val="42"/>
      </w:numPr>
      <w:spacing w:before="60" w:after="60"/>
    </w:pPr>
    <w:rPr>
      <w:sz w:val="18"/>
    </w:rPr>
  </w:style>
  <w:style w:type="paragraph" w:customStyle="1" w:styleId="TabelleListe">
    <w:name w:val="Tabelle Liste"/>
    <w:basedOn w:val="Standard"/>
    <w:rsid w:val="00A147E3"/>
    <w:pPr>
      <w:numPr>
        <w:numId w:val="43"/>
      </w:numPr>
      <w:spacing w:before="60" w:after="60"/>
    </w:pPr>
    <w:rPr>
      <w:sz w:val="18"/>
    </w:rPr>
  </w:style>
  <w:style w:type="character" w:customStyle="1" w:styleId="Binnenverweis">
    <w:name w:val="Binnenverweis"/>
    <w:basedOn w:val="Absatz-Standardschriftart"/>
    <w:rsid w:val="00A147E3"/>
    <w:rPr>
      <w:noProof/>
      <w:u w:val="none"/>
      <w:shd w:val="clear" w:color="auto" w:fill="FFFFFF"/>
    </w:rPr>
  </w:style>
  <w:style w:type="character" w:customStyle="1" w:styleId="Einzelverweisziel">
    <w:name w:val="Einzelverweisziel"/>
    <w:basedOn w:val="Absatz-Standardschriftart"/>
    <w:rsid w:val="00A147E3"/>
    <w:rPr>
      <w:shd w:val="clear" w:color="auto" w:fill="F3F3F3"/>
    </w:rPr>
  </w:style>
  <w:style w:type="character" w:customStyle="1" w:styleId="Verweis">
    <w:name w:val="Verweis"/>
    <w:basedOn w:val="Absatz-Standardschriftart"/>
    <w:rsid w:val="00A147E3"/>
    <w:rPr>
      <w:color w:val="000080"/>
      <w:shd w:val="clear" w:color="auto" w:fill="auto"/>
    </w:rPr>
  </w:style>
  <w:style w:type="character" w:customStyle="1" w:styleId="VerweisBezugsstelle">
    <w:name w:val="Verweis Bezugsstelle"/>
    <w:basedOn w:val="Absatz-Standardschriftart"/>
    <w:rsid w:val="00A147E3"/>
    <w:rPr>
      <w:color w:val="000080"/>
      <w:shd w:val="clear" w:color="auto" w:fill="auto"/>
    </w:rPr>
  </w:style>
  <w:style w:type="paragraph" w:customStyle="1" w:styleId="VerweisBegrndung">
    <w:name w:val="Verweis Begründung"/>
    <w:basedOn w:val="Standard"/>
    <w:next w:val="Text"/>
    <w:rsid w:val="00A147E3"/>
    <w:pPr>
      <w:keepNext/>
      <w:jc w:val="left"/>
      <w:outlineLvl w:val="2"/>
    </w:pPr>
    <w:rPr>
      <w:b/>
      <w:noProof/>
    </w:rPr>
  </w:style>
  <w:style w:type="paragraph" w:customStyle="1" w:styleId="ListeStufe1">
    <w:name w:val="Liste (Stufe 1)"/>
    <w:basedOn w:val="Standard"/>
    <w:rsid w:val="00A147E3"/>
    <w:pPr>
      <w:numPr>
        <w:numId w:val="41"/>
      </w:numPr>
      <w:tabs>
        <w:tab w:val="left" w:pos="0"/>
      </w:tabs>
    </w:pPr>
  </w:style>
  <w:style w:type="paragraph" w:customStyle="1" w:styleId="ListeFolgeabsatzStufe1">
    <w:name w:val="Liste Folgeabsatz (Stufe 1)"/>
    <w:basedOn w:val="Standard"/>
    <w:rsid w:val="00A147E3"/>
    <w:pPr>
      <w:numPr>
        <w:ilvl w:val="1"/>
        <w:numId w:val="41"/>
      </w:numPr>
    </w:pPr>
  </w:style>
  <w:style w:type="paragraph" w:customStyle="1" w:styleId="ListeStufe2">
    <w:name w:val="Liste (Stufe 2)"/>
    <w:basedOn w:val="Standard"/>
    <w:rsid w:val="00A147E3"/>
    <w:pPr>
      <w:numPr>
        <w:ilvl w:val="2"/>
        <w:numId w:val="41"/>
      </w:numPr>
    </w:pPr>
  </w:style>
  <w:style w:type="paragraph" w:customStyle="1" w:styleId="ListeFolgeabsatzStufe2">
    <w:name w:val="Liste Folgeabsatz (Stufe 2)"/>
    <w:basedOn w:val="Standard"/>
    <w:rsid w:val="00A147E3"/>
    <w:pPr>
      <w:numPr>
        <w:ilvl w:val="3"/>
        <w:numId w:val="41"/>
      </w:numPr>
    </w:pPr>
  </w:style>
  <w:style w:type="paragraph" w:customStyle="1" w:styleId="ListeStufe3">
    <w:name w:val="Liste (Stufe 3)"/>
    <w:basedOn w:val="Standard"/>
    <w:rsid w:val="00A147E3"/>
    <w:pPr>
      <w:numPr>
        <w:ilvl w:val="4"/>
        <w:numId w:val="41"/>
      </w:numPr>
    </w:pPr>
  </w:style>
  <w:style w:type="paragraph" w:customStyle="1" w:styleId="ListeFolgeabsatzStufe3">
    <w:name w:val="Liste Folgeabsatz (Stufe 3)"/>
    <w:basedOn w:val="Standard"/>
    <w:rsid w:val="00A147E3"/>
    <w:pPr>
      <w:numPr>
        <w:ilvl w:val="5"/>
        <w:numId w:val="41"/>
      </w:numPr>
    </w:pPr>
  </w:style>
  <w:style w:type="paragraph" w:customStyle="1" w:styleId="ListeStufe4">
    <w:name w:val="Liste (Stufe 4)"/>
    <w:basedOn w:val="Standard"/>
    <w:rsid w:val="00A147E3"/>
    <w:pPr>
      <w:numPr>
        <w:ilvl w:val="6"/>
        <w:numId w:val="41"/>
      </w:numPr>
    </w:pPr>
  </w:style>
  <w:style w:type="paragraph" w:customStyle="1" w:styleId="ListeFolgeabsatzStufe4">
    <w:name w:val="Liste Folgeabsatz (Stufe 4)"/>
    <w:basedOn w:val="Standard"/>
    <w:rsid w:val="00A147E3"/>
    <w:pPr>
      <w:numPr>
        <w:ilvl w:val="7"/>
        <w:numId w:val="41"/>
      </w:numPr>
    </w:pPr>
  </w:style>
  <w:style w:type="paragraph" w:customStyle="1" w:styleId="ListeStufe1manuell">
    <w:name w:val="Liste (Stufe 1) (manuell)"/>
    <w:basedOn w:val="Standard"/>
    <w:rsid w:val="00A147E3"/>
    <w:pPr>
      <w:tabs>
        <w:tab w:val="left" w:pos="425"/>
      </w:tabs>
      <w:ind w:left="425" w:hanging="425"/>
    </w:pPr>
  </w:style>
  <w:style w:type="paragraph" w:customStyle="1" w:styleId="ListeStufe2manuell">
    <w:name w:val="Liste (Stufe 2) (manuell)"/>
    <w:basedOn w:val="Standard"/>
    <w:rsid w:val="00A147E3"/>
    <w:pPr>
      <w:tabs>
        <w:tab w:val="left" w:pos="850"/>
      </w:tabs>
      <w:ind w:left="850" w:hanging="425"/>
    </w:pPr>
  </w:style>
  <w:style w:type="paragraph" w:customStyle="1" w:styleId="ListeStufe3manuell">
    <w:name w:val="Liste (Stufe 3) (manuell)"/>
    <w:basedOn w:val="Standard"/>
    <w:rsid w:val="00A147E3"/>
    <w:pPr>
      <w:tabs>
        <w:tab w:val="left" w:pos="1276"/>
      </w:tabs>
      <w:ind w:left="1276" w:hanging="425"/>
    </w:pPr>
  </w:style>
  <w:style w:type="paragraph" w:customStyle="1" w:styleId="ListeStufe4manuell">
    <w:name w:val="Liste (Stufe 4) (manuell)"/>
    <w:basedOn w:val="Standard"/>
    <w:next w:val="ListeStufe1manuell"/>
    <w:rsid w:val="00A147E3"/>
    <w:pPr>
      <w:tabs>
        <w:tab w:val="left" w:pos="1984"/>
      </w:tabs>
      <w:ind w:left="1984" w:hanging="709"/>
    </w:pPr>
  </w:style>
  <w:style w:type="paragraph" w:customStyle="1" w:styleId="AufzhlungStufe1">
    <w:name w:val="Aufzählung (Stufe 1)"/>
    <w:basedOn w:val="Standard"/>
    <w:rsid w:val="00A147E3"/>
    <w:pPr>
      <w:numPr>
        <w:numId w:val="36"/>
      </w:numPr>
      <w:tabs>
        <w:tab w:val="left" w:pos="0"/>
      </w:tabs>
    </w:pPr>
  </w:style>
  <w:style w:type="paragraph" w:customStyle="1" w:styleId="AufzhlungFolgeabsatzStufe1">
    <w:name w:val="Aufzählung Folgeabsatz (Stufe 1)"/>
    <w:basedOn w:val="Standard"/>
    <w:rsid w:val="00A147E3"/>
    <w:pPr>
      <w:tabs>
        <w:tab w:val="left" w:pos="425"/>
      </w:tabs>
      <w:ind w:left="425"/>
    </w:pPr>
  </w:style>
  <w:style w:type="paragraph" w:customStyle="1" w:styleId="AufzhlungStufe2">
    <w:name w:val="Aufzählung (Stufe 2)"/>
    <w:basedOn w:val="Standard"/>
    <w:rsid w:val="00A147E3"/>
    <w:pPr>
      <w:numPr>
        <w:numId w:val="37"/>
      </w:numPr>
      <w:tabs>
        <w:tab w:val="left" w:pos="425"/>
      </w:tabs>
    </w:pPr>
  </w:style>
  <w:style w:type="paragraph" w:customStyle="1" w:styleId="AufzhlungFolgeabsatzStufe2">
    <w:name w:val="Aufzählung Folgeabsatz (Stufe 2)"/>
    <w:basedOn w:val="Standard"/>
    <w:rsid w:val="00A147E3"/>
    <w:pPr>
      <w:tabs>
        <w:tab w:val="left" w:pos="794"/>
      </w:tabs>
      <w:ind w:left="850"/>
    </w:pPr>
  </w:style>
  <w:style w:type="paragraph" w:customStyle="1" w:styleId="AufzhlungStufe3">
    <w:name w:val="Aufzählung (Stufe 3)"/>
    <w:basedOn w:val="Standard"/>
    <w:rsid w:val="00A147E3"/>
    <w:pPr>
      <w:numPr>
        <w:numId w:val="38"/>
      </w:numPr>
      <w:tabs>
        <w:tab w:val="left" w:pos="850"/>
      </w:tabs>
    </w:pPr>
  </w:style>
  <w:style w:type="paragraph" w:customStyle="1" w:styleId="AufzhlungFolgeabsatzStufe3">
    <w:name w:val="Aufzählung Folgeabsatz (Stufe 3)"/>
    <w:basedOn w:val="Standard"/>
    <w:rsid w:val="00A147E3"/>
    <w:pPr>
      <w:tabs>
        <w:tab w:val="left" w:pos="1276"/>
      </w:tabs>
      <w:ind w:left="1276"/>
    </w:pPr>
  </w:style>
  <w:style w:type="paragraph" w:customStyle="1" w:styleId="AufzhlungStufe4">
    <w:name w:val="Aufzählung (Stufe 4)"/>
    <w:basedOn w:val="Standard"/>
    <w:rsid w:val="00A147E3"/>
    <w:pPr>
      <w:numPr>
        <w:numId w:val="39"/>
      </w:numPr>
      <w:tabs>
        <w:tab w:val="left" w:pos="1276"/>
      </w:tabs>
    </w:pPr>
  </w:style>
  <w:style w:type="paragraph" w:customStyle="1" w:styleId="AufzhlungFolgeabsatzStufe4">
    <w:name w:val="Aufzählung Folgeabsatz (Stufe 4)"/>
    <w:basedOn w:val="Standard"/>
    <w:rsid w:val="00A147E3"/>
    <w:pPr>
      <w:tabs>
        <w:tab w:val="left" w:pos="1701"/>
      </w:tabs>
      <w:ind w:left="1701"/>
    </w:pPr>
  </w:style>
  <w:style w:type="paragraph" w:customStyle="1" w:styleId="AufzhlungStufe5">
    <w:name w:val="Aufzählung (Stufe 5)"/>
    <w:basedOn w:val="Standard"/>
    <w:rsid w:val="00A147E3"/>
    <w:pPr>
      <w:numPr>
        <w:numId w:val="40"/>
      </w:numPr>
      <w:tabs>
        <w:tab w:val="left" w:pos="1701"/>
      </w:tabs>
    </w:pPr>
  </w:style>
  <w:style w:type="paragraph" w:customStyle="1" w:styleId="AufzhlungFolgeabsatzStufe5">
    <w:name w:val="Aufzählung Folgeabsatz (Stufe 5)"/>
    <w:basedOn w:val="Standard"/>
    <w:rsid w:val="00A147E3"/>
    <w:pPr>
      <w:tabs>
        <w:tab w:val="left" w:pos="2126"/>
      </w:tabs>
      <w:ind w:left="2126"/>
    </w:pPr>
  </w:style>
  <w:style w:type="character" w:styleId="Funotenzeichen">
    <w:name w:val="footnote reference"/>
    <w:basedOn w:val="Absatz-Standardschriftart"/>
    <w:uiPriority w:val="99"/>
    <w:semiHidden/>
    <w:unhideWhenUsed/>
    <w:rsid w:val="00A147E3"/>
    <w:rPr>
      <w:shd w:val="clear" w:color="auto" w:fill="auto"/>
      <w:vertAlign w:val="superscript"/>
    </w:rPr>
  </w:style>
  <w:style w:type="paragraph" w:styleId="Kopfzeile">
    <w:name w:val="header"/>
    <w:basedOn w:val="Standard"/>
    <w:link w:val="KopfzeileZchn"/>
    <w:uiPriority w:val="99"/>
    <w:unhideWhenUsed/>
    <w:rsid w:val="00A147E3"/>
    <w:pPr>
      <w:tabs>
        <w:tab w:val="center" w:pos="4394"/>
        <w:tab w:val="right" w:pos="8787"/>
      </w:tabs>
      <w:spacing w:before="0" w:after="0"/>
    </w:pPr>
  </w:style>
  <w:style w:type="character" w:customStyle="1" w:styleId="KopfzeileZchn">
    <w:name w:val="Kopfzeile Zchn"/>
    <w:basedOn w:val="Absatz-Standardschriftart"/>
    <w:link w:val="Kopfzeile"/>
    <w:uiPriority w:val="99"/>
    <w:rsid w:val="00A147E3"/>
    <w:rPr>
      <w:rFonts w:ascii="Arial" w:hAnsi="Arial" w:cs="Arial"/>
      <w:shd w:val="clear" w:color="auto" w:fill="auto"/>
    </w:rPr>
  </w:style>
  <w:style w:type="character" w:customStyle="1" w:styleId="Marker">
    <w:name w:val="Marker"/>
    <w:basedOn w:val="Absatz-Standardschriftart"/>
    <w:rsid w:val="00A147E3"/>
    <w:rPr>
      <w:color w:val="0000FF"/>
      <w:shd w:val="clear" w:color="auto" w:fill="auto"/>
    </w:rPr>
  </w:style>
  <w:style w:type="character" w:customStyle="1" w:styleId="Marker1">
    <w:name w:val="Marker1"/>
    <w:basedOn w:val="Absatz-Standardschriftart"/>
    <w:rsid w:val="00A147E3"/>
    <w:rPr>
      <w:color w:val="008000"/>
      <w:shd w:val="clear" w:color="auto" w:fill="auto"/>
    </w:rPr>
  </w:style>
  <w:style w:type="character" w:customStyle="1" w:styleId="Marker2">
    <w:name w:val="Marker2"/>
    <w:basedOn w:val="Absatz-Standardschriftart"/>
    <w:rsid w:val="00A147E3"/>
    <w:rPr>
      <w:color w:val="FF0000"/>
      <w:shd w:val="clear" w:color="auto" w:fill="auto"/>
    </w:rPr>
  </w:style>
  <w:style w:type="paragraph" w:customStyle="1" w:styleId="Hinweistext">
    <w:name w:val="Hinweistext"/>
    <w:basedOn w:val="Standard"/>
    <w:next w:val="Text"/>
    <w:rsid w:val="00A147E3"/>
    <w:rPr>
      <w:color w:val="008000"/>
    </w:rPr>
  </w:style>
  <w:style w:type="paragraph" w:customStyle="1" w:styleId="NummerierungStufe1">
    <w:name w:val="Nummerierung (Stufe 1)"/>
    <w:basedOn w:val="Standard"/>
    <w:rsid w:val="00A147E3"/>
    <w:pPr>
      <w:numPr>
        <w:ilvl w:val="3"/>
        <w:numId w:val="56"/>
      </w:numPr>
      <w:outlineLvl w:val="5"/>
    </w:pPr>
  </w:style>
  <w:style w:type="paragraph" w:customStyle="1" w:styleId="NummerierungStufe2">
    <w:name w:val="Nummerierung (Stufe 2)"/>
    <w:basedOn w:val="Standard"/>
    <w:rsid w:val="00A147E3"/>
    <w:pPr>
      <w:numPr>
        <w:ilvl w:val="4"/>
        <w:numId w:val="56"/>
      </w:numPr>
    </w:pPr>
  </w:style>
  <w:style w:type="paragraph" w:customStyle="1" w:styleId="NummerierungStufe3">
    <w:name w:val="Nummerierung (Stufe 3)"/>
    <w:basedOn w:val="Standard"/>
    <w:rsid w:val="00A147E3"/>
    <w:pPr>
      <w:numPr>
        <w:ilvl w:val="5"/>
        <w:numId w:val="56"/>
      </w:numPr>
    </w:pPr>
  </w:style>
  <w:style w:type="paragraph" w:customStyle="1" w:styleId="NummerierungStufe4">
    <w:name w:val="Nummerierung (Stufe 4)"/>
    <w:basedOn w:val="Standard"/>
    <w:rsid w:val="00A147E3"/>
    <w:pPr>
      <w:numPr>
        <w:ilvl w:val="6"/>
        <w:numId w:val="56"/>
      </w:numPr>
    </w:pPr>
  </w:style>
  <w:style w:type="paragraph" w:customStyle="1" w:styleId="NummerierungFolgeabsatzStufe1">
    <w:name w:val="Nummerierung Folgeabsatz (Stufe 1)"/>
    <w:basedOn w:val="Standard"/>
    <w:rsid w:val="00A147E3"/>
    <w:pPr>
      <w:tabs>
        <w:tab w:val="left" w:pos="425"/>
      </w:tabs>
      <w:ind w:left="425"/>
    </w:pPr>
  </w:style>
  <w:style w:type="paragraph" w:customStyle="1" w:styleId="NummerierungFolgeabsatzStufe2">
    <w:name w:val="Nummerierung Folgeabsatz (Stufe 2)"/>
    <w:basedOn w:val="Standard"/>
    <w:rsid w:val="00A147E3"/>
    <w:pPr>
      <w:tabs>
        <w:tab w:val="left" w:pos="850"/>
      </w:tabs>
      <w:ind w:left="850"/>
    </w:pPr>
  </w:style>
  <w:style w:type="paragraph" w:customStyle="1" w:styleId="NummerierungFolgeabsatzStufe3">
    <w:name w:val="Nummerierung Folgeabsatz (Stufe 3)"/>
    <w:basedOn w:val="Standard"/>
    <w:rsid w:val="00A147E3"/>
    <w:pPr>
      <w:tabs>
        <w:tab w:val="left" w:pos="1276"/>
      </w:tabs>
      <w:ind w:left="1276"/>
    </w:pPr>
  </w:style>
  <w:style w:type="paragraph" w:customStyle="1" w:styleId="NummerierungFolgeabsatzStufe4">
    <w:name w:val="Nummerierung Folgeabsatz (Stufe 4)"/>
    <w:basedOn w:val="Standard"/>
    <w:rsid w:val="00A147E3"/>
    <w:pPr>
      <w:tabs>
        <w:tab w:val="left" w:pos="1984"/>
      </w:tabs>
      <w:ind w:left="1984"/>
    </w:pPr>
  </w:style>
  <w:style w:type="paragraph" w:customStyle="1" w:styleId="NummerierungStufe1manuell">
    <w:name w:val="Nummerierung (Stufe 1) (manuell)"/>
    <w:basedOn w:val="Standard"/>
    <w:rsid w:val="00A147E3"/>
    <w:pPr>
      <w:tabs>
        <w:tab w:val="left" w:pos="425"/>
      </w:tabs>
      <w:ind w:left="425" w:hanging="425"/>
    </w:pPr>
  </w:style>
  <w:style w:type="paragraph" w:customStyle="1" w:styleId="NummerierungStufe2manuell">
    <w:name w:val="Nummerierung (Stufe 2) (manuell)"/>
    <w:basedOn w:val="Standard"/>
    <w:rsid w:val="00A147E3"/>
    <w:pPr>
      <w:tabs>
        <w:tab w:val="left" w:pos="850"/>
      </w:tabs>
      <w:ind w:left="850" w:hanging="425"/>
    </w:pPr>
  </w:style>
  <w:style w:type="paragraph" w:customStyle="1" w:styleId="NummerierungStufe3manuell">
    <w:name w:val="Nummerierung (Stufe 3) (manuell)"/>
    <w:basedOn w:val="Standard"/>
    <w:rsid w:val="00A147E3"/>
    <w:pPr>
      <w:tabs>
        <w:tab w:val="left" w:pos="1276"/>
      </w:tabs>
      <w:ind w:left="1276" w:hanging="425"/>
    </w:pPr>
  </w:style>
  <w:style w:type="paragraph" w:customStyle="1" w:styleId="NummerierungStufe4manuell">
    <w:name w:val="Nummerierung (Stufe 4) (manuell)"/>
    <w:basedOn w:val="Standard"/>
    <w:rsid w:val="00A147E3"/>
    <w:pPr>
      <w:tabs>
        <w:tab w:val="left" w:pos="1984"/>
      </w:tabs>
      <w:ind w:left="1984" w:hanging="709"/>
    </w:pPr>
  </w:style>
  <w:style w:type="paragraph" w:customStyle="1" w:styleId="AnlageBezeichnernummeriert">
    <w:name w:val="Anlage Bezeichner (nummeriert)"/>
    <w:basedOn w:val="Standard"/>
    <w:next w:val="AnlageVerweis"/>
    <w:rsid w:val="00A147E3"/>
    <w:pPr>
      <w:numPr>
        <w:numId w:val="44"/>
      </w:numPr>
      <w:spacing w:before="240"/>
      <w:jc w:val="right"/>
      <w:outlineLvl w:val="2"/>
    </w:pPr>
    <w:rPr>
      <w:b/>
      <w:sz w:val="26"/>
    </w:rPr>
  </w:style>
  <w:style w:type="paragraph" w:customStyle="1" w:styleId="AnlageBezeichnernichtnummeriert">
    <w:name w:val="Anlage Bezeichner (nicht nummeriert)"/>
    <w:basedOn w:val="Standard"/>
    <w:next w:val="AnlageVerweis"/>
    <w:rsid w:val="00A147E3"/>
    <w:pPr>
      <w:numPr>
        <w:numId w:val="45"/>
      </w:numPr>
      <w:spacing w:before="240"/>
      <w:jc w:val="right"/>
      <w:outlineLvl w:val="2"/>
    </w:pPr>
    <w:rPr>
      <w:b/>
      <w:sz w:val="26"/>
    </w:rPr>
  </w:style>
  <w:style w:type="paragraph" w:customStyle="1" w:styleId="Anlageberschrift">
    <w:name w:val="Anlage Überschrift"/>
    <w:basedOn w:val="Standard"/>
    <w:next w:val="Text"/>
    <w:rsid w:val="00A147E3"/>
    <w:pPr>
      <w:jc w:val="center"/>
    </w:pPr>
    <w:rPr>
      <w:b/>
      <w:sz w:val="26"/>
    </w:rPr>
  </w:style>
  <w:style w:type="paragraph" w:customStyle="1" w:styleId="AnlageVerzeichnisTitel">
    <w:name w:val="Anlage Verzeichnis Titel"/>
    <w:basedOn w:val="Standard"/>
    <w:next w:val="AnlageVerzeichnis1"/>
    <w:rsid w:val="00A147E3"/>
    <w:pPr>
      <w:jc w:val="center"/>
    </w:pPr>
    <w:rPr>
      <w:b/>
      <w:sz w:val="26"/>
    </w:rPr>
  </w:style>
  <w:style w:type="paragraph" w:customStyle="1" w:styleId="AnlageVerzeichnis1">
    <w:name w:val="Anlage Verzeichnis 1"/>
    <w:basedOn w:val="Standard"/>
    <w:rsid w:val="00A147E3"/>
    <w:pPr>
      <w:jc w:val="center"/>
    </w:pPr>
    <w:rPr>
      <w:b/>
      <w:sz w:val="24"/>
    </w:rPr>
  </w:style>
  <w:style w:type="paragraph" w:customStyle="1" w:styleId="AnlageVerzeichnis2">
    <w:name w:val="Anlage Verzeichnis 2"/>
    <w:basedOn w:val="Standard"/>
    <w:rsid w:val="00A147E3"/>
    <w:pPr>
      <w:jc w:val="center"/>
    </w:pPr>
    <w:rPr>
      <w:b/>
      <w:i/>
      <w:sz w:val="24"/>
    </w:rPr>
  </w:style>
  <w:style w:type="paragraph" w:customStyle="1" w:styleId="AnlageVerzeichnis3">
    <w:name w:val="Anlage Verzeichnis 3"/>
    <w:basedOn w:val="Standard"/>
    <w:rsid w:val="00A147E3"/>
    <w:pPr>
      <w:jc w:val="center"/>
    </w:pPr>
    <w:rPr>
      <w:b/>
    </w:rPr>
  </w:style>
  <w:style w:type="paragraph" w:customStyle="1" w:styleId="AnlageVerzeichnis4">
    <w:name w:val="Anlage Verzeichnis 4"/>
    <w:basedOn w:val="Standard"/>
    <w:rsid w:val="00A147E3"/>
    <w:pPr>
      <w:jc w:val="center"/>
    </w:pPr>
    <w:rPr>
      <w:b/>
      <w:i/>
    </w:rPr>
  </w:style>
  <w:style w:type="paragraph" w:customStyle="1" w:styleId="AnlageBezeichnermanuell">
    <w:name w:val="Anlage Bezeichner (manuell)"/>
    <w:basedOn w:val="Standard"/>
    <w:next w:val="AnlageVerweis"/>
    <w:rsid w:val="00A147E3"/>
    <w:pPr>
      <w:spacing w:before="240"/>
      <w:jc w:val="right"/>
      <w:outlineLvl w:val="2"/>
    </w:pPr>
    <w:rPr>
      <w:b/>
      <w:sz w:val="26"/>
    </w:rPr>
  </w:style>
  <w:style w:type="paragraph" w:customStyle="1" w:styleId="AnlageVerweis">
    <w:name w:val="Anlage Verweis"/>
    <w:basedOn w:val="Standard"/>
    <w:next w:val="Anlageberschrift"/>
    <w:rsid w:val="00A147E3"/>
    <w:pPr>
      <w:spacing w:before="0"/>
      <w:jc w:val="right"/>
    </w:pPr>
  </w:style>
  <w:style w:type="character" w:customStyle="1" w:styleId="berschrift1Zchn">
    <w:name w:val="Überschrift 1 Zchn"/>
    <w:basedOn w:val="Absatz-Standardschriftart"/>
    <w:link w:val="berschrift1"/>
    <w:uiPriority w:val="9"/>
    <w:rsid w:val="00A147E3"/>
    <w:rPr>
      <w:rFonts w:ascii="Arial" w:eastAsiaTheme="majorEastAsia" w:hAnsi="Arial" w:cs="Arial"/>
      <w:b/>
      <w:bCs/>
      <w:kern w:val="32"/>
      <w:szCs w:val="28"/>
    </w:rPr>
  </w:style>
  <w:style w:type="character" w:customStyle="1" w:styleId="berschrift2Zchn">
    <w:name w:val="Überschrift 2 Zchn"/>
    <w:basedOn w:val="Absatz-Standardschriftart"/>
    <w:link w:val="berschrift2"/>
    <w:uiPriority w:val="9"/>
    <w:semiHidden/>
    <w:rsid w:val="00A147E3"/>
    <w:rPr>
      <w:rFonts w:ascii="Arial" w:eastAsiaTheme="majorEastAsia" w:hAnsi="Arial" w:cs="Arial"/>
      <w:b/>
      <w:bCs/>
      <w:i/>
      <w:szCs w:val="26"/>
    </w:rPr>
  </w:style>
  <w:style w:type="character" w:customStyle="1" w:styleId="berschrift3Zchn">
    <w:name w:val="Überschrift 3 Zchn"/>
    <w:basedOn w:val="Absatz-Standardschriftart"/>
    <w:link w:val="berschrift3"/>
    <w:uiPriority w:val="9"/>
    <w:semiHidden/>
    <w:rsid w:val="00A147E3"/>
    <w:rPr>
      <w:rFonts w:ascii="Arial" w:eastAsiaTheme="majorEastAsia" w:hAnsi="Arial" w:cs="Arial"/>
      <w:b/>
      <w:bCs/>
    </w:rPr>
  </w:style>
  <w:style w:type="character" w:customStyle="1" w:styleId="berschrift4Zchn">
    <w:name w:val="Überschrift 4 Zchn"/>
    <w:basedOn w:val="Absatz-Standardschriftart"/>
    <w:link w:val="berschrift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Standard"/>
    <w:next w:val="Standard"/>
    <w:rsid w:val="00A147E3"/>
    <w:pPr>
      <w:keepNext/>
    </w:pPr>
  </w:style>
  <w:style w:type="paragraph" w:customStyle="1" w:styleId="Sonderelementberschriftrechts">
    <w:name w:val="Sonderelement Überschrift (rechts)"/>
    <w:basedOn w:val="Standard"/>
    <w:next w:val="Standard"/>
    <w:rsid w:val="00A147E3"/>
    <w:pPr>
      <w:keepNext/>
    </w:pPr>
  </w:style>
  <w:style w:type="paragraph" w:customStyle="1" w:styleId="Synopsentabelleberschriftlinks">
    <w:name w:val="Synopsentabelle Überschrift (links)"/>
    <w:basedOn w:val="Standard"/>
    <w:next w:val="Standard"/>
    <w:rsid w:val="00A147E3"/>
    <w:pPr>
      <w:spacing w:before="160" w:after="160"/>
      <w:jc w:val="center"/>
    </w:pPr>
    <w:rPr>
      <w:b/>
    </w:rPr>
  </w:style>
  <w:style w:type="paragraph" w:customStyle="1" w:styleId="Synopsentabelleberschriftrechts">
    <w:name w:val="Synopsentabelle Überschrift (rechts)"/>
    <w:basedOn w:val="Standard"/>
    <w:next w:val="Standard"/>
    <w:rsid w:val="00A147E3"/>
    <w:pPr>
      <w:spacing w:before="160" w:after="160"/>
      <w:jc w:val="center"/>
    </w:pPr>
    <w:rPr>
      <w:b/>
    </w:rPr>
  </w:style>
  <w:style w:type="paragraph" w:customStyle="1" w:styleId="BezeichnungStammdokument">
    <w:name w:val="Bezeichnung (Stammdokument)"/>
    <w:basedOn w:val="Standard"/>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Standard"/>
    <w:next w:val="ParagraphBezeichner"/>
    <w:rsid w:val="00A147E3"/>
    <w:pPr>
      <w:jc w:val="center"/>
    </w:pPr>
    <w:rPr>
      <w:b/>
      <w:sz w:val="28"/>
    </w:rPr>
  </w:style>
  <w:style w:type="paragraph" w:customStyle="1" w:styleId="AusfertigungsdatumStammdokument">
    <w:name w:val="Ausfertigungsdatum (Stammdokument)"/>
    <w:basedOn w:val="Standard"/>
    <w:next w:val="EingangsformelStandardStammdokument"/>
    <w:rsid w:val="00A147E3"/>
    <w:pPr>
      <w:jc w:val="center"/>
    </w:pPr>
    <w:rPr>
      <w:b/>
    </w:rPr>
  </w:style>
  <w:style w:type="paragraph" w:customStyle="1" w:styleId="EingangsformelStandardStammdokument">
    <w:name w:val="Eingangsformel Standard (Stammdokument)"/>
    <w:basedOn w:val="Standard"/>
    <w:next w:val="EingangsformelAufzhlungStammdokument"/>
    <w:rsid w:val="00A147E3"/>
    <w:pPr>
      <w:ind w:firstLine="425"/>
    </w:pPr>
  </w:style>
  <w:style w:type="paragraph" w:customStyle="1" w:styleId="EingangsformelAufzhlungStammdokument">
    <w:name w:val="Eingangsformel Aufzählung (Stammdokument)"/>
    <w:basedOn w:val="Standard"/>
    <w:rsid w:val="00A147E3"/>
    <w:pPr>
      <w:numPr>
        <w:numId w:val="57"/>
      </w:numPr>
    </w:pPr>
  </w:style>
  <w:style w:type="paragraph" w:customStyle="1" w:styleId="EingangsformelFolgeabsatzStammdokument">
    <w:name w:val="Eingangsformel Folgeabsatz (Stammdokument)"/>
    <w:basedOn w:val="Standard"/>
    <w:rsid w:val="00A147E3"/>
  </w:style>
  <w:style w:type="paragraph" w:styleId="Verzeichnis9">
    <w:name w:val="toc 9"/>
    <w:basedOn w:val="Standard"/>
    <w:next w:val="Standard"/>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Standard"/>
    <w:rsid w:val="00A147E3"/>
    <w:pPr>
      <w:jc w:val="center"/>
    </w:pPr>
  </w:style>
  <w:style w:type="paragraph" w:customStyle="1" w:styleId="ParagraphBezeichner">
    <w:name w:val="Paragraph Bezeichner"/>
    <w:basedOn w:val="Standard"/>
    <w:next w:val="Paragraphberschrift"/>
    <w:rsid w:val="00A147E3"/>
    <w:pPr>
      <w:keepNext/>
      <w:numPr>
        <w:ilvl w:val="1"/>
        <w:numId w:val="56"/>
      </w:numPr>
      <w:spacing w:before="480"/>
      <w:jc w:val="center"/>
      <w:outlineLvl w:val="3"/>
    </w:pPr>
  </w:style>
  <w:style w:type="paragraph" w:customStyle="1" w:styleId="Paragraphberschrift">
    <w:name w:val="Paragraph Überschrift"/>
    <w:basedOn w:val="Standard"/>
    <w:next w:val="JuristischerAbsatznummeriert"/>
    <w:rsid w:val="00A147E3"/>
    <w:pPr>
      <w:keepNext/>
      <w:jc w:val="center"/>
      <w:outlineLvl w:val="3"/>
    </w:pPr>
    <w:rPr>
      <w:b/>
    </w:rPr>
  </w:style>
  <w:style w:type="paragraph" w:customStyle="1" w:styleId="JuristischerAbsatznummeriert">
    <w:name w:val="Juristischer Absatz (nummeriert)"/>
    <w:basedOn w:val="Standard"/>
    <w:rsid w:val="00A147E3"/>
    <w:pPr>
      <w:numPr>
        <w:ilvl w:val="2"/>
        <w:numId w:val="56"/>
      </w:numPr>
      <w:outlineLvl w:val="4"/>
    </w:pPr>
  </w:style>
  <w:style w:type="paragraph" w:customStyle="1" w:styleId="JuristischerAbsatznichtnummeriert">
    <w:name w:val="Juristischer Absatz (nicht nummeriert)"/>
    <w:basedOn w:val="Standard"/>
    <w:next w:val="NummerierungStufe1"/>
    <w:rsid w:val="00A147E3"/>
    <w:pPr>
      <w:ind w:firstLine="425"/>
      <w:outlineLvl w:val="4"/>
    </w:pPr>
  </w:style>
  <w:style w:type="paragraph" w:customStyle="1" w:styleId="JuristischerAbsatzFolgeabsatz">
    <w:name w:val="Juristischer Absatz Folgeabsatz"/>
    <w:basedOn w:val="Standard"/>
    <w:rsid w:val="00A147E3"/>
    <w:pPr>
      <w:tabs>
        <w:tab w:val="left" w:pos="0"/>
      </w:tabs>
    </w:pPr>
  </w:style>
  <w:style w:type="paragraph" w:customStyle="1" w:styleId="BuchBezeichner">
    <w:name w:val="Buch Bezeichner"/>
    <w:basedOn w:val="Standard"/>
    <w:next w:val="Buchberschrift"/>
    <w:rsid w:val="00A147E3"/>
    <w:pPr>
      <w:keepNext/>
      <w:numPr>
        <w:numId w:val="58"/>
      </w:numPr>
      <w:spacing w:before="480"/>
      <w:jc w:val="center"/>
      <w:outlineLvl w:val="2"/>
    </w:pPr>
    <w:rPr>
      <w:b/>
      <w:sz w:val="26"/>
    </w:rPr>
  </w:style>
  <w:style w:type="paragraph" w:customStyle="1" w:styleId="Buchberschrift">
    <w:name w:val="Buch Überschrift"/>
    <w:basedOn w:val="Standard"/>
    <w:next w:val="ParagraphBezeichner"/>
    <w:rsid w:val="00A147E3"/>
    <w:pPr>
      <w:keepNext/>
      <w:numPr>
        <w:numId w:val="59"/>
      </w:numPr>
      <w:spacing w:after="240"/>
      <w:jc w:val="center"/>
      <w:outlineLvl w:val="2"/>
    </w:pPr>
    <w:rPr>
      <w:b/>
      <w:sz w:val="26"/>
    </w:rPr>
  </w:style>
  <w:style w:type="paragraph" w:customStyle="1" w:styleId="TeilBezeichner">
    <w:name w:val="Teil Bezeichner"/>
    <w:basedOn w:val="Standard"/>
    <w:next w:val="Teilberschrift"/>
    <w:rsid w:val="00A147E3"/>
    <w:pPr>
      <w:keepNext/>
      <w:numPr>
        <w:ilvl w:val="1"/>
        <w:numId w:val="58"/>
      </w:numPr>
      <w:spacing w:before="480"/>
      <w:jc w:val="center"/>
      <w:outlineLvl w:val="2"/>
    </w:pPr>
    <w:rPr>
      <w:spacing w:val="60"/>
      <w:sz w:val="26"/>
    </w:rPr>
  </w:style>
  <w:style w:type="paragraph" w:customStyle="1" w:styleId="Teilberschrift">
    <w:name w:val="Teil Überschrift"/>
    <w:basedOn w:val="Standard"/>
    <w:next w:val="ParagraphBezeichner"/>
    <w:rsid w:val="00A147E3"/>
    <w:pPr>
      <w:keepNext/>
      <w:numPr>
        <w:ilvl w:val="1"/>
        <w:numId w:val="59"/>
      </w:numPr>
      <w:spacing w:after="240"/>
      <w:jc w:val="center"/>
      <w:outlineLvl w:val="2"/>
    </w:pPr>
    <w:rPr>
      <w:spacing w:val="60"/>
      <w:sz w:val="26"/>
    </w:rPr>
  </w:style>
  <w:style w:type="paragraph" w:customStyle="1" w:styleId="KapitelBezeichner">
    <w:name w:val="Kapitel Bezeichner"/>
    <w:basedOn w:val="Standard"/>
    <w:next w:val="Kapitelberschrift"/>
    <w:rsid w:val="00A147E3"/>
    <w:pPr>
      <w:keepNext/>
      <w:numPr>
        <w:ilvl w:val="2"/>
        <w:numId w:val="58"/>
      </w:numPr>
      <w:spacing w:before="480"/>
      <w:jc w:val="center"/>
      <w:outlineLvl w:val="2"/>
    </w:pPr>
    <w:rPr>
      <w:sz w:val="26"/>
    </w:rPr>
  </w:style>
  <w:style w:type="paragraph" w:customStyle="1" w:styleId="Kapitelberschrift">
    <w:name w:val="Kapitel Überschrift"/>
    <w:basedOn w:val="Standard"/>
    <w:next w:val="ParagraphBezeichner"/>
    <w:rsid w:val="00A147E3"/>
    <w:pPr>
      <w:keepNext/>
      <w:numPr>
        <w:ilvl w:val="2"/>
        <w:numId w:val="59"/>
      </w:numPr>
      <w:spacing w:after="240"/>
      <w:jc w:val="center"/>
      <w:outlineLvl w:val="2"/>
    </w:pPr>
    <w:rPr>
      <w:sz w:val="26"/>
    </w:rPr>
  </w:style>
  <w:style w:type="paragraph" w:customStyle="1" w:styleId="AbschnittBezeichner">
    <w:name w:val="Abschnitt Bezeichner"/>
    <w:basedOn w:val="Standard"/>
    <w:next w:val="Abschnittberschrift"/>
    <w:rsid w:val="00A147E3"/>
    <w:pPr>
      <w:keepNext/>
      <w:numPr>
        <w:ilvl w:val="3"/>
        <w:numId w:val="58"/>
      </w:numPr>
      <w:spacing w:before="480"/>
      <w:jc w:val="center"/>
      <w:outlineLvl w:val="2"/>
    </w:pPr>
    <w:rPr>
      <w:b/>
      <w:spacing w:val="60"/>
    </w:rPr>
  </w:style>
  <w:style w:type="paragraph" w:customStyle="1" w:styleId="Abschnittberschrift">
    <w:name w:val="Abschnitt Überschrift"/>
    <w:basedOn w:val="Standard"/>
    <w:next w:val="ParagraphBezeichner"/>
    <w:rsid w:val="00A147E3"/>
    <w:pPr>
      <w:keepNext/>
      <w:numPr>
        <w:ilvl w:val="3"/>
        <w:numId w:val="59"/>
      </w:numPr>
      <w:spacing w:after="240"/>
      <w:jc w:val="center"/>
      <w:outlineLvl w:val="2"/>
    </w:pPr>
    <w:rPr>
      <w:b/>
      <w:spacing w:val="60"/>
    </w:rPr>
  </w:style>
  <w:style w:type="paragraph" w:customStyle="1" w:styleId="UnterabschnittBezeichner">
    <w:name w:val="Unterabschnitt Bezeichner"/>
    <w:basedOn w:val="Standard"/>
    <w:next w:val="Unterabschnittberschrift"/>
    <w:rsid w:val="00A147E3"/>
    <w:pPr>
      <w:keepNext/>
      <w:numPr>
        <w:ilvl w:val="4"/>
        <w:numId w:val="58"/>
      </w:numPr>
      <w:spacing w:before="480"/>
      <w:jc w:val="center"/>
      <w:outlineLvl w:val="2"/>
    </w:pPr>
  </w:style>
  <w:style w:type="paragraph" w:customStyle="1" w:styleId="Unterabschnittberschrift">
    <w:name w:val="Unterabschnitt Überschrift"/>
    <w:basedOn w:val="Standard"/>
    <w:next w:val="ParagraphBezeichner"/>
    <w:rsid w:val="00A147E3"/>
    <w:pPr>
      <w:keepNext/>
      <w:numPr>
        <w:ilvl w:val="4"/>
        <w:numId w:val="59"/>
      </w:numPr>
      <w:spacing w:after="240"/>
      <w:jc w:val="center"/>
      <w:outlineLvl w:val="2"/>
    </w:pPr>
  </w:style>
  <w:style w:type="paragraph" w:customStyle="1" w:styleId="TitelBezeichner">
    <w:name w:val="Titel Bezeichner"/>
    <w:basedOn w:val="Standard"/>
    <w:next w:val="Titelberschrift"/>
    <w:rsid w:val="00A147E3"/>
    <w:pPr>
      <w:keepNext/>
      <w:numPr>
        <w:ilvl w:val="5"/>
        <w:numId w:val="58"/>
      </w:numPr>
      <w:spacing w:before="480"/>
      <w:jc w:val="center"/>
      <w:outlineLvl w:val="2"/>
    </w:pPr>
    <w:rPr>
      <w:spacing w:val="60"/>
    </w:rPr>
  </w:style>
  <w:style w:type="paragraph" w:customStyle="1" w:styleId="Titelberschrift">
    <w:name w:val="Titel Überschrift"/>
    <w:basedOn w:val="Standard"/>
    <w:next w:val="ParagraphBezeichner"/>
    <w:rsid w:val="00A147E3"/>
    <w:pPr>
      <w:keepNext/>
      <w:numPr>
        <w:ilvl w:val="5"/>
        <w:numId w:val="59"/>
      </w:numPr>
      <w:spacing w:after="240"/>
      <w:jc w:val="center"/>
      <w:outlineLvl w:val="2"/>
    </w:pPr>
    <w:rPr>
      <w:spacing w:val="60"/>
    </w:rPr>
  </w:style>
  <w:style w:type="paragraph" w:customStyle="1" w:styleId="UntertitelBezeichner">
    <w:name w:val="Untertitel Bezeichner"/>
    <w:basedOn w:val="Standard"/>
    <w:next w:val="Untertitelberschrift"/>
    <w:rsid w:val="00A147E3"/>
    <w:pPr>
      <w:keepNext/>
      <w:numPr>
        <w:ilvl w:val="6"/>
        <w:numId w:val="58"/>
      </w:numPr>
      <w:spacing w:before="480"/>
      <w:jc w:val="center"/>
      <w:outlineLvl w:val="2"/>
    </w:pPr>
    <w:rPr>
      <w:b/>
    </w:rPr>
  </w:style>
  <w:style w:type="paragraph" w:customStyle="1" w:styleId="Untertitelberschrift">
    <w:name w:val="Untertitel Überschrift"/>
    <w:basedOn w:val="Standard"/>
    <w:next w:val="ParagraphBezeichner"/>
    <w:rsid w:val="00A147E3"/>
    <w:pPr>
      <w:keepNext/>
      <w:numPr>
        <w:ilvl w:val="6"/>
        <w:numId w:val="59"/>
      </w:numPr>
      <w:spacing w:after="240"/>
      <w:jc w:val="center"/>
      <w:outlineLvl w:val="2"/>
    </w:pPr>
    <w:rPr>
      <w:b/>
    </w:rPr>
  </w:style>
  <w:style w:type="paragraph" w:customStyle="1" w:styleId="ParagraphBezeichnermanuell">
    <w:name w:val="Paragraph Bezeichner (manuell)"/>
    <w:basedOn w:val="Standard"/>
    <w:rsid w:val="00A147E3"/>
    <w:pPr>
      <w:keepNext/>
      <w:spacing w:before="480"/>
      <w:jc w:val="center"/>
    </w:pPr>
  </w:style>
  <w:style w:type="paragraph" w:customStyle="1" w:styleId="JuristischerAbsatzmanuell">
    <w:name w:val="Juristischer Absatz (manuell)"/>
    <w:basedOn w:val="Standard"/>
    <w:rsid w:val="00A147E3"/>
    <w:pPr>
      <w:tabs>
        <w:tab w:val="left" w:pos="850"/>
      </w:tabs>
      <w:ind w:firstLine="425"/>
      <w:outlineLvl w:val="4"/>
    </w:pPr>
  </w:style>
  <w:style w:type="paragraph" w:customStyle="1" w:styleId="BuchBezeichnermanuell">
    <w:name w:val="Buch Bezeichner (manuell)"/>
    <w:basedOn w:val="Standard"/>
    <w:rsid w:val="00A147E3"/>
    <w:pPr>
      <w:keepNext/>
      <w:spacing w:before="480"/>
      <w:jc w:val="center"/>
    </w:pPr>
    <w:rPr>
      <w:b/>
      <w:sz w:val="26"/>
    </w:rPr>
  </w:style>
  <w:style w:type="paragraph" w:customStyle="1" w:styleId="TeilBezeichnermanuell">
    <w:name w:val="Teil Bezeichner (manuell)"/>
    <w:basedOn w:val="Standard"/>
    <w:rsid w:val="00A147E3"/>
    <w:pPr>
      <w:keepNext/>
      <w:spacing w:before="480"/>
      <w:jc w:val="center"/>
    </w:pPr>
    <w:rPr>
      <w:spacing w:val="60"/>
      <w:sz w:val="26"/>
    </w:rPr>
  </w:style>
  <w:style w:type="paragraph" w:customStyle="1" w:styleId="KapitelBezeichnermanuell">
    <w:name w:val="Kapitel Bezeichner (manuell)"/>
    <w:basedOn w:val="Standard"/>
    <w:rsid w:val="00A147E3"/>
    <w:pPr>
      <w:keepNext/>
      <w:spacing w:before="480"/>
      <w:jc w:val="center"/>
    </w:pPr>
    <w:rPr>
      <w:sz w:val="26"/>
    </w:rPr>
  </w:style>
  <w:style w:type="paragraph" w:customStyle="1" w:styleId="AbschnittBezeichnermanuell">
    <w:name w:val="Abschnitt Bezeichner (manuell)"/>
    <w:basedOn w:val="Standard"/>
    <w:rsid w:val="00A147E3"/>
    <w:pPr>
      <w:keepNext/>
      <w:spacing w:before="480"/>
      <w:jc w:val="center"/>
    </w:pPr>
    <w:rPr>
      <w:b/>
      <w:spacing w:val="60"/>
    </w:rPr>
  </w:style>
  <w:style w:type="paragraph" w:customStyle="1" w:styleId="UnterabschnittBezeichnermanuell">
    <w:name w:val="Unterabschnitt Bezeichner (manuell)"/>
    <w:basedOn w:val="Standard"/>
    <w:rsid w:val="00A147E3"/>
    <w:pPr>
      <w:keepNext/>
      <w:spacing w:before="480"/>
      <w:jc w:val="center"/>
    </w:pPr>
  </w:style>
  <w:style w:type="paragraph" w:customStyle="1" w:styleId="TitelBezeichnermanuell">
    <w:name w:val="Titel Bezeichner (manuell)"/>
    <w:basedOn w:val="Standard"/>
    <w:rsid w:val="00A147E3"/>
    <w:pPr>
      <w:keepNext/>
      <w:spacing w:before="480"/>
      <w:jc w:val="center"/>
    </w:pPr>
    <w:rPr>
      <w:spacing w:val="60"/>
    </w:rPr>
  </w:style>
  <w:style w:type="paragraph" w:customStyle="1" w:styleId="UntertitelBezeichnermanuell">
    <w:name w:val="Untertitel Bezeichner (manuell)"/>
    <w:basedOn w:val="Standard"/>
    <w:rsid w:val="00A147E3"/>
    <w:pPr>
      <w:keepNext/>
      <w:spacing w:before="480"/>
      <w:jc w:val="center"/>
    </w:pPr>
    <w:rPr>
      <w:b/>
    </w:rPr>
  </w:style>
  <w:style w:type="paragraph" w:customStyle="1" w:styleId="Schlussformel">
    <w:name w:val="Schlussformel"/>
    <w:basedOn w:val="Standard"/>
    <w:next w:val="OrtDatum"/>
    <w:rsid w:val="00A147E3"/>
    <w:pPr>
      <w:spacing w:before="240"/>
      <w:jc w:val="left"/>
    </w:pPr>
  </w:style>
  <w:style w:type="paragraph" w:customStyle="1" w:styleId="Dokumentstatus">
    <w:name w:val="Dokumentstatus"/>
    <w:basedOn w:val="Standard"/>
    <w:rsid w:val="00A147E3"/>
    <w:rPr>
      <w:b/>
      <w:sz w:val="30"/>
    </w:rPr>
  </w:style>
  <w:style w:type="paragraph" w:customStyle="1" w:styleId="Organisation">
    <w:name w:val="Organisation"/>
    <w:basedOn w:val="Standard"/>
    <w:next w:val="Person"/>
    <w:rsid w:val="00A147E3"/>
    <w:pPr>
      <w:jc w:val="center"/>
    </w:pPr>
    <w:rPr>
      <w:spacing w:val="60"/>
    </w:rPr>
  </w:style>
  <w:style w:type="paragraph" w:customStyle="1" w:styleId="Vertretung">
    <w:name w:val="Vertretung"/>
    <w:basedOn w:val="Standard"/>
    <w:next w:val="Person"/>
    <w:rsid w:val="00A147E3"/>
    <w:pPr>
      <w:jc w:val="center"/>
    </w:pPr>
    <w:rPr>
      <w:spacing w:val="60"/>
    </w:rPr>
  </w:style>
  <w:style w:type="paragraph" w:customStyle="1" w:styleId="OrtDatum">
    <w:name w:val="Ort/Datum"/>
    <w:basedOn w:val="Standard"/>
    <w:next w:val="Organisation"/>
    <w:rsid w:val="00A147E3"/>
    <w:pPr>
      <w:jc w:val="right"/>
    </w:pPr>
  </w:style>
  <w:style w:type="paragraph" w:customStyle="1" w:styleId="Person">
    <w:name w:val="Person"/>
    <w:basedOn w:val="Standard"/>
    <w:next w:val="Organisation"/>
    <w:rsid w:val="00A147E3"/>
    <w:pPr>
      <w:jc w:val="center"/>
    </w:pPr>
    <w:rPr>
      <w:spacing w:val="60"/>
    </w:rPr>
  </w:style>
  <w:style w:type="paragraph" w:customStyle="1" w:styleId="BegrndungTitel">
    <w:name w:val="Begründung Titel"/>
    <w:basedOn w:val="Standard"/>
    <w:next w:val="Text"/>
    <w:rsid w:val="00A147E3"/>
    <w:pPr>
      <w:keepNext/>
      <w:spacing w:before="240" w:after="60"/>
      <w:outlineLvl w:val="0"/>
    </w:pPr>
    <w:rPr>
      <w:b/>
      <w:kern w:val="32"/>
      <w:sz w:val="26"/>
    </w:rPr>
  </w:style>
  <w:style w:type="paragraph" w:customStyle="1" w:styleId="BegrndungAllgemeinerTeil">
    <w:name w:val="Begründung (Allgemeiner Teil)"/>
    <w:basedOn w:val="Standard"/>
    <w:next w:val="Text"/>
    <w:rsid w:val="00A147E3"/>
    <w:pPr>
      <w:keepNext/>
      <w:spacing w:before="480" w:after="160"/>
      <w:outlineLvl w:val="1"/>
    </w:pPr>
    <w:rPr>
      <w:b/>
    </w:rPr>
  </w:style>
  <w:style w:type="paragraph" w:customStyle="1" w:styleId="BegrndungBesondererTeil">
    <w:name w:val="Begründung (Besonderer Teil)"/>
    <w:basedOn w:val="Standard"/>
    <w:next w:val="Text"/>
    <w:rsid w:val="00A147E3"/>
    <w:pPr>
      <w:keepNext/>
      <w:spacing w:before="480" w:after="160"/>
      <w:outlineLvl w:val="1"/>
    </w:pPr>
    <w:rPr>
      <w:b/>
    </w:rPr>
  </w:style>
  <w:style w:type="paragraph" w:customStyle="1" w:styleId="berschriftrmischBegrndung">
    <w:name w:val="Überschrift römisch (Begründung)"/>
    <w:basedOn w:val="Standard"/>
    <w:next w:val="Text"/>
    <w:rsid w:val="00A147E3"/>
    <w:pPr>
      <w:keepNext/>
      <w:numPr>
        <w:numId w:val="60"/>
      </w:numPr>
      <w:spacing w:before="360"/>
      <w:outlineLvl w:val="2"/>
    </w:pPr>
    <w:rPr>
      <w:b/>
    </w:rPr>
  </w:style>
  <w:style w:type="paragraph" w:customStyle="1" w:styleId="berschriftarabischBegrndung">
    <w:name w:val="Überschrift arabisch (Begründung)"/>
    <w:basedOn w:val="Standard"/>
    <w:next w:val="Text"/>
    <w:rsid w:val="00A147E3"/>
    <w:pPr>
      <w:keepNext/>
      <w:numPr>
        <w:ilvl w:val="1"/>
        <w:numId w:val="60"/>
      </w:numPr>
      <w:outlineLvl w:val="3"/>
    </w:pPr>
    <w:rPr>
      <w:b/>
    </w:rPr>
  </w:style>
  <w:style w:type="paragraph" w:customStyle="1" w:styleId="Initiant">
    <w:name w:val="Initiant"/>
    <w:basedOn w:val="Standard"/>
    <w:next w:val="VorblattBezeichnung"/>
    <w:rsid w:val="00A147E3"/>
    <w:pPr>
      <w:spacing w:after="620"/>
      <w:jc w:val="left"/>
    </w:pPr>
    <w:rPr>
      <w:b/>
      <w:sz w:val="26"/>
    </w:rPr>
  </w:style>
  <w:style w:type="paragraph" w:customStyle="1" w:styleId="VorblattBezeichnung">
    <w:name w:val="Vorblatt Bezeichnung"/>
    <w:basedOn w:val="Standard"/>
    <w:next w:val="VorblattTitelProblemundZiel"/>
    <w:rsid w:val="00A147E3"/>
    <w:pPr>
      <w:outlineLvl w:val="0"/>
    </w:pPr>
    <w:rPr>
      <w:b/>
      <w:sz w:val="26"/>
    </w:rPr>
  </w:style>
  <w:style w:type="paragraph" w:customStyle="1" w:styleId="VorblattTitelProblemundZiel">
    <w:name w:val="Vorblatt Titel (Problem und Ziel)"/>
    <w:basedOn w:val="Standard"/>
    <w:next w:val="Text"/>
    <w:rsid w:val="00A147E3"/>
    <w:pPr>
      <w:keepNext/>
      <w:spacing w:before="360"/>
      <w:outlineLvl w:val="1"/>
    </w:pPr>
    <w:rPr>
      <w:b/>
      <w:sz w:val="26"/>
    </w:rPr>
  </w:style>
  <w:style w:type="paragraph" w:customStyle="1" w:styleId="VorblattTitelLsung">
    <w:name w:val="Vorblatt Titel (Lösung)"/>
    <w:basedOn w:val="Standard"/>
    <w:next w:val="Text"/>
    <w:rsid w:val="00A147E3"/>
    <w:pPr>
      <w:keepNext/>
      <w:spacing w:before="360"/>
      <w:outlineLvl w:val="1"/>
    </w:pPr>
    <w:rPr>
      <w:b/>
      <w:sz w:val="26"/>
    </w:rPr>
  </w:style>
  <w:style w:type="paragraph" w:customStyle="1" w:styleId="VorblattTitelAlternativen">
    <w:name w:val="Vorblatt Titel (Alternativen)"/>
    <w:basedOn w:val="Standard"/>
    <w:next w:val="Text"/>
    <w:rsid w:val="00A147E3"/>
    <w:pPr>
      <w:keepNext/>
      <w:spacing w:before="360"/>
      <w:outlineLvl w:val="1"/>
    </w:pPr>
    <w:rPr>
      <w:b/>
      <w:sz w:val="26"/>
    </w:rPr>
  </w:style>
  <w:style w:type="paragraph" w:customStyle="1" w:styleId="VorblattTitelFinanzielleAuswirkungen">
    <w:name w:val="Vorblatt Titel (Finanzielle Auswirkungen)"/>
    <w:basedOn w:val="Standard"/>
    <w:next w:val="Text"/>
    <w:rsid w:val="00A147E3"/>
    <w:pPr>
      <w:spacing w:before="360"/>
    </w:pPr>
    <w:rPr>
      <w:b/>
      <w:sz w:val="26"/>
    </w:rPr>
  </w:style>
  <w:style w:type="paragraph" w:customStyle="1" w:styleId="VorblattTitelHaushaltsausgabenohneVollzugsaufwand">
    <w:name w:val="Vorblatt Titel (Haushaltsausgaben ohne Vollzugsaufwand)"/>
    <w:basedOn w:val="Standard"/>
    <w:next w:val="Text"/>
    <w:rsid w:val="00A147E3"/>
    <w:pPr>
      <w:spacing w:before="360"/>
    </w:pPr>
    <w:rPr>
      <w:sz w:val="26"/>
    </w:rPr>
  </w:style>
  <w:style w:type="paragraph" w:customStyle="1" w:styleId="VorblattTitelVollzugsaufwand">
    <w:name w:val="Vorblatt Titel (Vollzugsaufwand)"/>
    <w:basedOn w:val="Standard"/>
    <w:next w:val="Text"/>
    <w:rsid w:val="00A147E3"/>
    <w:pPr>
      <w:spacing w:before="360"/>
    </w:pPr>
    <w:rPr>
      <w:sz w:val="26"/>
    </w:rPr>
  </w:style>
  <w:style w:type="paragraph" w:customStyle="1" w:styleId="VorblattTitelSonstigeKosten">
    <w:name w:val="Vorblatt Titel (Sonstige Kosten)"/>
    <w:basedOn w:val="Standard"/>
    <w:next w:val="Text"/>
    <w:rsid w:val="00A147E3"/>
    <w:pPr>
      <w:spacing w:before="360"/>
    </w:pPr>
    <w:rPr>
      <w:b/>
      <w:sz w:val="26"/>
    </w:rPr>
  </w:style>
  <w:style w:type="paragraph" w:customStyle="1" w:styleId="VorblattTitelBrokratiekosten">
    <w:name w:val="Vorblatt Titel (Bürokratiekosten)"/>
    <w:basedOn w:val="Standard"/>
    <w:next w:val="Text"/>
    <w:rsid w:val="00A147E3"/>
    <w:pPr>
      <w:spacing w:before="360"/>
    </w:pPr>
    <w:rPr>
      <w:b/>
      <w:sz w:val="26"/>
    </w:rPr>
  </w:style>
  <w:style w:type="paragraph" w:customStyle="1" w:styleId="VorblattUntertitelBrokratiekosten">
    <w:name w:val="Vorblatt Untertitel (Bürokratiekosten)"/>
    <w:basedOn w:val="Standard"/>
    <w:next w:val="VorblattTextBrokratiekosten"/>
    <w:rsid w:val="00A147E3"/>
    <w:pPr>
      <w:tabs>
        <w:tab w:val="left" w:pos="283"/>
      </w:tabs>
    </w:pPr>
  </w:style>
  <w:style w:type="paragraph" w:customStyle="1" w:styleId="VorblattTextBrokratiekosten">
    <w:name w:val="Vorblatt Text (Bürokratiekosten)"/>
    <w:basedOn w:val="Standard"/>
    <w:rsid w:val="00A147E3"/>
    <w:pPr>
      <w:ind w:left="3402" w:hanging="3118"/>
    </w:pPr>
  </w:style>
  <w:style w:type="paragraph" w:customStyle="1" w:styleId="VorblattDokumentstatus">
    <w:name w:val="Vorblatt Dokumentstatus"/>
    <w:basedOn w:val="Standard"/>
    <w:next w:val="VorblattBezeichnung"/>
    <w:rsid w:val="00A147E3"/>
    <w:pPr>
      <w:jc w:val="left"/>
    </w:pPr>
    <w:rPr>
      <w:b/>
      <w:sz w:val="30"/>
    </w:rPr>
  </w:style>
  <w:style w:type="paragraph" w:customStyle="1" w:styleId="VorblattKurzbezeichnung-Abkrzung">
    <w:name w:val="Vorblatt Kurzbezeichnung - Abkürzung"/>
    <w:basedOn w:val="Standard"/>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Standard"/>
    <w:next w:val="Text"/>
    <w:rsid w:val="00A147E3"/>
    <w:pPr>
      <w:keepNext/>
      <w:spacing w:before="360"/>
      <w:outlineLvl w:val="1"/>
    </w:pPr>
    <w:rPr>
      <w:b/>
      <w:sz w:val="26"/>
    </w:rPr>
  </w:style>
  <w:style w:type="paragraph" w:customStyle="1" w:styleId="VorblattTitelErfllungsaufwand">
    <w:name w:val="Vorblatt Titel (Erfüllungsaufwand)"/>
    <w:basedOn w:val="Standard"/>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Standard"/>
    <w:next w:val="Text"/>
    <w:rsid w:val="00A147E3"/>
    <w:pPr>
      <w:keepNext/>
      <w:spacing w:before="360"/>
      <w:outlineLvl w:val="2"/>
    </w:pPr>
    <w:rPr>
      <w:b/>
      <w:sz w:val="26"/>
    </w:rPr>
  </w:style>
  <w:style w:type="paragraph" w:customStyle="1" w:styleId="VorblattTitelErfllungsaufwandWirtschaft">
    <w:name w:val="Vorblatt Titel (Erfüllungsaufwand Wirtschaft)"/>
    <w:basedOn w:val="Standard"/>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Standard"/>
    <w:next w:val="Text"/>
    <w:rsid w:val="00A147E3"/>
    <w:pPr>
      <w:keepNext/>
      <w:spacing w:before="360"/>
      <w:outlineLvl w:val="3"/>
    </w:pPr>
    <w:rPr>
      <w:sz w:val="26"/>
    </w:rPr>
  </w:style>
  <w:style w:type="paragraph" w:customStyle="1" w:styleId="VorblattTitelErfllungsaufwandVerwaltung">
    <w:name w:val="Vorblatt Titel (Erfüllungsaufwand Verwaltung)"/>
    <w:basedOn w:val="Standard"/>
    <w:next w:val="Text"/>
    <w:rsid w:val="00A147E3"/>
    <w:pPr>
      <w:keepNext/>
      <w:spacing w:before="360"/>
      <w:outlineLvl w:val="2"/>
    </w:pPr>
    <w:rPr>
      <w:b/>
      <w:sz w:val="26"/>
    </w:rPr>
  </w:style>
  <w:style w:type="paragraph" w:customStyle="1" w:styleId="VorblattTitelWeitereKosten">
    <w:name w:val="Vorblatt Titel (Weitere Kosten)"/>
    <w:basedOn w:val="Standard"/>
    <w:next w:val="Text"/>
    <w:rsid w:val="00A147E3"/>
    <w:pPr>
      <w:keepNext/>
      <w:spacing w:before="360"/>
      <w:outlineLvl w:val="1"/>
    </w:pPr>
    <w:rPr>
      <w:b/>
      <w:sz w:val="26"/>
    </w:rPr>
  </w:style>
  <w:style w:type="paragraph" w:customStyle="1" w:styleId="RevisionJuristischerAbsatz">
    <w:name w:val="Revision Juristischer Absatz"/>
    <w:basedOn w:val="Standard"/>
    <w:rsid w:val="00A147E3"/>
    <w:pPr>
      <w:numPr>
        <w:ilvl w:val="2"/>
        <w:numId w:val="47"/>
      </w:numPr>
      <w:outlineLvl w:val="8"/>
    </w:pPr>
    <w:rPr>
      <w:color w:val="800000"/>
    </w:rPr>
  </w:style>
  <w:style w:type="paragraph" w:customStyle="1" w:styleId="RevisionJuristischerAbsatzmanuell">
    <w:name w:val="Revision Juristischer Absatz (manuell)"/>
    <w:basedOn w:val="Standard"/>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Standard"/>
    <w:rsid w:val="00A147E3"/>
    <w:rPr>
      <w:color w:val="800000"/>
    </w:rPr>
  </w:style>
  <w:style w:type="paragraph" w:customStyle="1" w:styleId="RevisionNummerierungStufe1manuell">
    <w:name w:val="Revision Nummerierung (Stufe 1) (manuell)"/>
    <w:basedOn w:val="Standard"/>
    <w:rsid w:val="00A147E3"/>
    <w:pPr>
      <w:tabs>
        <w:tab w:val="left" w:pos="425"/>
      </w:tabs>
      <w:ind w:left="425" w:hanging="425"/>
    </w:pPr>
    <w:rPr>
      <w:color w:val="800000"/>
    </w:rPr>
  </w:style>
  <w:style w:type="paragraph" w:customStyle="1" w:styleId="RevisionNummerierungFolgeabsatzStufe1">
    <w:name w:val="Revision Nummerierung Folgeabsatz (Stufe 1)"/>
    <w:basedOn w:val="Standard"/>
    <w:rsid w:val="00A147E3"/>
    <w:pPr>
      <w:ind w:left="425"/>
    </w:pPr>
    <w:rPr>
      <w:color w:val="800000"/>
    </w:rPr>
  </w:style>
  <w:style w:type="paragraph" w:customStyle="1" w:styleId="RevisionNummerierungStufe2manuell">
    <w:name w:val="Revision Nummerierung (Stufe 2) (manuell)"/>
    <w:basedOn w:val="Standard"/>
    <w:rsid w:val="00A147E3"/>
    <w:pPr>
      <w:tabs>
        <w:tab w:val="left" w:pos="850"/>
      </w:tabs>
      <w:ind w:left="850" w:hanging="425"/>
    </w:pPr>
    <w:rPr>
      <w:color w:val="800000"/>
    </w:rPr>
  </w:style>
  <w:style w:type="paragraph" w:customStyle="1" w:styleId="RevisionNummerierungFolgeabsatzStufe2">
    <w:name w:val="Revision Nummerierung Folgeabsatz (Stufe 2)"/>
    <w:basedOn w:val="Standard"/>
    <w:rsid w:val="00A147E3"/>
    <w:pPr>
      <w:ind w:left="850"/>
    </w:pPr>
    <w:rPr>
      <w:color w:val="800000"/>
    </w:rPr>
  </w:style>
  <w:style w:type="paragraph" w:customStyle="1" w:styleId="RevisionNummerierungStufe3manuell">
    <w:name w:val="Revision Nummerierung (Stufe 3) (manuell)"/>
    <w:basedOn w:val="Standard"/>
    <w:rsid w:val="00A147E3"/>
    <w:pPr>
      <w:tabs>
        <w:tab w:val="left" w:pos="1276"/>
      </w:tabs>
      <w:ind w:left="1276" w:hanging="425"/>
    </w:pPr>
    <w:rPr>
      <w:color w:val="800000"/>
    </w:rPr>
  </w:style>
  <w:style w:type="paragraph" w:customStyle="1" w:styleId="RevisionNummerierungFolgeabsatzStufe3">
    <w:name w:val="Revision Nummerierung Folgeabsatz (Stufe 3)"/>
    <w:basedOn w:val="Standard"/>
    <w:rsid w:val="00A147E3"/>
    <w:pPr>
      <w:ind w:left="1276"/>
    </w:pPr>
    <w:rPr>
      <w:color w:val="800000"/>
    </w:rPr>
  </w:style>
  <w:style w:type="paragraph" w:customStyle="1" w:styleId="RevisionNummerierungStufe4manuell">
    <w:name w:val="Revision Nummerierung (Stufe 4) (manuell)"/>
    <w:basedOn w:val="Standard"/>
    <w:rsid w:val="00A147E3"/>
    <w:pPr>
      <w:tabs>
        <w:tab w:val="left" w:pos="1701"/>
      </w:tabs>
      <w:ind w:left="1984" w:hanging="709"/>
    </w:pPr>
    <w:rPr>
      <w:color w:val="800000"/>
    </w:rPr>
  </w:style>
  <w:style w:type="paragraph" w:customStyle="1" w:styleId="RevisionNummerierungFolgeabsatzStufe4">
    <w:name w:val="Revision Nummerierung Folgeabsatz (Stufe 4)"/>
    <w:basedOn w:val="Standard"/>
    <w:rsid w:val="00A147E3"/>
    <w:pPr>
      <w:ind w:left="1984"/>
    </w:pPr>
    <w:rPr>
      <w:color w:val="800000"/>
    </w:rPr>
  </w:style>
  <w:style w:type="paragraph" w:customStyle="1" w:styleId="RevisionNummerierungStufe1">
    <w:name w:val="Revision Nummerierung (Stufe 1)"/>
    <w:basedOn w:val="Standard"/>
    <w:rsid w:val="00A147E3"/>
    <w:pPr>
      <w:numPr>
        <w:ilvl w:val="3"/>
        <w:numId w:val="47"/>
      </w:numPr>
    </w:pPr>
    <w:rPr>
      <w:color w:val="800000"/>
    </w:rPr>
  </w:style>
  <w:style w:type="paragraph" w:customStyle="1" w:styleId="RevisionNummerierungStufe2">
    <w:name w:val="Revision Nummerierung (Stufe 2)"/>
    <w:basedOn w:val="Standard"/>
    <w:rsid w:val="00A147E3"/>
    <w:pPr>
      <w:numPr>
        <w:ilvl w:val="4"/>
        <w:numId w:val="47"/>
      </w:numPr>
    </w:pPr>
    <w:rPr>
      <w:color w:val="800000"/>
    </w:rPr>
  </w:style>
  <w:style w:type="paragraph" w:customStyle="1" w:styleId="RevisionNummerierungStufe3">
    <w:name w:val="Revision Nummerierung (Stufe 3)"/>
    <w:basedOn w:val="Standard"/>
    <w:rsid w:val="00A147E3"/>
    <w:pPr>
      <w:numPr>
        <w:ilvl w:val="5"/>
        <w:numId w:val="47"/>
      </w:numPr>
    </w:pPr>
    <w:rPr>
      <w:color w:val="800000"/>
    </w:rPr>
  </w:style>
  <w:style w:type="paragraph" w:customStyle="1" w:styleId="RevisionNummerierungStufe4">
    <w:name w:val="Revision Nummerierung (Stufe 4)"/>
    <w:basedOn w:val="Standard"/>
    <w:rsid w:val="00A147E3"/>
    <w:pPr>
      <w:numPr>
        <w:ilvl w:val="6"/>
        <w:numId w:val="47"/>
      </w:numPr>
    </w:pPr>
    <w:rPr>
      <w:color w:val="800000"/>
    </w:rPr>
  </w:style>
  <w:style w:type="character" w:customStyle="1" w:styleId="RevisionText">
    <w:name w:val="Revision Text"/>
    <w:basedOn w:val="Absatz-Standardschriftart"/>
    <w:rsid w:val="00A147E3"/>
    <w:rPr>
      <w:color w:val="800000"/>
      <w:shd w:val="clear" w:color="auto" w:fill="auto"/>
    </w:rPr>
  </w:style>
  <w:style w:type="paragraph" w:customStyle="1" w:styleId="RevisionParagraphBezeichner">
    <w:name w:val="Revision Paragraph Bezeichner"/>
    <w:basedOn w:val="Standard"/>
    <w:next w:val="RevisionParagraphberschrift"/>
    <w:rsid w:val="00A147E3"/>
    <w:pPr>
      <w:keepNext/>
      <w:numPr>
        <w:ilvl w:val="1"/>
        <w:numId w:val="47"/>
      </w:numPr>
      <w:spacing w:before="480"/>
      <w:jc w:val="center"/>
      <w:outlineLvl w:val="7"/>
    </w:pPr>
    <w:rPr>
      <w:color w:val="800000"/>
    </w:rPr>
  </w:style>
  <w:style w:type="paragraph" w:customStyle="1" w:styleId="RevisionParagraphBezeichnermanuell">
    <w:name w:val="Revision Paragraph Bezeichner (manuell)"/>
    <w:basedOn w:val="Standard"/>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Standard"/>
    <w:next w:val="RevisionJuristischerAbsatz"/>
    <w:rsid w:val="00A147E3"/>
    <w:pPr>
      <w:keepNext/>
      <w:jc w:val="center"/>
      <w:outlineLvl w:val="7"/>
    </w:pPr>
    <w:rPr>
      <w:color w:val="800000"/>
    </w:rPr>
  </w:style>
  <w:style w:type="paragraph" w:customStyle="1" w:styleId="RevisionBuchBezeichner">
    <w:name w:val="Revision Buch Bezeichner"/>
    <w:basedOn w:val="Standard"/>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Standard"/>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Standard"/>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Standard"/>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Standard"/>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Standard"/>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Standard"/>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Standard"/>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Standard"/>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Standard"/>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Standard"/>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Standard"/>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Standard"/>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Standard"/>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Standard"/>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Standard"/>
    <w:next w:val="RevisionArtikelberschrift"/>
    <w:rsid w:val="00A147E3"/>
    <w:pPr>
      <w:keepNext/>
      <w:numPr>
        <w:numId w:val="47"/>
      </w:numPr>
      <w:spacing w:before="480" w:after="240"/>
      <w:jc w:val="center"/>
      <w:outlineLvl w:val="7"/>
    </w:pPr>
    <w:rPr>
      <w:color w:val="800000"/>
      <w:sz w:val="28"/>
    </w:rPr>
  </w:style>
  <w:style w:type="paragraph" w:customStyle="1" w:styleId="RevisionArtikelberschrift">
    <w:name w:val="Revision Artikel Überschrift"/>
    <w:basedOn w:val="Standard"/>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Standard"/>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Standard"/>
    <w:rsid w:val="00A147E3"/>
    <w:pPr>
      <w:jc w:val="center"/>
    </w:pPr>
    <w:rPr>
      <w:color w:val="800000"/>
      <w:sz w:val="26"/>
    </w:rPr>
  </w:style>
  <w:style w:type="paragraph" w:customStyle="1" w:styleId="RevisionEingangsformelStandardStammdokument">
    <w:name w:val="Revision Eingangsformel Standard (Stammdokument)"/>
    <w:basedOn w:val="Standard"/>
    <w:rsid w:val="00A147E3"/>
    <w:pPr>
      <w:ind w:firstLine="425"/>
    </w:pPr>
    <w:rPr>
      <w:color w:val="800000"/>
    </w:rPr>
  </w:style>
  <w:style w:type="paragraph" w:customStyle="1" w:styleId="RevisionEingangsformelAufzhlungStammdokument">
    <w:name w:val="Revision Eingangsformel Aufzählung (Stammdokument)"/>
    <w:basedOn w:val="Standard"/>
    <w:rsid w:val="00A147E3"/>
    <w:pPr>
      <w:numPr>
        <w:numId w:val="54"/>
      </w:numPr>
    </w:pPr>
    <w:rPr>
      <w:color w:val="800000"/>
    </w:rPr>
  </w:style>
  <w:style w:type="paragraph" w:customStyle="1" w:styleId="RevisionVerzeichnisTitelStammdokument">
    <w:name w:val="Revision Verzeichnis Titel (Stammdokument)"/>
    <w:basedOn w:val="Standard"/>
    <w:next w:val="RevisionVerzeichnis2"/>
    <w:rsid w:val="00A147E3"/>
    <w:pPr>
      <w:jc w:val="center"/>
    </w:pPr>
    <w:rPr>
      <w:color w:val="800000"/>
    </w:rPr>
  </w:style>
  <w:style w:type="paragraph" w:customStyle="1" w:styleId="RevisionVerzeichnis1">
    <w:name w:val="Revision Verzeichnis 1"/>
    <w:basedOn w:val="Standard"/>
    <w:rsid w:val="00A147E3"/>
    <w:pPr>
      <w:tabs>
        <w:tab w:val="left" w:pos="1191"/>
      </w:tabs>
      <w:ind w:left="1191" w:hanging="1191"/>
    </w:pPr>
    <w:rPr>
      <w:color w:val="800000"/>
    </w:rPr>
  </w:style>
  <w:style w:type="paragraph" w:customStyle="1" w:styleId="RevisionVerzeichnis2">
    <w:name w:val="Revision Verzeichnis 2"/>
    <w:basedOn w:val="Standard"/>
    <w:rsid w:val="00A147E3"/>
    <w:pPr>
      <w:keepNext/>
      <w:spacing w:before="240" w:line="360" w:lineRule="auto"/>
      <w:jc w:val="center"/>
    </w:pPr>
    <w:rPr>
      <w:color w:val="800000"/>
    </w:rPr>
  </w:style>
  <w:style w:type="paragraph" w:customStyle="1" w:styleId="RevisionVerzeichnis3">
    <w:name w:val="Revision Verzeichnis 3"/>
    <w:basedOn w:val="Standard"/>
    <w:rsid w:val="00A147E3"/>
    <w:pPr>
      <w:keepNext/>
      <w:spacing w:before="240" w:line="360" w:lineRule="auto"/>
      <w:jc w:val="center"/>
    </w:pPr>
    <w:rPr>
      <w:color w:val="800000"/>
      <w:sz w:val="18"/>
    </w:rPr>
  </w:style>
  <w:style w:type="paragraph" w:customStyle="1" w:styleId="RevisionVerzeichnis4">
    <w:name w:val="Revision Verzeichnis 4"/>
    <w:basedOn w:val="Standard"/>
    <w:rsid w:val="00A147E3"/>
    <w:pPr>
      <w:keepNext/>
      <w:spacing w:before="240" w:line="360" w:lineRule="auto"/>
      <w:jc w:val="center"/>
    </w:pPr>
    <w:rPr>
      <w:color w:val="800000"/>
      <w:sz w:val="18"/>
    </w:rPr>
  </w:style>
  <w:style w:type="paragraph" w:customStyle="1" w:styleId="RevisionVerzeichnis5">
    <w:name w:val="Revision Verzeichnis 5"/>
    <w:basedOn w:val="Standard"/>
    <w:rsid w:val="00A147E3"/>
    <w:pPr>
      <w:keepNext/>
      <w:spacing w:before="240" w:line="360" w:lineRule="auto"/>
      <w:jc w:val="center"/>
    </w:pPr>
    <w:rPr>
      <w:color w:val="800000"/>
      <w:sz w:val="18"/>
    </w:rPr>
  </w:style>
  <w:style w:type="paragraph" w:customStyle="1" w:styleId="RevisionVerzeichnis6">
    <w:name w:val="Revision Verzeichnis 6"/>
    <w:basedOn w:val="Standard"/>
    <w:rsid w:val="00A147E3"/>
    <w:pPr>
      <w:keepNext/>
      <w:spacing w:before="240" w:line="360" w:lineRule="auto"/>
      <w:jc w:val="center"/>
    </w:pPr>
    <w:rPr>
      <w:color w:val="800000"/>
      <w:sz w:val="18"/>
    </w:rPr>
  </w:style>
  <w:style w:type="paragraph" w:customStyle="1" w:styleId="RevisionVerzeichnis7">
    <w:name w:val="Revision Verzeichnis 7"/>
    <w:basedOn w:val="Standard"/>
    <w:rsid w:val="00A147E3"/>
    <w:pPr>
      <w:keepNext/>
      <w:spacing w:before="240" w:line="360" w:lineRule="auto"/>
      <w:jc w:val="center"/>
    </w:pPr>
    <w:rPr>
      <w:color w:val="800000"/>
      <w:sz w:val="16"/>
    </w:rPr>
  </w:style>
  <w:style w:type="paragraph" w:customStyle="1" w:styleId="RevisionVerzeichnis8">
    <w:name w:val="Revision Verzeichnis 8"/>
    <w:basedOn w:val="Standard"/>
    <w:rsid w:val="00A147E3"/>
    <w:pPr>
      <w:keepNext/>
      <w:spacing w:before="240" w:line="360" w:lineRule="auto"/>
      <w:jc w:val="center"/>
    </w:pPr>
    <w:rPr>
      <w:color w:val="800000"/>
      <w:sz w:val="16"/>
    </w:rPr>
  </w:style>
  <w:style w:type="paragraph" w:customStyle="1" w:styleId="RevisionVerzeichnis9">
    <w:name w:val="Revision Verzeichnis 9"/>
    <w:basedOn w:val="Standard"/>
    <w:rsid w:val="00A147E3"/>
    <w:pPr>
      <w:tabs>
        <w:tab w:val="left" w:pos="624"/>
      </w:tabs>
      <w:ind w:left="624" w:hanging="624"/>
    </w:pPr>
    <w:rPr>
      <w:color w:val="800000"/>
      <w:sz w:val="16"/>
    </w:rPr>
  </w:style>
  <w:style w:type="paragraph" w:customStyle="1" w:styleId="RevisionAnlageBezeichner">
    <w:name w:val="Revision Anlage Bezeichner"/>
    <w:basedOn w:val="Standard"/>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Standard"/>
    <w:next w:val="RevisionAnlageText"/>
    <w:rsid w:val="00A147E3"/>
    <w:pPr>
      <w:jc w:val="center"/>
      <w:outlineLvl w:val="6"/>
    </w:pPr>
    <w:rPr>
      <w:color w:val="800000"/>
      <w:sz w:val="26"/>
    </w:rPr>
  </w:style>
  <w:style w:type="paragraph" w:customStyle="1" w:styleId="RevisionAnlageVerzeichnisTitel">
    <w:name w:val="Revision Anlage Verzeichnis Titel"/>
    <w:basedOn w:val="Standard"/>
    <w:next w:val="RevisionAnlageVerzeichnis1"/>
    <w:rsid w:val="00A147E3"/>
    <w:pPr>
      <w:jc w:val="center"/>
    </w:pPr>
    <w:rPr>
      <w:color w:val="800000"/>
      <w:sz w:val="26"/>
    </w:rPr>
  </w:style>
  <w:style w:type="paragraph" w:customStyle="1" w:styleId="RevisionAnlageVerzeichnis1">
    <w:name w:val="Revision Anlage Verzeichnis 1"/>
    <w:basedOn w:val="Standard"/>
    <w:rsid w:val="00A147E3"/>
    <w:pPr>
      <w:jc w:val="center"/>
    </w:pPr>
    <w:rPr>
      <w:color w:val="800000"/>
      <w:sz w:val="24"/>
    </w:rPr>
  </w:style>
  <w:style w:type="paragraph" w:customStyle="1" w:styleId="RevisionAnlageVerzeichnis2">
    <w:name w:val="Revision Anlage Verzeichnis 2"/>
    <w:basedOn w:val="Standard"/>
    <w:rsid w:val="00A147E3"/>
    <w:pPr>
      <w:jc w:val="center"/>
    </w:pPr>
    <w:rPr>
      <w:color w:val="800000"/>
      <w:sz w:val="24"/>
    </w:rPr>
  </w:style>
  <w:style w:type="paragraph" w:customStyle="1" w:styleId="RevisionAnlageVerzeichnis3">
    <w:name w:val="Revision Anlage Verzeichnis 3"/>
    <w:basedOn w:val="Standard"/>
    <w:rsid w:val="00A147E3"/>
    <w:pPr>
      <w:jc w:val="center"/>
    </w:pPr>
    <w:rPr>
      <w:color w:val="800000"/>
    </w:rPr>
  </w:style>
  <w:style w:type="paragraph" w:customStyle="1" w:styleId="RevisionAnlageVerzeichnis4">
    <w:name w:val="Revision Anlage Verzeichnis 4"/>
    <w:basedOn w:val="Standard"/>
    <w:rsid w:val="00A147E3"/>
    <w:pPr>
      <w:jc w:val="center"/>
    </w:pPr>
    <w:rPr>
      <w:color w:val="800000"/>
    </w:rPr>
  </w:style>
  <w:style w:type="paragraph" w:customStyle="1" w:styleId="Revisionberschrift1">
    <w:name w:val="Revision Überschrift 1"/>
    <w:basedOn w:val="Standard"/>
    <w:next w:val="RevisionAnlageText"/>
    <w:rsid w:val="00A147E3"/>
    <w:pPr>
      <w:keepNext/>
      <w:spacing w:before="240" w:after="60"/>
    </w:pPr>
    <w:rPr>
      <w:color w:val="800000"/>
      <w:kern w:val="32"/>
    </w:rPr>
  </w:style>
  <w:style w:type="paragraph" w:customStyle="1" w:styleId="Revisionberschrift2">
    <w:name w:val="Revision Überschrift 2"/>
    <w:basedOn w:val="Standard"/>
    <w:next w:val="RevisionAnlageText"/>
    <w:rsid w:val="00A147E3"/>
    <w:pPr>
      <w:keepNext/>
      <w:spacing w:before="240" w:after="60"/>
    </w:pPr>
    <w:rPr>
      <w:color w:val="800000"/>
    </w:rPr>
  </w:style>
  <w:style w:type="paragraph" w:customStyle="1" w:styleId="Revisionberschrift3">
    <w:name w:val="Revision Überschrift 3"/>
    <w:basedOn w:val="Standard"/>
    <w:next w:val="RevisionAnlageText"/>
    <w:rsid w:val="00A147E3"/>
    <w:pPr>
      <w:keepNext/>
      <w:spacing w:before="240" w:after="60"/>
    </w:pPr>
    <w:rPr>
      <w:color w:val="800000"/>
    </w:rPr>
  </w:style>
  <w:style w:type="paragraph" w:customStyle="1" w:styleId="Revisionberschrift4">
    <w:name w:val="Revision Überschrift 4"/>
    <w:basedOn w:val="Standard"/>
    <w:next w:val="RevisionAnlageText"/>
    <w:rsid w:val="00A147E3"/>
    <w:pPr>
      <w:keepNext/>
      <w:spacing w:before="240" w:after="60"/>
    </w:pPr>
    <w:rPr>
      <w:color w:val="800000"/>
    </w:rPr>
  </w:style>
  <w:style w:type="paragraph" w:customStyle="1" w:styleId="RevisionAnlageText">
    <w:name w:val="Revision Anlage Text"/>
    <w:basedOn w:val="Standard"/>
    <w:rsid w:val="00A147E3"/>
    <w:rPr>
      <w:color w:val="800000"/>
    </w:rPr>
  </w:style>
  <w:style w:type="paragraph" w:customStyle="1" w:styleId="RevisionListeStufe1">
    <w:name w:val="Revision Liste (Stufe 1)"/>
    <w:basedOn w:val="Standard"/>
    <w:rsid w:val="00A147E3"/>
    <w:pPr>
      <w:numPr>
        <w:numId w:val="48"/>
      </w:numPr>
      <w:tabs>
        <w:tab w:val="left" w:pos="0"/>
      </w:tabs>
    </w:pPr>
    <w:rPr>
      <w:color w:val="800000"/>
    </w:rPr>
  </w:style>
  <w:style w:type="paragraph" w:customStyle="1" w:styleId="RevisionListeStufe1manuell">
    <w:name w:val="Revision Liste (Stufe 1) (manuell)"/>
    <w:basedOn w:val="Standard"/>
    <w:rsid w:val="00A147E3"/>
    <w:pPr>
      <w:tabs>
        <w:tab w:val="left" w:pos="425"/>
      </w:tabs>
      <w:ind w:left="425" w:hanging="425"/>
    </w:pPr>
    <w:rPr>
      <w:color w:val="800000"/>
    </w:rPr>
  </w:style>
  <w:style w:type="paragraph" w:customStyle="1" w:styleId="RevisionListeFolgeabsatzStufe1">
    <w:name w:val="Revision Liste Folgeabsatz (Stufe 1)"/>
    <w:basedOn w:val="Standard"/>
    <w:rsid w:val="00A147E3"/>
    <w:pPr>
      <w:numPr>
        <w:ilvl w:val="1"/>
        <w:numId w:val="48"/>
      </w:numPr>
    </w:pPr>
    <w:rPr>
      <w:color w:val="800000"/>
    </w:rPr>
  </w:style>
  <w:style w:type="paragraph" w:customStyle="1" w:styleId="RevisionListeStufe2">
    <w:name w:val="Revision Liste (Stufe 2)"/>
    <w:basedOn w:val="Standard"/>
    <w:rsid w:val="00A147E3"/>
    <w:pPr>
      <w:numPr>
        <w:ilvl w:val="2"/>
        <w:numId w:val="48"/>
      </w:numPr>
    </w:pPr>
    <w:rPr>
      <w:color w:val="800000"/>
    </w:rPr>
  </w:style>
  <w:style w:type="paragraph" w:customStyle="1" w:styleId="RevisionListeStufe2manuell">
    <w:name w:val="Revision Liste (Stufe 2) (manuell)"/>
    <w:basedOn w:val="Standard"/>
    <w:rsid w:val="00A147E3"/>
    <w:pPr>
      <w:tabs>
        <w:tab w:val="left" w:pos="850"/>
      </w:tabs>
      <w:ind w:left="850" w:hanging="425"/>
    </w:pPr>
    <w:rPr>
      <w:color w:val="800000"/>
    </w:rPr>
  </w:style>
  <w:style w:type="paragraph" w:customStyle="1" w:styleId="RevisionListeFolgeabsatzStufe2">
    <w:name w:val="Revision Liste Folgeabsatz (Stufe 2)"/>
    <w:basedOn w:val="Standard"/>
    <w:rsid w:val="00A147E3"/>
    <w:pPr>
      <w:numPr>
        <w:ilvl w:val="3"/>
        <w:numId w:val="48"/>
      </w:numPr>
    </w:pPr>
    <w:rPr>
      <w:color w:val="800000"/>
    </w:rPr>
  </w:style>
  <w:style w:type="paragraph" w:customStyle="1" w:styleId="RevisionListeStufe3">
    <w:name w:val="Revision Liste (Stufe 3)"/>
    <w:basedOn w:val="Standard"/>
    <w:rsid w:val="00A147E3"/>
    <w:pPr>
      <w:numPr>
        <w:ilvl w:val="4"/>
        <w:numId w:val="48"/>
      </w:numPr>
    </w:pPr>
    <w:rPr>
      <w:color w:val="800000"/>
    </w:rPr>
  </w:style>
  <w:style w:type="paragraph" w:customStyle="1" w:styleId="RevisionListeStufe3manuell">
    <w:name w:val="Revision Liste (Stufe 3) (manuell)"/>
    <w:basedOn w:val="Standard"/>
    <w:rsid w:val="00A147E3"/>
    <w:pPr>
      <w:tabs>
        <w:tab w:val="left" w:pos="1276"/>
      </w:tabs>
      <w:ind w:left="1276" w:hanging="425"/>
    </w:pPr>
    <w:rPr>
      <w:color w:val="800000"/>
    </w:rPr>
  </w:style>
  <w:style w:type="paragraph" w:customStyle="1" w:styleId="RevisionListeFolgeabsatzStufe3">
    <w:name w:val="Revision Liste Folgeabsatz (Stufe 3)"/>
    <w:basedOn w:val="Standard"/>
    <w:rsid w:val="00A147E3"/>
    <w:pPr>
      <w:numPr>
        <w:ilvl w:val="5"/>
        <w:numId w:val="48"/>
      </w:numPr>
    </w:pPr>
    <w:rPr>
      <w:color w:val="800000"/>
    </w:rPr>
  </w:style>
  <w:style w:type="paragraph" w:customStyle="1" w:styleId="RevisionListeStufe4">
    <w:name w:val="Revision Liste (Stufe 4)"/>
    <w:basedOn w:val="Standard"/>
    <w:rsid w:val="00A147E3"/>
    <w:pPr>
      <w:numPr>
        <w:ilvl w:val="6"/>
        <w:numId w:val="48"/>
      </w:numPr>
    </w:pPr>
    <w:rPr>
      <w:color w:val="800000"/>
    </w:rPr>
  </w:style>
  <w:style w:type="paragraph" w:customStyle="1" w:styleId="RevisionListeStufe4manuell">
    <w:name w:val="Revision Liste (Stufe 4) (manuell)"/>
    <w:basedOn w:val="Standard"/>
    <w:rsid w:val="00A147E3"/>
    <w:pPr>
      <w:tabs>
        <w:tab w:val="left" w:pos="1984"/>
      </w:tabs>
      <w:ind w:left="1984" w:hanging="709"/>
    </w:pPr>
    <w:rPr>
      <w:color w:val="800000"/>
    </w:rPr>
  </w:style>
  <w:style w:type="paragraph" w:customStyle="1" w:styleId="RevisionListeFolgeabsatzStufe4">
    <w:name w:val="Revision Liste Folgeabsatz (Stufe 4)"/>
    <w:basedOn w:val="Standard"/>
    <w:rsid w:val="00A147E3"/>
    <w:pPr>
      <w:numPr>
        <w:ilvl w:val="7"/>
        <w:numId w:val="48"/>
      </w:numPr>
    </w:pPr>
    <w:rPr>
      <w:color w:val="800000"/>
    </w:rPr>
  </w:style>
  <w:style w:type="paragraph" w:customStyle="1" w:styleId="RevisionAufzhlungStufe1">
    <w:name w:val="Revision Aufzählung (Stufe 1)"/>
    <w:basedOn w:val="Standard"/>
    <w:rsid w:val="00A147E3"/>
    <w:pPr>
      <w:numPr>
        <w:numId w:val="49"/>
      </w:numPr>
      <w:tabs>
        <w:tab w:val="left" w:pos="0"/>
      </w:tabs>
    </w:pPr>
    <w:rPr>
      <w:color w:val="800000"/>
    </w:rPr>
  </w:style>
  <w:style w:type="paragraph" w:customStyle="1" w:styleId="RevisionAufzhlungFolgeabsatzStufe1">
    <w:name w:val="Revision Aufzählung Folgeabsatz (Stufe 1)"/>
    <w:basedOn w:val="Standard"/>
    <w:rsid w:val="00A147E3"/>
    <w:pPr>
      <w:tabs>
        <w:tab w:val="left" w:pos="425"/>
      </w:tabs>
      <w:ind w:left="425"/>
    </w:pPr>
    <w:rPr>
      <w:color w:val="800000"/>
    </w:rPr>
  </w:style>
  <w:style w:type="paragraph" w:customStyle="1" w:styleId="RevisionAufzhlungStufe2">
    <w:name w:val="Revision Aufzählung (Stufe 2)"/>
    <w:basedOn w:val="Standard"/>
    <w:rsid w:val="00A147E3"/>
    <w:pPr>
      <w:numPr>
        <w:numId w:val="50"/>
      </w:numPr>
      <w:tabs>
        <w:tab w:val="left" w:pos="425"/>
      </w:tabs>
    </w:pPr>
    <w:rPr>
      <w:color w:val="800000"/>
    </w:rPr>
  </w:style>
  <w:style w:type="paragraph" w:customStyle="1" w:styleId="RevisionAufzhlungFolgeabsatzStufe2">
    <w:name w:val="Revision Aufzählung Folgeabsatz (Stufe 2)"/>
    <w:basedOn w:val="Standard"/>
    <w:rsid w:val="00A147E3"/>
    <w:pPr>
      <w:tabs>
        <w:tab w:val="left" w:pos="794"/>
      </w:tabs>
      <w:ind w:left="850"/>
    </w:pPr>
    <w:rPr>
      <w:color w:val="800000"/>
    </w:rPr>
  </w:style>
  <w:style w:type="paragraph" w:customStyle="1" w:styleId="RevisionAufzhlungStufe3">
    <w:name w:val="Revision Aufzählung (Stufe 3)"/>
    <w:basedOn w:val="Standard"/>
    <w:rsid w:val="00A147E3"/>
    <w:pPr>
      <w:numPr>
        <w:numId w:val="51"/>
      </w:numPr>
      <w:tabs>
        <w:tab w:val="left" w:pos="850"/>
      </w:tabs>
    </w:pPr>
    <w:rPr>
      <w:color w:val="800000"/>
    </w:rPr>
  </w:style>
  <w:style w:type="paragraph" w:customStyle="1" w:styleId="RevisionAufzhlungFolgeabsatzStufe3">
    <w:name w:val="Revision Aufzählung Folgeabsatz (Stufe 3)"/>
    <w:basedOn w:val="Standard"/>
    <w:rsid w:val="00A147E3"/>
    <w:pPr>
      <w:tabs>
        <w:tab w:val="left" w:pos="1276"/>
      </w:tabs>
      <w:ind w:left="1276"/>
    </w:pPr>
    <w:rPr>
      <w:color w:val="800000"/>
    </w:rPr>
  </w:style>
  <w:style w:type="paragraph" w:customStyle="1" w:styleId="RevisionAufzhlungStufe4">
    <w:name w:val="Revision Aufzählung (Stufe 4)"/>
    <w:basedOn w:val="Standard"/>
    <w:rsid w:val="00A147E3"/>
    <w:pPr>
      <w:numPr>
        <w:numId w:val="52"/>
      </w:numPr>
      <w:tabs>
        <w:tab w:val="left" w:pos="1276"/>
      </w:tabs>
    </w:pPr>
    <w:rPr>
      <w:color w:val="800000"/>
    </w:rPr>
  </w:style>
  <w:style w:type="paragraph" w:customStyle="1" w:styleId="RevisionAufzhlungFolgeabsatzStufe4">
    <w:name w:val="Revision Aufzählung Folgeabsatz (Stufe 4)"/>
    <w:basedOn w:val="Standard"/>
    <w:rsid w:val="00A147E3"/>
    <w:pPr>
      <w:tabs>
        <w:tab w:val="left" w:pos="1701"/>
      </w:tabs>
      <w:ind w:left="1701"/>
    </w:pPr>
    <w:rPr>
      <w:color w:val="800000"/>
    </w:rPr>
  </w:style>
  <w:style w:type="paragraph" w:customStyle="1" w:styleId="RevisionAufzhlungStufe5">
    <w:name w:val="Revision Aufzählung (Stufe 5)"/>
    <w:basedOn w:val="Standard"/>
    <w:rsid w:val="00A147E3"/>
    <w:pPr>
      <w:numPr>
        <w:numId w:val="53"/>
      </w:numPr>
      <w:tabs>
        <w:tab w:val="left" w:pos="1701"/>
      </w:tabs>
    </w:pPr>
    <w:rPr>
      <w:color w:val="800000"/>
    </w:rPr>
  </w:style>
  <w:style w:type="paragraph" w:customStyle="1" w:styleId="RevisionAufzhlungFolgeabsatzStufe5">
    <w:name w:val="Revision Aufzählung Folgeabsatz (Stufe 5)"/>
    <w:basedOn w:val="Standard"/>
    <w:rsid w:val="00A147E3"/>
    <w:pPr>
      <w:tabs>
        <w:tab w:val="left" w:pos="2126"/>
      </w:tabs>
      <w:ind w:left="2126"/>
    </w:pPr>
    <w:rPr>
      <w:color w:val="800000"/>
    </w:rPr>
  </w:style>
  <w:style w:type="paragraph" w:customStyle="1" w:styleId="RevisionFunotentext">
    <w:name w:val="Revision Fußnotentext"/>
    <w:basedOn w:val="Funotentext"/>
    <w:rsid w:val="00A147E3"/>
    <w:rPr>
      <w:color w:val="800000"/>
    </w:rPr>
  </w:style>
  <w:style w:type="paragraph" w:customStyle="1" w:styleId="RevisionFormel">
    <w:name w:val="Revision Formel"/>
    <w:basedOn w:val="Standard"/>
    <w:rsid w:val="00A147E3"/>
    <w:pPr>
      <w:spacing w:before="240" w:after="240"/>
      <w:jc w:val="center"/>
    </w:pPr>
    <w:rPr>
      <w:color w:val="800000"/>
    </w:rPr>
  </w:style>
  <w:style w:type="paragraph" w:customStyle="1" w:styleId="RevisionGrafik">
    <w:name w:val="Revision Grafik"/>
    <w:basedOn w:val="Standard"/>
    <w:rsid w:val="00A147E3"/>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A147E3"/>
    <w:pPr>
      <w:jc w:val="center"/>
    </w:pPr>
    <w:rPr>
      <w:color w:val="800000"/>
    </w:rPr>
  </w:style>
  <w:style w:type="paragraph" w:customStyle="1" w:styleId="RevisionAnlageVerweis">
    <w:name w:val="Revision Anlage Verweis"/>
    <w:basedOn w:val="Standard"/>
    <w:next w:val="RevisionAnlageberschrift"/>
    <w:rsid w:val="00A147E3"/>
    <w:pPr>
      <w:spacing w:before="0"/>
      <w:jc w:val="right"/>
    </w:pPr>
    <w:rPr>
      <w:color w:val="800000"/>
    </w:rPr>
  </w:style>
  <w:style w:type="paragraph" w:customStyle="1" w:styleId="Bezeichnungnderungsdokument">
    <w:name w:val="Bezeichnung (Änderungsdokument)"/>
    <w:basedOn w:val="Standard"/>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Standard"/>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Standard"/>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Standard"/>
    <w:next w:val="EingangsformelAufzhlungnderungsdokument"/>
    <w:rsid w:val="00A147E3"/>
    <w:pPr>
      <w:ind w:firstLine="425"/>
    </w:pPr>
  </w:style>
  <w:style w:type="paragraph" w:customStyle="1" w:styleId="EingangsformelAufzhlungnderungsdokument">
    <w:name w:val="Eingangsformel Aufzählung (Änderungsdokument)"/>
    <w:basedOn w:val="Standard"/>
    <w:rsid w:val="00A147E3"/>
    <w:pPr>
      <w:numPr>
        <w:numId w:val="55"/>
      </w:numPr>
    </w:pPr>
  </w:style>
  <w:style w:type="paragraph" w:customStyle="1" w:styleId="EingangsformelFolgeabsatznderungsdokument">
    <w:name w:val="Eingangsformel Folgeabsatz (Änderungsdokument)"/>
    <w:basedOn w:val="Standard"/>
    <w:rsid w:val="00A147E3"/>
  </w:style>
  <w:style w:type="paragraph" w:customStyle="1" w:styleId="ArtikelBezeichner">
    <w:name w:val="Artikel Bezeichner"/>
    <w:basedOn w:val="Standard"/>
    <w:next w:val="Artikelberschrift"/>
    <w:rsid w:val="00A147E3"/>
    <w:pPr>
      <w:keepNext/>
      <w:numPr>
        <w:numId w:val="56"/>
      </w:numPr>
      <w:spacing w:before="480" w:after="240"/>
      <w:jc w:val="center"/>
      <w:outlineLvl w:val="1"/>
    </w:pPr>
    <w:rPr>
      <w:b/>
      <w:sz w:val="28"/>
    </w:rPr>
  </w:style>
  <w:style w:type="paragraph" w:customStyle="1" w:styleId="Artikelberschrift">
    <w:name w:val="Artikel Überschrift"/>
    <w:basedOn w:val="Standard"/>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Standard"/>
    <w:rsid w:val="00A147E3"/>
    <w:pPr>
      <w:keepNext/>
      <w:spacing w:before="480" w:after="240"/>
      <w:jc w:val="center"/>
    </w:pPr>
    <w:rPr>
      <w:b/>
      <w:sz w:val="28"/>
    </w:rPr>
  </w:style>
  <w:style w:type="paragraph" w:styleId="Verzeichnis1">
    <w:name w:val="toc 1"/>
    <w:basedOn w:val="Standard"/>
    <w:next w:val="Standard"/>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Standard"/>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899817">
      <w:bodyDiv w:val="1"/>
      <w:marLeft w:val="0"/>
      <w:marRight w:val="0"/>
      <w:marTop w:val="0"/>
      <w:marBottom w:val="0"/>
      <w:divBdr>
        <w:top w:val="none" w:sz="0" w:space="0" w:color="auto"/>
        <w:left w:val="none" w:sz="0" w:space="0" w:color="auto"/>
        <w:bottom w:val="none" w:sz="0" w:space="0" w:color="auto"/>
        <w:right w:val="none" w:sz="0" w:space="0" w:color="auto"/>
      </w:divBdr>
    </w:div>
    <w:div w:id="105901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wikipedia.org/wiki/Atomabsorptionsspektrometrie" TargetMode="External"/><Relationship Id="rId5" Type="http://schemas.openxmlformats.org/officeDocument/2006/relationships/webSettings" Target="webSettings.xml"/><Relationship Id="rId10" Type="http://schemas.openxmlformats.org/officeDocument/2006/relationships/hyperlink" Target="http://www.beuth.de/de/norm/din-en-iso-10523/149804030?SearchID=883290063" TargetMode="Externa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mediendienste.extranet.deutschebahn.com/TM/PDF/2020-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04D6C-4C8F-4389-8859-7D45B7B8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0</TotalTime>
  <Pages>164</Pages>
  <Words>47927</Words>
  <Characters>301943</Characters>
  <Application>Microsoft Office Word</Application>
  <DocSecurity>4</DocSecurity>
  <Lines>2516</Lines>
  <Paragraphs>698</Paragraphs>
  <ScaleCrop>false</ScaleCrop>
  <HeadingPairs>
    <vt:vector size="2" baseType="variant">
      <vt:variant>
        <vt:lpstr>Titel</vt:lpstr>
      </vt:variant>
      <vt:variant>
        <vt:i4>1</vt:i4>
      </vt:variant>
    </vt:vector>
  </HeadingPairs>
  <TitlesOfParts>
    <vt:vector size="1" baseType="lpstr">
      <vt:lpstr/>
    </vt:vector>
  </TitlesOfParts>
  <Company>VDZ gGmbH</Company>
  <LinksUpToDate>false</LinksUpToDate>
  <CharactersWithSpaces>349172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Gila Merschel</dc:creator>
  <cp:lastModifiedBy>Ipek Ölcüm</cp:lastModifiedBy>
  <cp:revision>2</cp:revision>
  <dcterms:created xsi:type="dcterms:W3CDTF">2021-03-01T12:36:00Z</dcterms:created>
  <dcterms:modified xsi:type="dcterms:W3CDTF">2021-03-01T12:36:00Z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AENDER/ARTVER</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Meta_Initiant">
    <vt:lpwstr>Bundesministerium der Justiz und für Verbraucherschutz</vt:lpwstr>
  </property>
  <property fmtid="{D5CDD505-2E9C-101B-9397-08002B2CF9AE}" pid="10" name="eNorm-Version vorherige Bearbeitung">
    <vt:lpwstr>4.1.5 Bundesregierung [20200526]</vt:lpwstr>
  </property>
  <property fmtid="{D5CDD505-2E9C-101B-9397-08002B2CF9AE}" pid="11" name="Bearbeitungsstand">
    <vt:lpwstr>Bearbeitungsstand: 19.02.2021  8:23 Uhr</vt:lpwstr>
  </property>
  <property fmtid="{D5CDD505-2E9C-101B-9397-08002B2CF9AE}" pid="12" name="Meta_Bezeichnung">
    <vt:lpwstr>Verordnung zur Einführung einer Ersatzbaustoffverordnung, zur Neufassung der Bundes-Bodenschutz- und Altlastenverordnung und zur Änderung der Deponieverordnung und der Gewerbeabfallverordnung</vt:lpwstr>
  </property>
  <property fmtid="{D5CDD505-2E9C-101B-9397-08002B2CF9AE}" pid="13" name="Meta_Kurzbezeichnung">
    <vt:lpwstr/>
  </property>
  <property fmtid="{D5CDD505-2E9C-101B-9397-08002B2CF9AE}" pid="14" name="Meta_Abkürzung">
    <vt:lpwstr/>
  </property>
  <property fmtid="{D5CDD505-2E9C-101B-9397-08002B2CF9AE}" pid="15" name="Meta_Typ der Vorschrift">
    <vt:lpwstr>Artikelverordnung</vt:lpwstr>
  </property>
  <property fmtid="{D5CDD505-2E9C-101B-9397-08002B2CF9AE}" pid="16" name="Meta_Federführung">
    <vt:lpwstr>zu Verordnung über Anforderungen an den Einbau von mineralischen Ersatzbaustoffen in technischen Bauwerke: ; zu Bundes-Bodenschutz- und Altlastenverordnung: </vt:lpwstr>
  </property>
  <property fmtid="{D5CDD505-2E9C-101B-9397-08002B2CF9AE}" pid="17"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18" name="Meta_Umsetzung von EU-Recht_2">
    <vt:lpwstr>Bl. L 241 vom 17.9.2015, S. 1).</vt:lpwstr>
  </property>
  <property fmtid="{D5CDD505-2E9C-101B-9397-08002B2CF9AE}" pid="19" name="Meta_Anlagen">
    <vt:lpwstr>Anlage 1 Abkürzungsverzeichnis und Materialwerte für die in den Anlagen bezeichneten mineralischen Ersatzbaustoffe;Anlage 2 Einsatzmöglichkeiten von mineralischen Ersatzbaustoffen in technischen Bauwerken;Anlage 3 Einsatzmöglichkeiten von mineralischen Er</vt:lpwstr>
  </property>
  <property fmtid="{D5CDD505-2E9C-101B-9397-08002B2CF9AE}" pid="20" name="Meta_Anlagen_2">
    <vt:lpwstr>satzbaustoffen in spezifischen Bahnbauweisen;Anlage 4 Art und Turnus der Untersuchungen von mineralischen Ersatzbaustoffen im Rahmen der Güteüberwachung;Anlage 5 Bestimmungsverfahren;Anlage 6 Zulässige Überschreitungen;Anlage 7 Muster Lieferschein;Anlage </vt:lpwstr>
  </property>
  <property fmtid="{D5CDD505-2E9C-101B-9397-08002B2CF9AE}" pid="21" name="Meta_Anlagen_3">
    <vt:lpwstr>8 Muster Deckblatt/ Voranzeige/ Abschlussanzeige;Anlage 1 Vorsorgewerte und Werte zur Beurteilung von Materialien;Anlage 2 Prüf- und Maßnahmenwert;Anlage 3 Untersuchungsverfahren;Anlage 4 Technische Regeln und Normen</vt:lpwstr>
  </property>
  <property fmtid="{D5CDD505-2E9C-101B-9397-08002B2CF9AE}" pid="22" name="DQP-Ergebnis für Version 4">
    <vt:lpwstr>23 Fehler, 41 Warnungen</vt:lpwstr>
  </property>
  <property fmtid="{D5CDD505-2E9C-101B-9397-08002B2CF9AE}" pid="23" name="eNorm-Version letzte DQP">
    <vt:lpwstr>4.1.5, Bundesregierung, [20200526]</vt:lpwstr>
  </property>
</Properties>
</file>